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0232F9" w14:textId="0455862D" w:rsidR="00794ECE" w:rsidRDefault="00794ECE">
      <w:r>
        <w:t>25/02/2026 – RESOLUÇÃO 4966</w:t>
      </w:r>
    </w:p>
    <w:p w14:paraId="1BAC40E4" w14:textId="77777777" w:rsidR="00794ECE" w:rsidRPr="00794ECE" w:rsidRDefault="00794ECE" w:rsidP="00794ECE">
      <w:r w:rsidRPr="00794ECE">
        <w:t xml:space="preserve">Este é um tema de altíssimo nível técnico. Para um </w:t>
      </w:r>
      <w:r w:rsidRPr="00794ECE">
        <w:rPr>
          <w:b/>
          <w:bCs/>
        </w:rPr>
        <w:t>Dr. em Administração</w:t>
      </w:r>
      <w:r w:rsidRPr="00794ECE">
        <w:t xml:space="preserve"> e </w:t>
      </w:r>
      <w:r w:rsidRPr="00794ECE">
        <w:rPr>
          <w:b/>
          <w:bCs/>
        </w:rPr>
        <w:t>Analista de Sistemas</w:t>
      </w:r>
      <w:r w:rsidRPr="00794ECE">
        <w:t xml:space="preserve"> com 22 anos de perícia, o artigo não pode ser apenas informativo; ele precisa posicionar você como a autoridade que entende o que acontece "debaixo do capô" (o código e o algoritmo) das instituições financeiras.</w:t>
      </w:r>
    </w:p>
    <w:p w14:paraId="3A4226FF" w14:textId="77777777" w:rsidR="00794ECE" w:rsidRPr="00794ECE" w:rsidRDefault="00794ECE" w:rsidP="00794ECE">
      <w:r w:rsidRPr="00794ECE">
        <w:t>Abaixo, estruturei o artigo com um tom persuasivo, técnico e direto, ideal para o seu LinkedIn ou para o blog do seu site.</w:t>
      </w:r>
    </w:p>
    <w:p w14:paraId="16DED902" w14:textId="77777777" w:rsidR="00794ECE" w:rsidRPr="00794ECE" w:rsidRDefault="00794ECE" w:rsidP="00794ECE">
      <w:r w:rsidRPr="00794ECE">
        <w:pict w14:anchorId="4B979995">
          <v:rect id="_x0000_i1037" style="width:0;height:1.5pt" o:hralign="center" o:hrstd="t" o:hrnoshade="t" o:hr="t" fillcolor="gray" stroked="f"/>
        </w:pict>
      </w:r>
    </w:p>
    <w:p w14:paraId="7E37E96E" w14:textId="77777777" w:rsidR="00794ECE" w:rsidRPr="00794ECE" w:rsidRDefault="00794ECE" w:rsidP="00794ECE">
      <w:pPr>
        <w:rPr>
          <w:b/>
          <w:bCs/>
        </w:rPr>
      </w:pPr>
      <w:r w:rsidRPr="00794ECE">
        <w:rPr>
          <w:b/>
          <w:bCs/>
        </w:rPr>
        <w:t>A "Caixa-Preta" da Resolução 4.966: Por que a Perícia Contábil Tradicional não é mais suficiente?</w:t>
      </w:r>
    </w:p>
    <w:p w14:paraId="42031AA5" w14:textId="77777777" w:rsidR="00794ECE" w:rsidRPr="00794ECE" w:rsidRDefault="00794ECE" w:rsidP="00794ECE">
      <w:r w:rsidRPr="00794ECE">
        <w:t xml:space="preserve">Com a implementação da </w:t>
      </w:r>
      <w:r w:rsidRPr="00794ECE">
        <w:rPr>
          <w:b/>
          <w:bCs/>
        </w:rPr>
        <w:t>Resolução CMN nº 4.966/21</w:t>
      </w:r>
      <w:r w:rsidRPr="00794ECE">
        <w:t xml:space="preserve">, o cenário da perícia bancária no Brasil sofreu uma mudança de paradigma. Se antes o embate jurídico se limitava a conferir cálculos de juros e amortizações, hoje o jogo é decidido na </w:t>
      </w:r>
      <w:r w:rsidRPr="00794ECE">
        <w:rPr>
          <w:b/>
          <w:bCs/>
        </w:rPr>
        <w:t>modelagem estatística e na governança de dados</w:t>
      </w:r>
      <w:r w:rsidRPr="00794ECE">
        <w:t>.</w:t>
      </w:r>
    </w:p>
    <w:p w14:paraId="0C22052F" w14:textId="77777777" w:rsidR="00794ECE" w:rsidRPr="00794ECE" w:rsidRDefault="00794ECE" w:rsidP="00794ECE">
      <w:r w:rsidRPr="00794ECE">
        <w:t xml:space="preserve">Enquanto a maioria dos peritos ainda foca na "perda incorrida" (esperar o atraso para provisionar), o novo padrão exige olhar para o futuro: a </w:t>
      </w:r>
      <w:r w:rsidRPr="00794ECE">
        <w:rPr>
          <w:b/>
          <w:bCs/>
        </w:rPr>
        <w:t xml:space="preserve">Perda Esperada (ECL - </w:t>
      </w:r>
      <w:proofErr w:type="spellStart"/>
      <w:r w:rsidRPr="00794ECE">
        <w:rPr>
          <w:b/>
          <w:bCs/>
        </w:rPr>
        <w:t>Expected</w:t>
      </w:r>
      <w:proofErr w:type="spellEnd"/>
      <w:r w:rsidRPr="00794ECE">
        <w:rPr>
          <w:b/>
          <w:bCs/>
        </w:rPr>
        <w:t xml:space="preserve"> </w:t>
      </w:r>
      <w:proofErr w:type="spellStart"/>
      <w:r w:rsidRPr="00794ECE">
        <w:rPr>
          <w:b/>
          <w:bCs/>
        </w:rPr>
        <w:t>Credit</w:t>
      </w:r>
      <w:proofErr w:type="spellEnd"/>
      <w:r w:rsidRPr="00794ECE">
        <w:rPr>
          <w:b/>
          <w:bCs/>
        </w:rPr>
        <w:t xml:space="preserve"> </w:t>
      </w:r>
      <w:proofErr w:type="spellStart"/>
      <w:r w:rsidRPr="00794ECE">
        <w:rPr>
          <w:b/>
          <w:bCs/>
        </w:rPr>
        <w:t>Loss</w:t>
      </w:r>
      <w:proofErr w:type="spellEnd"/>
      <w:r w:rsidRPr="00794ECE">
        <w:rPr>
          <w:b/>
          <w:bCs/>
        </w:rPr>
        <w:t>)</w:t>
      </w:r>
      <w:r w:rsidRPr="00794ECE">
        <w:t>. É aqui que reside a vulnerabilidade das Instituições Financeiras e a oportunidade para uma perícia técnica de elite.</w:t>
      </w:r>
    </w:p>
    <w:p w14:paraId="102D9C5E" w14:textId="77777777" w:rsidR="00794ECE" w:rsidRPr="00794ECE" w:rsidRDefault="00794ECE" w:rsidP="00794ECE">
      <w:pPr>
        <w:rPr>
          <w:b/>
          <w:bCs/>
        </w:rPr>
      </w:pPr>
      <w:r w:rsidRPr="00794ECE">
        <w:rPr>
          <w:b/>
          <w:bCs/>
        </w:rPr>
        <w:t>O Fim da Perda Incorrida e a Era dos Algoritmos</w:t>
      </w:r>
    </w:p>
    <w:p w14:paraId="40D46FC8" w14:textId="77777777" w:rsidR="00794ECE" w:rsidRPr="00794ECE" w:rsidRDefault="00794ECE" w:rsidP="00794ECE">
      <w:r w:rsidRPr="00794ECE">
        <w:t xml:space="preserve">A transição do modelo de provisão é profunda. A norma exige que o banco estime a perda desde o "Dia 1" do contrato. Isso não é feito com uma calculadora simples, mas com </w:t>
      </w:r>
      <w:r w:rsidRPr="00794ECE">
        <w:rPr>
          <w:b/>
          <w:bCs/>
        </w:rPr>
        <w:t>modelos de risco e projeções macroeconômicas</w:t>
      </w:r>
      <w:r w:rsidRPr="00794ECE">
        <w:t>.</w:t>
      </w:r>
    </w:p>
    <w:p w14:paraId="30D116E3" w14:textId="77777777" w:rsidR="00794ECE" w:rsidRPr="00794ECE" w:rsidRDefault="00794ECE" w:rsidP="00794ECE">
      <w:r w:rsidRPr="00794ECE">
        <w:t>Os três pilares que agora dominam o contencioso bancário são:</w:t>
      </w:r>
    </w:p>
    <w:p w14:paraId="6067C407" w14:textId="77777777" w:rsidR="00794ECE" w:rsidRPr="00794ECE" w:rsidRDefault="00794ECE" w:rsidP="00794ECE">
      <w:pPr>
        <w:numPr>
          <w:ilvl w:val="0"/>
          <w:numId w:val="1"/>
        </w:numPr>
      </w:pPr>
      <w:proofErr w:type="spellStart"/>
      <w:r w:rsidRPr="00794ECE">
        <w:rPr>
          <w:b/>
          <w:bCs/>
        </w:rPr>
        <w:t>Staging</w:t>
      </w:r>
      <w:proofErr w:type="spellEnd"/>
      <w:r w:rsidRPr="00794ECE">
        <w:rPr>
          <w:b/>
          <w:bCs/>
        </w:rPr>
        <w:t xml:space="preserve"> (Classificação em 3 Estágios):</w:t>
      </w:r>
      <w:r w:rsidRPr="00794ECE">
        <w:t xml:space="preserve"> A migração de um ativo do Estágio 1 para o Estágio 2 (Aumento Significativo de Risco - SICR) é onde ocorrem as maiores distorções. Um erro na parametrização do algoritmo pode forçar uma provisão indevida para toda a vida do contrato, impactando diretamente o resultado financeiro.</w:t>
      </w:r>
    </w:p>
    <w:p w14:paraId="07D817EA" w14:textId="77777777" w:rsidR="00794ECE" w:rsidRPr="00794ECE" w:rsidRDefault="00794ECE" w:rsidP="00794ECE">
      <w:pPr>
        <w:numPr>
          <w:ilvl w:val="0"/>
          <w:numId w:val="1"/>
        </w:numPr>
      </w:pPr>
      <w:proofErr w:type="spellStart"/>
      <w:r w:rsidRPr="00794ECE">
        <w:rPr>
          <w:b/>
          <w:bCs/>
        </w:rPr>
        <w:t>Forward-looking</w:t>
      </w:r>
      <w:proofErr w:type="spellEnd"/>
      <w:r w:rsidRPr="00794ECE">
        <w:rPr>
          <w:b/>
          <w:bCs/>
        </w:rPr>
        <w:t xml:space="preserve"> (Dados Prospectivos):</w:t>
      </w:r>
      <w:r w:rsidRPr="00794ECE">
        <w:t xml:space="preserve"> A provisão agora deve considerar variáveis como desemprego e PIB. Se o banco utiliza dados sem validação técnica ou fontes corrompidas, o cálculo da perícia pode — e deve — ser derrubado.</w:t>
      </w:r>
    </w:p>
    <w:p w14:paraId="081A178B" w14:textId="77777777" w:rsidR="00794ECE" w:rsidRPr="00794ECE" w:rsidRDefault="00794ECE" w:rsidP="00794ECE">
      <w:pPr>
        <w:numPr>
          <w:ilvl w:val="0"/>
          <w:numId w:val="1"/>
        </w:numPr>
      </w:pPr>
      <w:r w:rsidRPr="00794ECE">
        <w:rPr>
          <w:b/>
          <w:bCs/>
        </w:rPr>
        <w:t xml:space="preserve">Linhagem de Dados (Data </w:t>
      </w:r>
      <w:proofErr w:type="spellStart"/>
      <w:r w:rsidRPr="00794ECE">
        <w:rPr>
          <w:b/>
          <w:bCs/>
        </w:rPr>
        <w:t>Lineage</w:t>
      </w:r>
      <w:proofErr w:type="spellEnd"/>
      <w:r w:rsidRPr="00794ECE">
        <w:rPr>
          <w:b/>
          <w:bCs/>
        </w:rPr>
        <w:t>):</w:t>
      </w:r>
      <w:r w:rsidRPr="00794ECE">
        <w:t xml:space="preserve"> Como Analista de Sistemas, sei que a transição de sistemas legados para o novo padrão é um campo minado. Dados mal parametrizados geram resultados viciados.</w:t>
      </w:r>
    </w:p>
    <w:p w14:paraId="6C05F76D" w14:textId="77777777" w:rsidR="00794ECE" w:rsidRPr="00794ECE" w:rsidRDefault="00794ECE" w:rsidP="00794ECE">
      <w:pPr>
        <w:rPr>
          <w:b/>
          <w:bCs/>
        </w:rPr>
      </w:pPr>
      <w:r w:rsidRPr="00794ECE">
        <w:rPr>
          <w:b/>
          <w:bCs/>
        </w:rPr>
        <w:lastRenderedPageBreak/>
        <w:t>O "Pulo do Gato": Questionando o Motor de Cálculo</w:t>
      </w:r>
    </w:p>
    <w:p w14:paraId="3BF1F8D3" w14:textId="77777777" w:rsidR="00794ECE" w:rsidRPr="00794ECE" w:rsidRDefault="00794ECE" w:rsidP="00794ECE">
      <w:r w:rsidRPr="00794ECE">
        <w:t xml:space="preserve">O diferencial de uma perícia estratégica não é perguntar </w:t>
      </w:r>
      <w:r w:rsidRPr="00794ECE">
        <w:rPr>
          <w:i/>
          <w:iCs/>
        </w:rPr>
        <w:t>se</w:t>
      </w:r>
      <w:r w:rsidRPr="00794ECE">
        <w:t xml:space="preserve"> o cálculo está certo, mas sim </w:t>
      </w:r>
      <w:r w:rsidRPr="00794ECE">
        <w:rPr>
          <w:b/>
          <w:bCs/>
        </w:rPr>
        <w:t>qual é a lógica do algoritmo</w:t>
      </w:r>
      <w:r w:rsidRPr="00794ECE">
        <w:t>.</w:t>
      </w:r>
    </w:p>
    <w:p w14:paraId="4CE3839A" w14:textId="77777777" w:rsidR="00794ECE" w:rsidRPr="00794ECE" w:rsidRDefault="00794ECE" w:rsidP="00794ECE">
      <w:r w:rsidRPr="00794ECE">
        <w:t xml:space="preserve">Um dos pontos mais sensíveis da Resolução 4.966 são os chamados </w:t>
      </w:r>
      <w:r w:rsidRPr="00794ECE">
        <w:rPr>
          <w:b/>
          <w:bCs/>
        </w:rPr>
        <w:t>Management Overlays</w:t>
      </w:r>
      <w:r w:rsidRPr="00794ECE">
        <w:t xml:space="preserve"> (Ajustes de Gestão). Muitas vezes, quando o modelo estatístico do banco falha ou não entrega o número desejado pela diretoria, aplicam-se ajustes manuais para "corrigir" o algoritmo.</w:t>
      </w:r>
    </w:p>
    <w:p w14:paraId="4F3C99B0" w14:textId="77777777" w:rsidR="00794ECE" w:rsidRPr="00794ECE" w:rsidRDefault="00794ECE" w:rsidP="00794ECE">
      <w:r w:rsidRPr="00794ECE">
        <w:rPr>
          <w:b/>
          <w:bCs/>
        </w:rPr>
        <w:t>O Quesito de Ouro:</w:t>
      </w:r>
      <w:r w:rsidRPr="00794ECE">
        <w:t xml:space="preserve"> Questionar a fundamentação técnica desses ajustes manuais é a armadilha perfeita para expor fragilidades na governança de dados da instituição.</w:t>
      </w:r>
    </w:p>
    <w:p w14:paraId="62E0E09C" w14:textId="77777777" w:rsidR="00794ECE" w:rsidRPr="00794ECE" w:rsidRDefault="00794ECE" w:rsidP="00794ECE">
      <w:pPr>
        <w:rPr>
          <w:b/>
          <w:bCs/>
        </w:rPr>
      </w:pPr>
      <w:r w:rsidRPr="00794ECE">
        <w:rPr>
          <w:b/>
          <w:bCs/>
        </w:rPr>
        <w:t>Conclusão: A Ciência por Trás da Defesa</w:t>
      </w:r>
    </w:p>
    <w:p w14:paraId="68159B2F" w14:textId="77777777" w:rsidR="00794ECE" w:rsidRPr="00794ECE" w:rsidRDefault="00794ECE" w:rsidP="00794ECE">
      <w:r w:rsidRPr="00794ECE">
        <w:t>A perícia judicial moderna exige uma fusão entre a ciência da administração e a engenharia de software. Não basta ser contador; é preciso ser um auditor de algoritmos. Ao forçar a Instituição Financeira a abrir sua "caixa-preta", revelamos se a governança prometida pela 4.966 é real ou apenas uma máscara sistêmica.</w:t>
      </w:r>
    </w:p>
    <w:p w14:paraId="1FEF441A" w14:textId="77777777" w:rsidR="00794ECE" w:rsidRPr="00794ECE" w:rsidRDefault="00794ECE" w:rsidP="00794ECE">
      <w:r w:rsidRPr="00794ECE">
        <w:pict w14:anchorId="11EBBC87">
          <v:rect id="_x0000_i1038" style="width:0;height:1.5pt" o:hralign="center" o:hrstd="t" o:hrnoshade="t" o:hr="t" fillcolor="gray" stroked="f"/>
        </w:pict>
      </w:r>
    </w:p>
    <w:p w14:paraId="39144DBF" w14:textId="77777777" w:rsidR="00794ECE" w:rsidRPr="00794ECE" w:rsidRDefault="00794ECE" w:rsidP="00794ECE">
      <w:pPr>
        <w:rPr>
          <w:b/>
          <w:bCs/>
        </w:rPr>
      </w:pPr>
      <w:r w:rsidRPr="00794ECE">
        <w:rPr>
          <w:b/>
          <w:bCs/>
        </w:rPr>
        <w:t>Dica de Especialista para o seu PDF:</w:t>
      </w:r>
    </w:p>
    <w:p w14:paraId="5AF769FB" w14:textId="77777777" w:rsidR="00794ECE" w:rsidRPr="00794ECE" w:rsidRDefault="00794ECE" w:rsidP="00794ECE">
      <w:r w:rsidRPr="00794ECE">
        <w:t xml:space="preserve">Como você tem o domínio do ecossistema </w:t>
      </w:r>
      <w:proofErr w:type="spellStart"/>
      <w:r w:rsidRPr="00794ECE">
        <w:rPr>
          <w:b/>
          <w:bCs/>
        </w:rPr>
        <w:t>Topaz</w:t>
      </w:r>
      <w:proofErr w:type="spellEnd"/>
      <w:r w:rsidRPr="00794ECE">
        <w:t xml:space="preserve">, você pode incluir um rodapé ou uma nota de autor mencionando que sua visão une a experiência em </w:t>
      </w:r>
      <w:r w:rsidRPr="00794ECE">
        <w:rPr>
          <w:i/>
          <w:iCs/>
        </w:rPr>
        <w:t>core banking</w:t>
      </w:r>
      <w:r w:rsidRPr="00794ECE">
        <w:t xml:space="preserve"> com o rigor acadêmico do doutorado. Isso </w:t>
      </w:r>
      <w:proofErr w:type="spellStart"/>
      <w:r w:rsidRPr="00794ECE">
        <w:t>valida</w:t>
      </w:r>
      <w:proofErr w:type="spellEnd"/>
      <w:r w:rsidRPr="00794ECE">
        <w:t xml:space="preserve"> </w:t>
      </w:r>
      <w:proofErr w:type="gramStart"/>
      <w:r w:rsidRPr="00794ECE">
        <w:t>por que</w:t>
      </w:r>
      <w:proofErr w:type="gramEnd"/>
      <w:r w:rsidRPr="00794ECE">
        <w:t xml:space="preserve"> seus quesitos são "cirúrgicos".</w:t>
      </w:r>
    </w:p>
    <w:p w14:paraId="60A9BAF7" w14:textId="77777777" w:rsidR="00794ECE" w:rsidRPr="00794ECE" w:rsidRDefault="00794ECE" w:rsidP="00794ECE">
      <w:r w:rsidRPr="00794ECE">
        <w:rPr>
          <w:b/>
          <w:bCs/>
        </w:rPr>
        <w:t>Próximo Passo:</w:t>
      </w:r>
    </w:p>
    <w:p w14:paraId="6A768E70" w14:textId="77777777" w:rsidR="00794ECE" w:rsidRPr="00794ECE" w:rsidRDefault="00794ECE" w:rsidP="00794ECE">
      <w:r w:rsidRPr="00794ECE">
        <w:t xml:space="preserve">Gostaria que eu formatasse agora a estrutura da sua próxima </w:t>
      </w:r>
      <w:r w:rsidRPr="00794ECE">
        <w:rPr>
          <w:b/>
          <w:bCs/>
        </w:rPr>
        <w:t>Landing Page de Auditoria de Seguros</w:t>
      </w:r>
      <w:r w:rsidRPr="00794ECE">
        <w:t>, ou prefere que eu elabore uma sequência de posts para redes sociais baseada neste artigo?</w:t>
      </w:r>
    </w:p>
    <w:p w14:paraId="58C07734" w14:textId="77777777" w:rsidR="00794ECE" w:rsidRDefault="00794ECE"/>
    <w:sectPr w:rsidR="00794EC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9E531C"/>
    <w:multiLevelType w:val="multilevel"/>
    <w:tmpl w:val="43905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513651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4ECE"/>
    <w:rsid w:val="00472314"/>
    <w:rsid w:val="00794E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6C5962"/>
  <w15:chartTrackingRefBased/>
  <w15:docId w15:val="{74F5ADBB-BE71-493B-BFF1-AADD75BA16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94E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94E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94E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94E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94E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94E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94E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94E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94E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94E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94E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94E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94EC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94EC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94EC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94EC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94EC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94EC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94E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94E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94E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94E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94E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94EC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94EC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94EC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94E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94EC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94E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570</Words>
  <Characters>3080</Characters>
  <Application>Microsoft Office Word</Application>
  <DocSecurity>0</DocSecurity>
  <Lines>25</Lines>
  <Paragraphs>7</Paragraphs>
  <ScaleCrop>false</ScaleCrop>
  <Company/>
  <LinksUpToDate>false</LinksUpToDate>
  <CharactersWithSpaces>3643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Lincoln Sposito</dc:creator>
  <cp:keywords/>
  <dc:description/>
  <cp:lastModifiedBy>Lincoln Sposito</cp:lastModifiedBy>
  <cp:revision>1</cp:revision>
  <dcterms:created xsi:type="dcterms:W3CDTF">2026-02-25T23:06:00Z</dcterms:created>
  <dcterms:modified xsi:type="dcterms:W3CDTF">2026-02-25T23:06:00Z</dcterms:modified>
</cp:coreProperties>
</file>