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1F3A5F"/>
          <w:sz w:val="48"/>
        </w:rPr>
        <w:t>Renewal Placement Summary</w:t>
      </w:r>
    </w:p>
    <w:p>
      <w:pPr>
        <w:spacing w:before="0" w:after="320"/>
      </w:pPr>
      <w:r>
        <w:rPr>
          <w:rFonts w:ascii="Calibri" w:hAnsi="Calibri"/>
          <w:b w:val="0"/>
          <w:i w:val="0"/>
          <w:color w:val="5A626C"/>
          <w:sz w:val="25"/>
        </w:rPr>
        <w:t>Alder Peak Manufacturing, Inc. | 2026-2027 Property and Casualty Program</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Prepared by</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Kestrel Risk Advisors</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Account executive</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Maya Chen, CPCU</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Issued</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September 12, 2026</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Policy period</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October 1, 2026 to October 1, 2027</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Carrier</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Granite Harbor Insurance Company</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Placement status</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Client accepted quote revision 2; binder pending</w:t>
            </w:r>
          </w:p>
        </w:tc>
      </w:tr>
    </w:tbl>
    <w:p>
      <w:pPr>
        <w:spacing w:after="0"/>
      </w:pPr>
    </w:p>
    <w:p>
      <w:pPr>
        <w:pStyle w:val="Heading1"/>
      </w:pPr>
      <w:r>
        <w:t>Executive overview</w:t>
      </w:r>
    </w:p>
    <w:p>
      <w:r>
        <w:rPr>
          <w:rFonts w:ascii="Calibri" w:hAnsi="Calibri"/>
          <w:b w:val="0"/>
          <w:i w:val="0"/>
          <w:color w:val="14181C"/>
          <w:sz w:val="22"/>
        </w:rPr>
        <w:t>Alder Peak Manufacturing, Inc. operates six metal fabrication and distribution locations across Washington, Oregon, and Idaho. Granite Harbor Insurance Company issued quote revision 2 on September 5, 2026 for the 2026-2027 property and casualty program. The quoted annual package premium is USD 144,550, before taxes and surplus lines charges.</w:t>
      </w:r>
    </w:p>
    <w:p>
      <w:r>
        <w:rPr>
          <w:rFonts w:ascii="Calibri" w:hAnsi="Calibri"/>
          <w:b w:val="0"/>
          <w:i w:val="0"/>
          <w:color w:val="14181C"/>
          <w:sz w:val="22"/>
        </w:rPr>
        <w:t>The current statement of values reports total insured value of USD 84,200,000. The three-year loss history contains nine claims with total net incurred of USD 1,190,700, including four claims that remain open as of August 31, 2026.</w:t>
      </w:r>
    </w:p>
    <w:p>
      <w:pPr>
        <w:pStyle w:val="Heading1"/>
      </w:pPr>
      <w:r>
        <w:t>Quoted program</w:t>
      </w:r>
    </w:p>
    <w:tbl>
      <w:tblPr>
        <w:tblStyle w:val="TableGrid"/>
        <w:tblW w:type="dxa" w:w="9360"/>
        <w:jc w:val="left"/>
        <w:tblLayout w:type="fixed"/>
        <w:tblLook w:firstColumn="1" w:firstRow="1" w:lastColumn="0" w:lastRow="0" w:noHBand="0" w:noVBand="1" w:val="04A0"/>
        <w:tblInd w:type="dxa" w:w="120"/>
      </w:tblPr>
      <w:tblGrid>
        <w:gridCol w:w="2160"/>
        <w:gridCol w:w="1440"/>
        <w:gridCol w:w="1440"/>
        <w:gridCol w:w="4320"/>
      </w:tblGrid>
      <w:tr>
        <w:trPr>
          <w:tblHeader w:val="true"/>
        </w:trPr>
        <w:tc>
          <w:tcPr>
            <w:tcW w:type="dxa" w:w="2160"/>
            <w:shd w:fill="F2F4F7"/>
            <w:vAlign w:val="center"/>
            <w:tcMar>
              <w:top w:w="80" w:type="dxa"/>
              <w:bottom w:w="80" w:type="dxa"/>
              <w:start w:w="120" w:type="dxa"/>
              <w:end w:w="120" w:type="dxa"/>
            </w:tcMar>
          </w:tcPr>
          <w:p>
            <w:pPr>
              <w:spacing w:after="0"/>
            </w:pPr>
            <w:r>
              <w:rPr>
                <w:rFonts w:ascii="Calibri" w:hAnsi="Calibri"/>
                <w:b/>
                <w:i w:val="0"/>
                <w:color w:val="1F3A5F"/>
                <w:sz w:val="17"/>
              </w:rPr>
              <w:t>Coverage</w:t>
            </w:r>
          </w:p>
        </w:tc>
        <w:tc>
          <w:tcPr>
            <w:tcW w:type="dxa" w:w="1440"/>
            <w:shd w:fill="F2F4F7"/>
            <w:vAlign w:val="center"/>
            <w:tcMar>
              <w:top w:w="80" w:type="dxa"/>
              <w:bottom w:w="80" w:type="dxa"/>
              <w:start w:w="120" w:type="dxa"/>
              <w:end w:w="120" w:type="dxa"/>
            </w:tcMar>
          </w:tcPr>
          <w:p>
            <w:pPr>
              <w:spacing w:after="0"/>
            </w:pPr>
            <w:r>
              <w:rPr>
                <w:rFonts w:ascii="Calibri" w:hAnsi="Calibri"/>
                <w:b/>
                <w:i w:val="0"/>
                <w:color w:val="1F3A5F"/>
                <w:sz w:val="17"/>
              </w:rPr>
              <w:t>Revision 1</w:t>
            </w:r>
          </w:p>
        </w:tc>
        <w:tc>
          <w:tcPr>
            <w:tcW w:type="dxa" w:w="1440"/>
            <w:shd w:fill="F2F4F7"/>
            <w:vAlign w:val="center"/>
            <w:tcMar>
              <w:top w:w="80" w:type="dxa"/>
              <w:bottom w:w="80" w:type="dxa"/>
              <w:start w:w="120" w:type="dxa"/>
              <w:end w:w="120" w:type="dxa"/>
            </w:tcMar>
          </w:tcPr>
          <w:p>
            <w:pPr>
              <w:spacing w:after="0"/>
            </w:pPr>
            <w:r>
              <w:rPr>
                <w:rFonts w:ascii="Calibri" w:hAnsi="Calibri"/>
                <w:b/>
                <w:i w:val="0"/>
                <w:color w:val="1F3A5F"/>
                <w:sz w:val="17"/>
              </w:rPr>
              <w:t>Revision 2</w:t>
            </w:r>
          </w:p>
        </w:tc>
        <w:tc>
          <w:tcPr>
            <w:tcW w:type="dxa" w:w="4320"/>
            <w:shd w:fill="F2F4F7"/>
            <w:vAlign w:val="center"/>
            <w:tcMar>
              <w:top w:w="80" w:type="dxa"/>
              <w:bottom w:w="80" w:type="dxa"/>
              <w:start w:w="120" w:type="dxa"/>
              <w:end w:w="120" w:type="dxa"/>
            </w:tcMar>
          </w:tcPr>
          <w:p>
            <w:pPr>
              <w:spacing w:after="0"/>
            </w:pPr>
            <w:r>
              <w:rPr>
                <w:rFonts w:ascii="Calibri" w:hAnsi="Calibri"/>
                <w:b/>
                <w:i w:val="0"/>
                <w:color w:val="1F3A5F"/>
                <w:sz w:val="17"/>
              </w:rPr>
              <w:t>Current quoted term</w:t>
            </w:r>
          </w:p>
        </w:tc>
      </w:tr>
      <w:tr>
        <w:trPr/>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Property</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103,450</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96,800</w:t>
            </w:r>
          </w:p>
        </w:tc>
        <w:tc>
          <w:tcPr>
            <w:tcW w:type="dxa" w:w="4320"/>
            <w:vAlign w:val="center"/>
            <w:tcMar>
              <w:top w:w="80" w:type="dxa"/>
              <w:bottom w:w="80" w:type="dxa"/>
              <w:start w:w="120" w:type="dxa"/>
              <w:end w:w="120" w:type="dxa"/>
            </w:tcMar>
          </w:tcPr>
          <w:p>
            <w:pPr>
              <w:spacing w:after="0"/>
            </w:pPr>
            <w:r>
              <w:rPr>
                <w:rFonts w:ascii="Calibri" w:hAnsi="Calibri"/>
                <w:b w:val="0"/>
                <w:i w:val="0"/>
                <w:color w:val="14181C"/>
                <w:sz w:val="17"/>
              </w:rPr>
              <w:t>USD 50,000 all-other-perils deductible</w:t>
            </w:r>
          </w:p>
        </w:tc>
      </w:tr>
      <w:tr>
        <w:trPr/>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Equipment breakdown</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7,950</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7,950</w:t>
            </w:r>
          </w:p>
        </w:tc>
        <w:tc>
          <w:tcPr>
            <w:tcW w:type="dxa" w:w="4320"/>
            <w:vAlign w:val="center"/>
            <w:tcMar>
              <w:top w:w="80" w:type="dxa"/>
              <w:bottom w:w="80" w:type="dxa"/>
              <w:start w:w="120" w:type="dxa"/>
              <w:end w:w="120" w:type="dxa"/>
            </w:tcMar>
          </w:tcPr>
          <w:p>
            <w:pPr>
              <w:spacing w:after="0"/>
            </w:pPr>
            <w:r>
              <w:rPr>
                <w:rFonts w:ascii="Calibri" w:hAnsi="Calibri"/>
                <w:b w:val="0"/>
                <w:i w:val="0"/>
                <w:color w:val="14181C"/>
                <w:sz w:val="17"/>
              </w:rPr>
              <w:t>USD 25,000 deductible</w:t>
            </w:r>
          </w:p>
        </w:tc>
      </w:tr>
      <w:tr>
        <w:trPr/>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Commercial general liability</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27,400</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27,400</w:t>
            </w:r>
          </w:p>
        </w:tc>
        <w:tc>
          <w:tcPr>
            <w:tcW w:type="dxa" w:w="4320"/>
            <w:vAlign w:val="center"/>
            <w:tcMar>
              <w:top w:w="80" w:type="dxa"/>
              <w:bottom w:w="80" w:type="dxa"/>
              <w:start w:w="120" w:type="dxa"/>
              <w:end w:w="120" w:type="dxa"/>
            </w:tcMar>
          </w:tcPr>
          <w:p>
            <w:pPr>
              <w:spacing w:after="0"/>
            </w:pPr>
            <w:r>
              <w:rPr>
                <w:rFonts w:ascii="Calibri" w:hAnsi="Calibri"/>
                <w:b w:val="0"/>
                <w:i w:val="0"/>
                <w:color w:val="14181C"/>
                <w:sz w:val="17"/>
              </w:rPr>
              <w:t>USD 10,000 self-insured retention</w:t>
            </w:r>
          </w:p>
        </w:tc>
      </w:tr>
      <w:tr>
        <w:trPr/>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Commercial umbrella</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12,400</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12,400</w:t>
            </w:r>
          </w:p>
        </w:tc>
        <w:tc>
          <w:tcPr>
            <w:tcW w:type="dxa" w:w="4320"/>
            <w:vAlign w:val="center"/>
            <w:tcMar>
              <w:top w:w="80" w:type="dxa"/>
              <w:bottom w:w="80" w:type="dxa"/>
              <w:start w:w="120" w:type="dxa"/>
              <w:end w:w="120" w:type="dxa"/>
            </w:tcMar>
          </w:tcPr>
          <w:p>
            <w:pPr>
              <w:spacing w:after="0"/>
            </w:pPr>
            <w:r>
              <w:rPr>
                <w:rFonts w:ascii="Calibri" w:hAnsi="Calibri"/>
                <w:b w:val="0"/>
                <w:i w:val="0"/>
                <w:color w:val="14181C"/>
                <w:sz w:val="17"/>
              </w:rPr>
              <w:t>USD 10,000,000 each occurrence</w:t>
            </w:r>
          </w:p>
        </w:tc>
      </w:tr>
      <w:tr>
        <w:trPr/>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Total annual package premium</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151,200</w:t>
            </w:r>
          </w:p>
        </w:tc>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USD 144,550</w:t>
            </w:r>
          </w:p>
        </w:tc>
        <w:tc>
          <w:tcPr>
            <w:tcW w:type="dxa" w:w="4320"/>
            <w:vAlign w:val="center"/>
            <w:tcMar>
              <w:top w:w="80" w:type="dxa"/>
              <w:bottom w:w="80" w:type="dxa"/>
              <w:start w:w="120" w:type="dxa"/>
              <w:end w:w="120" w:type="dxa"/>
            </w:tcMar>
          </w:tcPr>
          <w:p>
            <w:pPr>
              <w:spacing w:after="0"/>
            </w:pPr>
            <w:r>
              <w:rPr>
                <w:rFonts w:ascii="Calibri" w:hAnsi="Calibri"/>
                <w:b w:val="0"/>
                <w:i w:val="0"/>
                <w:color w:val="14181C"/>
                <w:sz w:val="17"/>
              </w:rPr>
              <w:t>Revision 2 supersedes revision 1</w:t>
            </w:r>
          </w:p>
        </w:tc>
      </w:tr>
    </w:tbl>
    <w:p>
      <w:pPr>
        <w:spacing w:after="0"/>
      </w:pPr>
    </w:p>
    <w:p>
      <w:r>
        <w:rPr>
          <w:rFonts w:ascii="Calibri" w:hAnsi="Calibri"/>
          <w:b w:val="0"/>
          <w:i w:val="0"/>
          <w:color w:val="14181C"/>
          <w:sz w:val="22"/>
        </w:rPr>
        <w:t>Quote revision 2 reduced the property premium by USD 6,650 after Granite Harbor incorporated the August engineering review. No other quoted coverage premium changed. Terrorism coverage remains subject to a separate election and is not included in the package premium above.</w:t>
      </w:r>
    </w:p>
    <w:p>
      <w:pPr>
        <w:pStyle w:val="Heading1"/>
      </w:pPr>
      <w:r>
        <w:t>Exposure summary</w:t>
      </w:r>
    </w:p>
    <w:tbl>
      <w:tblPr>
        <w:tblStyle w:val="TableGrid"/>
        <w:tblW w:type="dxa" w:w="9360"/>
        <w:jc w:val="left"/>
        <w:tblLayout w:type="fixed"/>
        <w:tblLook w:firstColumn="1" w:firstRow="1" w:lastColumn="0" w:lastRow="0" w:noHBand="0" w:noVBand="1" w:val="04A0"/>
        <w:tblInd w:type="dxa" w:w="120"/>
      </w:tblPr>
      <w:tblGrid>
        <w:gridCol w:w="1152"/>
        <w:gridCol w:w="936"/>
        <w:gridCol w:w="1728"/>
        <w:gridCol w:w="2088"/>
        <w:gridCol w:w="1728"/>
        <w:gridCol w:w="1728"/>
      </w:tblGrid>
      <w:tr>
        <w:trPr>
          <w:tblHeader w:val="true"/>
        </w:trPr>
        <w:tc>
          <w:tcPr>
            <w:tcW w:type="dxa" w:w="1152"/>
            <w:shd w:fill="F2F4F7"/>
            <w:vAlign w:val="center"/>
            <w:tcMar>
              <w:top w:w="80" w:type="dxa"/>
              <w:bottom w:w="80" w:type="dxa"/>
              <w:start w:w="120" w:type="dxa"/>
              <w:end w:w="120" w:type="dxa"/>
            </w:tcMar>
          </w:tcPr>
          <w:p>
            <w:pPr>
              <w:spacing w:after="0"/>
            </w:pPr>
            <w:r>
              <w:rPr>
                <w:rFonts w:ascii="Calibri" w:hAnsi="Calibri"/>
                <w:b/>
                <w:i w:val="0"/>
                <w:color w:val="1F3A5F"/>
                <w:sz w:val="16"/>
              </w:rPr>
              <w:t>State</w:t>
            </w:r>
          </w:p>
        </w:tc>
        <w:tc>
          <w:tcPr>
            <w:tcW w:type="dxa" w:w="936"/>
            <w:shd w:fill="F2F4F7"/>
            <w:vAlign w:val="center"/>
            <w:tcMar>
              <w:top w:w="80" w:type="dxa"/>
              <w:bottom w:w="80" w:type="dxa"/>
              <w:start w:w="120" w:type="dxa"/>
              <w:end w:w="120" w:type="dxa"/>
            </w:tcMar>
          </w:tcPr>
          <w:p>
            <w:pPr>
              <w:spacing w:after="0"/>
            </w:pPr>
            <w:r>
              <w:rPr>
                <w:rFonts w:ascii="Calibri" w:hAnsi="Calibri"/>
                <w:b/>
                <w:i w:val="0"/>
                <w:color w:val="1F3A5F"/>
                <w:sz w:val="16"/>
              </w:rPr>
              <w:t>Locations</w:t>
            </w:r>
          </w:p>
        </w:tc>
        <w:tc>
          <w:tcPr>
            <w:tcW w:type="dxa" w:w="1728"/>
            <w:shd w:fill="F2F4F7"/>
            <w:vAlign w:val="center"/>
            <w:tcMar>
              <w:top w:w="80" w:type="dxa"/>
              <w:bottom w:w="80" w:type="dxa"/>
              <w:start w:w="120" w:type="dxa"/>
              <w:end w:w="120" w:type="dxa"/>
            </w:tcMar>
          </w:tcPr>
          <w:p>
            <w:pPr>
              <w:spacing w:after="0"/>
            </w:pPr>
            <w:r>
              <w:rPr>
                <w:rFonts w:ascii="Calibri" w:hAnsi="Calibri"/>
                <w:b/>
                <w:i w:val="0"/>
                <w:color w:val="1F3A5F"/>
                <w:sz w:val="16"/>
              </w:rPr>
              <w:t>Building</w:t>
            </w:r>
          </w:p>
        </w:tc>
        <w:tc>
          <w:tcPr>
            <w:tcW w:type="dxa" w:w="2088"/>
            <w:shd w:fill="F2F4F7"/>
            <w:vAlign w:val="center"/>
            <w:tcMar>
              <w:top w:w="80" w:type="dxa"/>
              <w:bottom w:w="80" w:type="dxa"/>
              <w:start w:w="120" w:type="dxa"/>
              <w:end w:w="120" w:type="dxa"/>
            </w:tcMar>
          </w:tcPr>
          <w:p>
            <w:pPr>
              <w:spacing w:after="0"/>
            </w:pPr>
            <w:r>
              <w:rPr>
                <w:rFonts w:ascii="Calibri" w:hAnsi="Calibri"/>
                <w:b/>
                <w:i w:val="0"/>
                <w:color w:val="1F3A5F"/>
                <w:sz w:val="16"/>
              </w:rPr>
              <w:t>Business personal property</w:t>
            </w:r>
          </w:p>
        </w:tc>
        <w:tc>
          <w:tcPr>
            <w:tcW w:type="dxa" w:w="1728"/>
            <w:shd w:fill="F2F4F7"/>
            <w:vAlign w:val="center"/>
            <w:tcMar>
              <w:top w:w="80" w:type="dxa"/>
              <w:bottom w:w="80" w:type="dxa"/>
              <w:start w:w="120" w:type="dxa"/>
              <w:end w:w="120" w:type="dxa"/>
            </w:tcMar>
          </w:tcPr>
          <w:p>
            <w:pPr>
              <w:spacing w:after="0"/>
            </w:pPr>
            <w:r>
              <w:rPr>
                <w:rFonts w:ascii="Calibri" w:hAnsi="Calibri"/>
                <w:b/>
                <w:i w:val="0"/>
                <w:color w:val="1F3A5F"/>
                <w:sz w:val="16"/>
              </w:rPr>
              <w:t>Business income</w:t>
            </w:r>
          </w:p>
        </w:tc>
        <w:tc>
          <w:tcPr>
            <w:tcW w:type="dxa" w:w="1728"/>
            <w:shd w:fill="F2F4F7"/>
            <w:vAlign w:val="center"/>
            <w:tcMar>
              <w:top w:w="80" w:type="dxa"/>
              <w:bottom w:w="80" w:type="dxa"/>
              <w:start w:w="120" w:type="dxa"/>
              <w:end w:w="120" w:type="dxa"/>
            </w:tcMar>
          </w:tcPr>
          <w:p>
            <w:pPr>
              <w:spacing w:after="0"/>
            </w:pPr>
            <w:r>
              <w:rPr>
                <w:rFonts w:ascii="Calibri" w:hAnsi="Calibri"/>
                <w:b/>
                <w:i w:val="0"/>
                <w:color w:val="1F3A5F"/>
                <w:sz w:val="16"/>
              </w:rPr>
              <w:t>Total insured value</w:t>
            </w:r>
          </w:p>
        </w:tc>
      </w:tr>
      <w:tr>
        <w:trPr/>
        <w:tc>
          <w:tcPr>
            <w:tcW w:type="dxa" w:w="1152"/>
            <w:vAlign w:val="center"/>
            <w:tcMar>
              <w:top w:w="80" w:type="dxa"/>
              <w:bottom w:w="80" w:type="dxa"/>
              <w:start w:w="120" w:type="dxa"/>
              <w:end w:w="120" w:type="dxa"/>
            </w:tcMar>
          </w:tcPr>
          <w:p>
            <w:pPr>
              <w:spacing w:after="0"/>
            </w:pPr>
            <w:r>
              <w:rPr>
                <w:rFonts w:ascii="Calibri" w:hAnsi="Calibri"/>
                <w:b w:val="0"/>
                <w:i w:val="0"/>
                <w:color w:val="14181C"/>
                <w:sz w:val="16"/>
              </w:rPr>
              <w:t>Washington</w:t>
            </w:r>
          </w:p>
        </w:tc>
        <w:tc>
          <w:tcPr>
            <w:tcW w:type="dxa" w:w="936"/>
            <w:vAlign w:val="center"/>
            <w:tcMar>
              <w:top w:w="80" w:type="dxa"/>
              <w:bottom w:w="80" w:type="dxa"/>
              <w:start w:w="120" w:type="dxa"/>
              <w:end w:w="120" w:type="dxa"/>
            </w:tcMar>
          </w:tcPr>
          <w:p>
            <w:pPr>
              <w:spacing w:after="0"/>
            </w:pPr>
            <w:r>
              <w:rPr>
                <w:rFonts w:ascii="Calibri" w:hAnsi="Calibri"/>
                <w:b w:val="0"/>
                <w:i w:val="0"/>
                <w:color w:val="14181C"/>
                <w:sz w:val="16"/>
              </w:rPr>
              <w:t>2</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21,300,000</w:t>
            </w:r>
          </w:p>
        </w:tc>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USD 6,300,000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3,900,000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31,500,000</w:t>
            </w:r>
          </w:p>
        </w:tc>
      </w:tr>
      <w:tr>
        <w:trPr/>
        <w:tc>
          <w:tcPr>
            <w:tcW w:type="dxa" w:w="1152"/>
            <w:vAlign w:val="center"/>
            <w:tcMar>
              <w:top w:w="80" w:type="dxa"/>
              <w:bottom w:w="80" w:type="dxa"/>
              <w:start w:w="120" w:type="dxa"/>
              <w:end w:w="120" w:type="dxa"/>
            </w:tcMar>
          </w:tcPr>
          <w:p>
            <w:pPr>
              <w:spacing w:after="0"/>
            </w:pPr>
            <w:r>
              <w:rPr>
                <w:rFonts w:ascii="Calibri" w:hAnsi="Calibri"/>
                <w:b w:val="0"/>
                <w:i w:val="0"/>
                <w:color w:val="14181C"/>
                <w:sz w:val="16"/>
              </w:rPr>
              <w:t>Oregon</w:t>
            </w:r>
          </w:p>
        </w:tc>
        <w:tc>
          <w:tcPr>
            <w:tcW w:type="dxa" w:w="936"/>
            <w:vAlign w:val="center"/>
            <w:tcMar>
              <w:top w:w="80" w:type="dxa"/>
              <w:bottom w:w="80" w:type="dxa"/>
              <w:start w:w="120" w:type="dxa"/>
              <w:end w:w="120" w:type="dxa"/>
            </w:tcMar>
          </w:tcPr>
          <w:p>
            <w:pPr>
              <w:spacing w:after="0"/>
            </w:pPr>
            <w:r>
              <w:rPr>
                <w:rFonts w:ascii="Calibri" w:hAnsi="Calibri"/>
                <w:b w:val="0"/>
                <w:i w:val="0"/>
                <w:color w:val="14181C"/>
                <w:sz w:val="16"/>
              </w:rPr>
              <w:t>3</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24,800,000</w:t>
            </w:r>
          </w:p>
        </w:tc>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USD 8,800,000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5,100,000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38,700,000</w:t>
            </w:r>
          </w:p>
        </w:tc>
      </w:tr>
      <w:tr>
        <w:trPr/>
        <w:tc>
          <w:tcPr>
            <w:tcW w:type="dxa" w:w="1152"/>
            <w:vAlign w:val="center"/>
            <w:tcMar>
              <w:top w:w="80" w:type="dxa"/>
              <w:bottom w:w="80" w:type="dxa"/>
              <w:start w:w="120" w:type="dxa"/>
              <w:end w:w="120" w:type="dxa"/>
            </w:tcMar>
          </w:tcPr>
          <w:p>
            <w:pPr>
              <w:spacing w:after="0"/>
            </w:pPr>
            <w:r>
              <w:rPr>
                <w:rFonts w:ascii="Calibri" w:hAnsi="Calibri"/>
                <w:b w:val="0"/>
                <w:i w:val="0"/>
                <w:color w:val="14181C"/>
                <w:sz w:val="16"/>
              </w:rPr>
              <w:t>Idaho</w:t>
            </w:r>
          </w:p>
        </w:tc>
        <w:tc>
          <w:tcPr>
            <w:tcW w:type="dxa" w:w="936"/>
            <w:vAlign w:val="center"/>
            <w:tcMar>
              <w:top w:w="80" w:type="dxa"/>
              <w:bottom w:w="80" w:type="dxa"/>
              <w:start w:w="120" w:type="dxa"/>
              <w:end w:w="120" w:type="dxa"/>
            </w:tcMar>
          </w:tcPr>
          <w:p>
            <w:pPr>
              <w:spacing w:after="0"/>
            </w:pPr>
            <w:r>
              <w:rPr>
                <w:rFonts w:ascii="Calibri" w:hAnsi="Calibri"/>
                <w:b w:val="0"/>
                <w:i w:val="0"/>
                <w:color w:val="14181C"/>
                <w:sz w:val="16"/>
              </w:rPr>
              <w:t>1</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9,100,000</w:t>
            </w:r>
          </w:p>
        </w:tc>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USD 3,200,000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1,700,000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14,000,000</w:t>
            </w:r>
          </w:p>
        </w:tc>
      </w:tr>
      <w:tr>
        <w:trPr/>
        <w:tc>
          <w:tcPr>
            <w:tcW w:type="dxa" w:w="1152"/>
            <w:vAlign w:val="center"/>
            <w:tcMar>
              <w:top w:w="80" w:type="dxa"/>
              <w:bottom w:w="80" w:type="dxa"/>
              <w:start w:w="120" w:type="dxa"/>
              <w:end w:w="120" w:type="dxa"/>
            </w:tcMar>
          </w:tcPr>
          <w:p>
            <w:pPr>
              <w:spacing w:after="0"/>
            </w:pPr>
            <w:r>
              <w:rPr>
                <w:rFonts w:ascii="Calibri" w:hAnsi="Calibri"/>
                <w:b w:val="0"/>
                <w:i w:val="0"/>
                <w:color w:val="14181C"/>
                <w:sz w:val="16"/>
              </w:rPr>
              <w:t>Total</w:t>
            </w:r>
          </w:p>
        </w:tc>
        <w:tc>
          <w:tcPr>
            <w:tcW w:type="dxa" w:w="936"/>
            <w:vAlign w:val="center"/>
            <w:tcMar>
              <w:top w:w="80" w:type="dxa"/>
              <w:bottom w:w="80" w:type="dxa"/>
              <w:start w:w="120" w:type="dxa"/>
              <w:end w:w="120" w:type="dxa"/>
            </w:tcMar>
          </w:tcPr>
          <w:p>
            <w:pPr>
              <w:spacing w:after="0"/>
            </w:pPr>
            <w:r>
              <w:rPr>
                <w:rFonts w:ascii="Calibri" w:hAnsi="Calibri"/>
                <w:b w:val="0"/>
                <w:i w:val="0"/>
                <w:color w:val="14181C"/>
                <w:sz w:val="16"/>
              </w:rPr>
              <w:t>6</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55,200,000</w:t>
            </w:r>
          </w:p>
        </w:tc>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USD 18,300,000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10,700,000</w:t>
            </w:r>
          </w:p>
        </w:tc>
        <w:tc>
          <w:tcPr>
            <w:tcW w:type="dxa" w:w="1728"/>
            <w:vAlign w:val="center"/>
            <w:tcMar>
              <w:top w:w="80" w:type="dxa"/>
              <w:bottom w:w="80" w:type="dxa"/>
              <w:start w:w="120" w:type="dxa"/>
              <w:end w:w="120" w:type="dxa"/>
            </w:tcMar>
          </w:tcPr>
          <w:p>
            <w:pPr>
              <w:spacing w:after="0"/>
            </w:pPr>
            <w:r>
              <w:rPr>
                <w:rFonts w:ascii="Calibri" w:hAnsi="Calibri"/>
                <w:b w:val="0"/>
                <w:i w:val="0"/>
                <w:color w:val="14181C"/>
                <w:sz w:val="16"/>
              </w:rPr>
              <w:t>USD 84,200,000</w:t>
            </w:r>
          </w:p>
        </w:tc>
      </w:tr>
    </w:tbl>
    <w:p>
      <w:pPr>
        <w:spacing w:after="0"/>
      </w:pPr>
    </w:p>
    <w:p>
      <w:pPr>
        <w:pStyle w:val="Heading1"/>
      </w:pPr>
      <w:r>
        <w:t>Loss experience</w:t>
      </w:r>
    </w:p>
    <w:tbl>
      <w:tblPr>
        <w:tblStyle w:val="TableGrid"/>
        <w:tblW w:type="dxa" w:w="9360"/>
        <w:jc w:val="left"/>
        <w:tblLayout w:type="fixed"/>
        <w:tblLook w:firstColumn="1" w:firstRow="1" w:lastColumn="0" w:lastRow="0" w:noHBand="0" w:noVBand="1" w:val="04A0"/>
        <w:tblInd w:type="dxa" w:w="120"/>
      </w:tblPr>
      <w:tblGrid>
        <w:gridCol w:w="2390"/>
        <w:gridCol w:w="1991"/>
        <w:gridCol w:w="1991"/>
        <w:gridCol w:w="2988"/>
      </w:tblGrid>
      <w:tr>
        <w:trPr>
          <w:tblHeader w:val="true"/>
        </w:trPr>
        <w:tc>
          <w:tcPr>
            <w:tcW w:type="dxa" w:w="2390"/>
            <w:shd w:fill="F2F4F7"/>
            <w:vAlign w:val="center"/>
            <w:tcMar>
              <w:top w:w="80" w:type="dxa"/>
              <w:bottom w:w="80" w:type="dxa"/>
              <w:start w:w="120" w:type="dxa"/>
              <w:end w:w="120" w:type="dxa"/>
            </w:tcMar>
          </w:tcPr>
          <w:p>
            <w:pPr>
              <w:spacing w:after="0"/>
            </w:pPr>
            <w:r>
              <w:rPr>
                <w:rFonts w:ascii="Calibri" w:hAnsi="Calibri"/>
                <w:b/>
                <w:i w:val="0"/>
                <w:color w:val="1F3A5F"/>
                <w:sz w:val="18"/>
              </w:rPr>
              <w:t>Policy year</w:t>
            </w:r>
          </w:p>
        </w:tc>
        <w:tc>
          <w:tcPr>
            <w:tcW w:type="dxa" w:w="1991"/>
            <w:shd w:fill="F2F4F7"/>
            <w:vAlign w:val="center"/>
            <w:tcMar>
              <w:top w:w="80" w:type="dxa"/>
              <w:bottom w:w="80" w:type="dxa"/>
              <w:start w:w="120" w:type="dxa"/>
              <w:end w:w="120" w:type="dxa"/>
            </w:tcMar>
          </w:tcPr>
          <w:p>
            <w:pPr>
              <w:spacing w:after="0"/>
            </w:pPr>
            <w:r>
              <w:rPr>
                <w:rFonts w:ascii="Calibri" w:hAnsi="Calibri"/>
                <w:b/>
                <w:i w:val="0"/>
                <w:color w:val="1F3A5F"/>
                <w:sz w:val="18"/>
              </w:rPr>
              <w:t>Claim count</w:t>
            </w:r>
          </w:p>
        </w:tc>
        <w:tc>
          <w:tcPr>
            <w:tcW w:type="dxa" w:w="1991"/>
            <w:shd w:fill="F2F4F7"/>
            <w:vAlign w:val="center"/>
            <w:tcMar>
              <w:top w:w="80" w:type="dxa"/>
              <w:bottom w:w="80" w:type="dxa"/>
              <w:start w:w="120" w:type="dxa"/>
              <w:end w:w="120" w:type="dxa"/>
            </w:tcMar>
          </w:tcPr>
          <w:p>
            <w:pPr>
              <w:spacing w:after="0"/>
            </w:pPr>
            <w:r>
              <w:rPr>
                <w:rFonts w:ascii="Calibri" w:hAnsi="Calibri"/>
                <w:b/>
                <w:i w:val="0"/>
                <w:color w:val="1F3A5F"/>
                <w:sz w:val="18"/>
              </w:rPr>
              <w:t>Open claims</w:t>
            </w:r>
          </w:p>
        </w:tc>
        <w:tc>
          <w:tcPr>
            <w:tcW w:type="dxa" w:w="2988"/>
            <w:shd w:fill="F2F4F7"/>
            <w:vAlign w:val="center"/>
            <w:tcMar>
              <w:top w:w="80" w:type="dxa"/>
              <w:bottom w:w="80" w:type="dxa"/>
              <w:start w:w="120" w:type="dxa"/>
              <w:end w:w="120" w:type="dxa"/>
            </w:tcMar>
          </w:tcPr>
          <w:p>
            <w:pPr>
              <w:spacing w:after="0"/>
            </w:pPr>
            <w:r>
              <w:rPr>
                <w:rFonts w:ascii="Calibri" w:hAnsi="Calibri"/>
                <w:b/>
                <w:i w:val="0"/>
                <w:color w:val="1F3A5F"/>
                <w:sz w:val="18"/>
              </w:rPr>
              <w:t>Total net incurred</w:t>
            </w:r>
          </w:p>
        </w:tc>
      </w:tr>
      <w:tr>
        <w:trPr/>
        <w:tc>
          <w:tcPr>
            <w:tcW w:type="dxa" w:w="2390"/>
            <w:vAlign w:val="center"/>
            <w:tcMar>
              <w:top w:w="80" w:type="dxa"/>
              <w:bottom w:w="80" w:type="dxa"/>
              <w:start w:w="120" w:type="dxa"/>
              <w:end w:w="120" w:type="dxa"/>
            </w:tcMar>
          </w:tcPr>
          <w:p>
            <w:pPr>
              <w:spacing w:after="0"/>
            </w:pPr>
            <w:r>
              <w:rPr>
                <w:rFonts w:ascii="Calibri" w:hAnsi="Calibri"/>
                <w:b w:val="0"/>
                <w:i w:val="0"/>
                <w:color w:val="14181C"/>
                <w:sz w:val="18"/>
              </w:rPr>
              <w:t>2023</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3</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1</w:t>
            </w:r>
          </w:p>
        </w:tc>
        <w:tc>
          <w:tcPr>
            <w:tcW w:type="dxa" w:w="2988"/>
            <w:vAlign w:val="center"/>
            <w:tcMar>
              <w:top w:w="80" w:type="dxa"/>
              <w:bottom w:w="80" w:type="dxa"/>
              <w:start w:w="120" w:type="dxa"/>
              <w:end w:w="120" w:type="dxa"/>
            </w:tcMar>
          </w:tcPr>
          <w:p>
            <w:pPr>
              <w:spacing w:after="0"/>
            </w:pPr>
            <w:r>
              <w:rPr>
                <w:rFonts w:ascii="Calibri" w:hAnsi="Calibri"/>
                <w:b w:val="0"/>
                <w:i w:val="0"/>
                <w:color w:val="14181C"/>
                <w:sz w:val="18"/>
              </w:rPr>
              <w:t>USD 313,500</w:t>
            </w:r>
          </w:p>
        </w:tc>
      </w:tr>
      <w:tr>
        <w:trPr/>
        <w:tc>
          <w:tcPr>
            <w:tcW w:type="dxa" w:w="2390"/>
            <w:vAlign w:val="center"/>
            <w:tcMar>
              <w:top w:w="80" w:type="dxa"/>
              <w:bottom w:w="80" w:type="dxa"/>
              <w:start w:w="120" w:type="dxa"/>
              <w:end w:w="120" w:type="dxa"/>
            </w:tcMar>
          </w:tcPr>
          <w:p>
            <w:pPr>
              <w:spacing w:after="0"/>
            </w:pPr>
            <w:r>
              <w:rPr>
                <w:rFonts w:ascii="Calibri" w:hAnsi="Calibri"/>
                <w:b w:val="0"/>
                <w:i w:val="0"/>
                <w:color w:val="14181C"/>
                <w:sz w:val="18"/>
              </w:rPr>
              <w:t>2024</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3</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1</w:t>
            </w:r>
          </w:p>
        </w:tc>
        <w:tc>
          <w:tcPr>
            <w:tcW w:type="dxa" w:w="2988"/>
            <w:vAlign w:val="center"/>
            <w:tcMar>
              <w:top w:w="80" w:type="dxa"/>
              <w:bottom w:w="80" w:type="dxa"/>
              <w:start w:w="120" w:type="dxa"/>
              <w:end w:w="120" w:type="dxa"/>
            </w:tcMar>
          </w:tcPr>
          <w:p>
            <w:pPr>
              <w:spacing w:after="0"/>
            </w:pPr>
            <w:r>
              <w:rPr>
                <w:rFonts w:ascii="Calibri" w:hAnsi="Calibri"/>
                <w:b w:val="0"/>
                <w:i w:val="0"/>
                <w:color w:val="14181C"/>
                <w:sz w:val="18"/>
              </w:rPr>
              <w:t>USD 581,800</w:t>
            </w:r>
          </w:p>
        </w:tc>
      </w:tr>
      <w:tr>
        <w:trPr/>
        <w:tc>
          <w:tcPr>
            <w:tcW w:type="dxa" w:w="2390"/>
            <w:vAlign w:val="center"/>
            <w:tcMar>
              <w:top w:w="80" w:type="dxa"/>
              <w:bottom w:w="80" w:type="dxa"/>
              <w:start w:w="120" w:type="dxa"/>
              <w:end w:w="120" w:type="dxa"/>
            </w:tcMar>
          </w:tcPr>
          <w:p>
            <w:pPr>
              <w:spacing w:after="0"/>
            </w:pPr>
            <w:r>
              <w:rPr>
                <w:rFonts w:ascii="Calibri" w:hAnsi="Calibri"/>
                <w:b w:val="0"/>
                <w:i w:val="0"/>
                <w:color w:val="14181C"/>
                <w:sz w:val="18"/>
              </w:rPr>
              <w:t>2025</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3</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2</w:t>
            </w:r>
          </w:p>
        </w:tc>
        <w:tc>
          <w:tcPr>
            <w:tcW w:type="dxa" w:w="2988"/>
            <w:vAlign w:val="center"/>
            <w:tcMar>
              <w:top w:w="80" w:type="dxa"/>
              <w:bottom w:w="80" w:type="dxa"/>
              <w:start w:w="120" w:type="dxa"/>
              <w:end w:w="120" w:type="dxa"/>
            </w:tcMar>
          </w:tcPr>
          <w:p>
            <w:pPr>
              <w:spacing w:after="0"/>
            </w:pPr>
            <w:r>
              <w:rPr>
                <w:rFonts w:ascii="Calibri" w:hAnsi="Calibri"/>
                <w:b w:val="0"/>
                <w:i w:val="0"/>
                <w:color w:val="14181C"/>
                <w:sz w:val="18"/>
              </w:rPr>
              <w:t>USD 295,400</w:t>
            </w:r>
          </w:p>
        </w:tc>
      </w:tr>
      <w:tr>
        <w:trPr/>
        <w:tc>
          <w:tcPr>
            <w:tcW w:type="dxa" w:w="2390"/>
            <w:vAlign w:val="center"/>
            <w:tcMar>
              <w:top w:w="80" w:type="dxa"/>
              <w:bottom w:w="80" w:type="dxa"/>
              <w:start w:w="120" w:type="dxa"/>
              <w:end w:w="120" w:type="dxa"/>
            </w:tcMar>
          </w:tcPr>
          <w:p>
            <w:pPr>
              <w:spacing w:after="0"/>
            </w:pPr>
            <w:r>
              <w:rPr>
                <w:rFonts w:ascii="Calibri" w:hAnsi="Calibri"/>
                <w:b w:val="0"/>
                <w:i w:val="0"/>
                <w:color w:val="14181C"/>
                <w:sz w:val="18"/>
              </w:rPr>
              <w:t>Total</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9</w:t>
            </w:r>
          </w:p>
        </w:tc>
        <w:tc>
          <w:tcPr>
            <w:tcW w:type="dxa" w:w="1991"/>
            <w:vAlign w:val="center"/>
            <w:tcMar>
              <w:top w:w="80" w:type="dxa"/>
              <w:bottom w:w="80" w:type="dxa"/>
              <w:start w:w="120" w:type="dxa"/>
              <w:end w:w="120" w:type="dxa"/>
            </w:tcMar>
          </w:tcPr>
          <w:p>
            <w:pPr>
              <w:spacing w:after="0"/>
            </w:pPr>
            <w:r>
              <w:rPr>
                <w:rFonts w:ascii="Calibri" w:hAnsi="Calibri"/>
                <w:b w:val="0"/>
                <w:i w:val="0"/>
                <w:color w:val="14181C"/>
                <w:sz w:val="18"/>
              </w:rPr>
              <w:t>4</w:t>
            </w:r>
          </w:p>
        </w:tc>
        <w:tc>
          <w:tcPr>
            <w:tcW w:type="dxa" w:w="2988"/>
            <w:vAlign w:val="center"/>
            <w:tcMar>
              <w:top w:w="80" w:type="dxa"/>
              <w:bottom w:w="80" w:type="dxa"/>
              <w:start w:w="120" w:type="dxa"/>
              <w:end w:w="120" w:type="dxa"/>
            </w:tcMar>
          </w:tcPr>
          <w:p>
            <w:pPr>
              <w:spacing w:after="0"/>
            </w:pPr>
            <w:r>
              <w:rPr>
                <w:rFonts w:ascii="Calibri" w:hAnsi="Calibri"/>
                <w:b w:val="0"/>
                <w:i w:val="0"/>
                <w:color w:val="14181C"/>
                <w:sz w:val="18"/>
              </w:rPr>
              <w:t>USD 1,190,700</w:t>
            </w:r>
          </w:p>
        </w:tc>
      </w:tr>
    </w:tbl>
    <w:p>
      <w:pPr>
        <w:spacing w:after="0"/>
      </w:pPr>
    </w:p>
    <w:p>
      <w:r>
        <w:rPr>
          <w:rFonts w:ascii="Calibri" w:hAnsi="Calibri"/>
          <w:b w:val="0"/>
          <w:i w:val="0"/>
          <w:color w:val="14181C"/>
          <w:sz w:val="22"/>
        </w:rPr>
        <w:t>The largest claim is CLM-2401, a January 2024 fire at the Portland fabrication plant with USD 410,000 net incurred. The claim remains open. The complete row-level loss detail is maintained in 06_loss_runs.csv.</w:t>
      </w:r>
    </w:p>
    <w:p>
      <w:pPr>
        <w:pStyle w:val="Heading1"/>
      </w:pPr>
      <w:r>
        <w:t>Property terms and placement conditions</w:t>
      </w:r>
    </w:p>
    <w:tbl>
      <w:tblPr>
        <w:tblStyle w:val="TableGrid"/>
        <w:tblW w:type="dxa" w:w="9360"/>
        <w:jc w:val="left"/>
        <w:tblLayout w:type="fixed"/>
        <w:tblLook w:firstColumn="1" w:firstRow="1" w:lastColumn="0" w:lastRow="0" w:noHBand="0" w:noVBand="1" w:val="04A0"/>
        <w:tblInd w:type="dxa" w:w="120"/>
      </w:tblPr>
      <w:tblGrid>
        <w:gridCol w:w="2088"/>
        <w:gridCol w:w="2664"/>
        <w:gridCol w:w="4608"/>
      </w:tblGrid>
      <w:tr>
        <w:trPr>
          <w:tblHeader w:val="true"/>
        </w:trPr>
        <w:tc>
          <w:tcPr>
            <w:tcW w:type="dxa" w:w="2088"/>
            <w:shd w:fill="F2F4F7"/>
            <w:vAlign w:val="center"/>
            <w:tcMar>
              <w:top w:w="80" w:type="dxa"/>
              <w:bottom w:w="80" w:type="dxa"/>
              <w:start w:w="120" w:type="dxa"/>
              <w:end w:w="120" w:type="dxa"/>
            </w:tcMar>
          </w:tcPr>
          <w:p>
            <w:pPr>
              <w:spacing w:after="0"/>
            </w:pPr>
            <w:r>
              <w:rPr>
                <w:rFonts w:ascii="Calibri" w:hAnsi="Calibri"/>
                <w:b/>
                <w:i w:val="0"/>
                <w:color w:val="1F3A5F"/>
                <w:sz w:val="16"/>
              </w:rPr>
              <w:t>Term</w:t>
            </w:r>
          </w:p>
        </w:tc>
        <w:tc>
          <w:tcPr>
            <w:tcW w:type="dxa" w:w="2664"/>
            <w:shd w:fill="F2F4F7"/>
            <w:vAlign w:val="center"/>
            <w:tcMar>
              <w:top w:w="80" w:type="dxa"/>
              <w:bottom w:w="80" w:type="dxa"/>
              <w:start w:w="120" w:type="dxa"/>
              <w:end w:w="120" w:type="dxa"/>
            </w:tcMar>
          </w:tcPr>
          <w:p>
            <w:pPr>
              <w:spacing w:after="0"/>
            </w:pPr>
            <w:r>
              <w:rPr>
                <w:rFonts w:ascii="Calibri" w:hAnsi="Calibri"/>
                <w:b/>
                <w:i w:val="0"/>
                <w:color w:val="1F3A5F"/>
                <w:sz w:val="16"/>
              </w:rPr>
              <w:t>Quoted value</w:t>
            </w:r>
          </w:p>
        </w:tc>
        <w:tc>
          <w:tcPr>
            <w:tcW w:type="dxa" w:w="4608"/>
            <w:shd w:fill="F2F4F7"/>
            <w:vAlign w:val="center"/>
            <w:tcMar>
              <w:top w:w="80" w:type="dxa"/>
              <w:bottom w:w="80" w:type="dxa"/>
              <w:start w:w="120" w:type="dxa"/>
              <w:end w:w="120" w:type="dxa"/>
            </w:tcMar>
          </w:tcPr>
          <w:p>
            <w:pPr>
              <w:spacing w:after="0"/>
            </w:pPr>
            <w:r>
              <w:rPr>
                <w:rFonts w:ascii="Calibri" w:hAnsi="Calibri"/>
                <w:b/>
                <w:i w:val="0"/>
                <w:color w:val="1F3A5F"/>
                <w:sz w:val="16"/>
              </w:rPr>
              <w:t>Placement note</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All other perils deductible</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USD 50,000 per occurrence</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Applies unless a catastrophe deductible is shown</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Wind and hail deductible</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2% of location TIV; USD 250,000 minimum</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Per occurrence, per location</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Flood deductible</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2% of location TIV; USD 250,000 minimum</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Subject to flood-zone restrictions</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Earthquake deductible</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5% of location TIV; USD 500,000 minimum</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Per occurrence, per location</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Business income period</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18 months</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No ordinary payroll exclusion</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Eugene roof</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Replacement by December 31, 2026</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Evidence due to carrier after completion</w:t>
            </w:r>
          </w:p>
        </w:tc>
      </w:tr>
      <w:tr>
        <w:trPr/>
        <w:tc>
          <w:tcPr>
            <w:tcW w:type="dxa" w:w="2088"/>
            <w:vAlign w:val="center"/>
            <w:tcMar>
              <w:top w:w="80" w:type="dxa"/>
              <w:bottom w:w="80" w:type="dxa"/>
              <w:start w:w="120" w:type="dxa"/>
              <w:end w:w="120" w:type="dxa"/>
            </w:tcMar>
          </w:tcPr>
          <w:p>
            <w:pPr>
              <w:spacing w:after="0"/>
            </w:pPr>
            <w:r>
              <w:rPr>
                <w:rFonts w:ascii="Calibri" w:hAnsi="Calibri"/>
                <w:b w:val="0"/>
                <w:i w:val="0"/>
                <w:color w:val="14181C"/>
                <w:sz w:val="16"/>
              </w:rPr>
              <w:t>Bend sprinkler testing</w:t>
            </w:r>
          </w:p>
        </w:tc>
        <w:tc>
          <w:tcPr>
            <w:tcW w:type="dxa" w:w="2664"/>
            <w:vAlign w:val="center"/>
            <w:tcMar>
              <w:top w:w="80" w:type="dxa"/>
              <w:bottom w:w="80" w:type="dxa"/>
              <w:start w:w="120" w:type="dxa"/>
              <w:end w:w="120" w:type="dxa"/>
            </w:tcMar>
          </w:tcPr>
          <w:p>
            <w:pPr>
              <w:spacing w:after="0"/>
            </w:pPr>
            <w:r>
              <w:rPr>
                <w:rFonts w:ascii="Calibri" w:hAnsi="Calibri"/>
                <w:b w:val="0"/>
                <w:i w:val="0"/>
                <w:color w:val="14181C"/>
                <w:sz w:val="16"/>
              </w:rPr>
              <w:t>Updated inspection report</w:t>
            </w:r>
          </w:p>
        </w:tc>
        <w:tc>
          <w:tcPr>
            <w:tcW w:type="dxa" w:w="4608"/>
            <w:vAlign w:val="center"/>
            <w:tcMar>
              <w:top w:w="80" w:type="dxa"/>
              <w:bottom w:w="80" w:type="dxa"/>
              <w:start w:w="120" w:type="dxa"/>
              <w:end w:w="120" w:type="dxa"/>
            </w:tcMar>
          </w:tcPr>
          <w:p>
            <w:pPr>
              <w:spacing w:after="0"/>
            </w:pPr>
            <w:r>
              <w:rPr>
                <w:rFonts w:ascii="Calibri" w:hAnsi="Calibri"/>
                <w:b w:val="0"/>
                <w:i w:val="0"/>
                <w:color w:val="14181C"/>
                <w:sz w:val="16"/>
              </w:rPr>
              <w:t>Outstanding at quote acceptance</w:t>
            </w:r>
          </w:p>
        </w:tc>
      </w:tr>
    </w:tbl>
    <w:p>
      <w:pPr>
        <w:spacing w:after="0"/>
      </w:pPr>
    </w:p>
    <w:p>
      <w:pPr>
        <w:pStyle w:val="Heading1"/>
      </w:pPr>
      <w:r>
        <w:t>Placement status</w:t>
      </w:r>
    </w:p>
    <w:p>
      <w:r>
        <w:rPr>
          <w:rFonts w:ascii="Calibri" w:hAnsi="Calibri"/>
          <w:b w:val="0"/>
          <w:i w:val="0"/>
          <w:color w:val="14181C"/>
          <w:sz w:val="22"/>
        </w:rPr>
        <w:t>Alder Peak accepted quote revision 2 on September 12, 2026. At the time of this summary, Granite Harbor had not issued the binder. Final policy documents, carrier invoices, and any separate terrorism election are outside the scope of this pre-binding summary.</w:t>
      </w:r>
    </w:p>
    <w:p>
      <w:pPr>
        <w:pStyle w:val="Heading1"/>
      </w:pPr>
      <w:r>
        <w:t>Outstanding placement items</w:t>
      </w:r>
    </w:p>
    <w:tbl>
      <w:tblPr>
        <w:tblStyle w:val="TableGrid"/>
        <w:tblW w:type="dxa" w:w="9360"/>
        <w:jc w:val="left"/>
        <w:tblLayout w:type="fixed"/>
        <w:tblLook w:firstColumn="1" w:firstRow="1" w:lastColumn="0" w:lastRow="0" w:noHBand="0" w:noVBand="1" w:val="04A0"/>
        <w:tblInd w:type="dxa" w:w="120"/>
      </w:tblPr>
      <w:tblGrid>
        <w:gridCol w:w="2736"/>
        <w:gridCol w:w="2160"/>
        <w:gridCol w:w="4464"/>
      </w:tblGrid>
      <w:tr>
        <w:trPr>
          <w:tblHeader w:val="true"/>
        </w:trPr>
        <w:tc>
          <w:tcPr>
            <w:tcW w:type="dxa" w:w="2736"/>
            <w:shd w:fill="F2F4F7"/>
            <w:vAlign w:val="center"/>
            <w:tcMar>
              <w:top w:w="80" w:type="dxa"/>
              <w:bottom w:w="80" w:type="dxa"/>
              <w:start w:w="120" w:type="dxa"/>
              <w:end w:w="120" w:type="dxa"/>
            </w:tcMar>
          </w:tcPr>
          <w:p>
            <w:pPr>
              <w:spacing w:after="0"/>
            </w:pPr>
            <w:r>
              <w:rPr>
                <w:rFonts w:ascii="Calibri" w:hAnsi="Calibri"/>
                <w:b/>
                <w:i w:val="0"/>
                <w:color w:val="1F3A5F"/>
                <w:sz w:val="17"/>
              </w:rPr>
              <w:t>Item</w:t>
            </w:r>
          </w:p>
        </w:tc>
        <w:tc>
          <w:tcPr>
            <w:tcW w:type="dxa" w:w="2160"/>
            <w:shd w:fill="F2F4F7"/>
            <w:vAlign w:val="center"/>
            <w:tcMar>
              <w:top w:w="80" w:type="dxa"/>
              <w:bottom w:w="80" w:type="dxa"/>
              <w:start w:w="120" w:type="dxa"/>
              <w:end w:w="120" w:type="dxa"/>
            </w:tcMar>
          </w:tcPr>
          <w:p>
            <w:pPr>
              <w:spacing w:after="0"/>
            </w:pPr>
            <w:r>
              <w:rPr>
                <w:rFonts w:ascii="Calibri" w:hAnsi="Calibri"/>
                <w:b/>
                <w:i w:val="0"/>
                <w:color w:val="1F3A5F"/>
                <w:sz w:val="17"/>
              </w:rPr>
              <w:t>Responsible party</w:t>
            </w:r>
          </w:p>
        </w:tc>
        <w:tc>
          <w:tcPr>
            <w:tcW w:type="dxa" w:w="4464"/>
            <w:shd w:fill="F2F4F7"/>
            <w:vAlign w:val="center"/>
            <w:tcMar>
              <w:top w:w="80" w:type="dxa"/>
              <w:bottom w:w="80" w:type="dxa"/>
              <w:start w:w="120" w:type="dxa"/>
              <w:end w:w="120" w:type="dxa"/>
            </w:tcMar>
          </w:tcPr>
          <w:p>
            <w:pPr>
              <w:spacing w:after="0"/>
            </w:pPr>
            <w:r>
              <w:rPr>
                <w:rFonts w:ascii="Calibri" w:hAnsi="Calibri"/>
                <w:b/>
                <w:i w:val="0"/>
                <w:color w:val="1F3A5F"/>
                <w:sz w:val="17"/>
              </w:rPr>
              <w:t>Status or due date</w:t>
            </w:r>
          </w:p>
        </w:tc>
      </w:tr>
      <w:tr>
        <w:trPr/>
        <w:tc>
          <w:tcPr>
            <w:tcW w:type="dxa" w:w="2736"/>
            <w:vAlign w:val="center"/>
            <w:tcMar>
              <w:top w:w="80" w:type="dxa"/>
              <w:bottom w:w="80" w:type="dxa"/>
              <w:start w:w="120" w:type="dxa"/>
              <w:end w:w="120" w:type="dxa"/>
            </w:tcMar>
          </w:tcPr>
          <w:p>
            <w:pPr>
              <w:spacing w:after="0"/>
            </w:pPr>
            <w:r>
              <w:rPr>
                <w:rFonts w:ascii="Calibri" w:hAnsi="Calibri"/>
                <w:b w:val="0"/>
                <w:i w:val="0"/>
                <w:color w:val="14181C"/>
                <w:sz w:val="17"/>
              </w:rPr>
              <w:t>Commercial package binder</w:t>
            </w:r>
          </w:p>
        </w:tc>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Granite Harbor</w:t>
            </w:r>
          </w:p>
        </w:tc>
        <w:tc>
          <w:tcPr>
            <w:tcW w:type="dxa" w:w="4464"/>
            <w:vAlign w:val="center"/>
            <w:tcMar>
              <w:top w:w="80" w:type="dxa"/>
              <w:bottom w:w="80" w:type="dxa"/>
              <w:start w:w="120" w:type="dxa"/>
              <w:end w:w="120" w:type="dxa"/>
            </w:tcMar>
          </w:tcPr>
          <w:p>
            <w:pPr>
              <w:spacing w:after="0"/>
            </w:pPr>
            <w:r>
              <w:rPr>
                <w:rFonts w:ascii="Calibri" w:hAnsi="Calibri"/>
                <w:b w:val="0"/>
                <w:i w:val="0"/>
                <w:color w:val="14181C"/>
                <w:sz w:val="17"/>
              </w:rPr>
              <w:t>Pending; requested before September 30, 2026</w:t>
            </w:r>
          </w:p>
        </w:tc>
      </w:tr>
      <w:tr>
        <w:trPr/>
        <w:tc>
          <w:tcPr>
            <w:tcW w:type="dxa" w:w="2736"/>
            <w:vAlign w:val="center"/>
            <w:tcMar>
              <w:top w:w="80" w:type="dxa"/>
              <w:bottom w:w="80" w:type="dxa"/>
              <w:start w:w="120" w:type="dxa"/>
              <w:end w:w="120" w:type="dxa"/>
            </w:tcMar>
          </w:tcPr>
          <w:p>
            <w:pPr>
              <w:spacing w:after="0"/>
            </w:pPr>
            <w:r>
              <w:rPr>
                <w:rFonts w:ascii="Calibri" w:hAnsi="Calibri"/>
                <w:b w:val="0"/>
                <w:i w:val="0"/>
                <w:color w:val="14181C"/>
                <w:sz w:val="17"/>
              </w:rPr>
              <w:t>Terrorism coverage election</w:t>
            </w:r>
          </w:p>
        </w:tc>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Alder Peak</w:t>
            </w:r>
          </w:p>
        </w:tc>
        <w:tc>
          <w:tcPr>
            <w:tcW w:type="dxa" w:w="4464"/>
            <w:vAlign w:val="center"/>
            <w:tcMar>
              <w:top w:w="80" w:type="dxa"/>
              <w:bottom w:w="80" w:type="dxa"/>
              <w:start w:w="120" w:type="dxa"/>
              <w:end w:w="120" w:type="dxa"/>
            </w:tcMar>
          </w:tcPr>
          <w:p>
            <w:pPr>
              <w:spacing w:after="0"/>
            </w:pPr>
            <w:r>
              <w:rPr>
                <w:rFonts w:ascii="Calibri" w:hAnsi="Calibri"/>
                <w:b w:val="0"/>
                <w:i w:val="0"/>
                <w:color w:val="14181C"/>
                <w:sz w:val="17"/>
              </w:rPr>
              <w:t>Separate client decision pending</w:t>
            </w:r>
          </w:p>
        </w:tc>
      </w:tr>
      <w:tr>
        <w:trPr/>
        <w:tc>
          <w:tcPr>
            <w:tcW w:type="dxa" w:w="2736"/>
            <w:vAlign w:val="center"/>
            <w:tcMar>
              <w:top w:w="80" w:type="dxa"/>
              <w:bottom w:w="80" w:type="dxa"/>
              <w:start w:w="120" w:type="dxa"/>
              <w:end w:w="120" w:type="dxa"/>
            </w:tcMar>
          </w:tcPr>
          <w:p>
            <w:pPr>
              <w:spacing w:after="0"/>
            </w:pPr>
            <w:r>
              <w:rPr>
                <w:rFonts w:ascii="Calibri" w:hAnsi="Calibri"/>
                <w:b w:val="0"/>
                <w:i w:val="0"/>
                <w:color w:val="14181C"/>
                <w:sz w:val="17"/>
              </w:rPr>
              <w:t>Bend sprinkler inspection</w:t>
            </w:r>
          </w:p>
        </w:tc>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Alder Peak</w:t>
            </w:r>
          </w:p>
        </w:tc>
        <w:tc>
          <w:tcPr>
            <w:tcW w:type="dxa" w:w="4464"/>
            <w:vAlign w:val="center"/>
            <w:tcMar>
              <w:top w:w="80" w:type="dxa"/>
              <w:bottom w:w="80" w:type="dxa"/>
              <w:start w:w="120" w:type="dxa"/>
              <w:end w:w="120" w:type="dxa"/>
            </w:tcMar>
          </w:tcPr>
          <w:p>
            <w:pPr>
              <w:spacing w:after="0"/>
            </w:pPr>
            <w:r>
              <w:rPr>
                <w:rFonts w:ascii="Calibri" w:hAnsi="Calibri"/>
                <w:b w:val="0"/>
                <w:i w:val="0"/>
                <w:color w:val="14181C"/>
                <w:sz w:val="17"/>
              </w:rPr>
              <w:t>Updated report outstanding</w:t>
            </w:r>
          </w:p>
        </w:tc>
      </w:tr>
      <w:tr>
        <w:trPr/>
        <w:tc>
          <w:tcPr>
            <w:tcW w:type="dxa" w:w="2736"/>
            <w:vAlign w:val="center"/>
            <w:tcMar>
              <w:top w:w="80" w:type="dxa"/>
              <w:bottom w:w="80" w:type="dxa"/>
              <w:start w:w="120" w:type="dxa"/>
              <w:end w:w="120" w:type="dxa"/>
            </w:tcMar>
          </w:tcPr>
          <w:p>
            <w:pPr>
              <w:spacing w:after="0"/>
            </w:pPr>
            <w:r>
              <w:rPr>
                <w:rFonts w:ascii="Calibri" w:hAnsi="Calibri"/>
                <w:b w:val="0"/>
                <w:i w:val="0"/>
                <w:color w:val="14181C"/>
                <w:sz w:val="17"/>
              </w:rPr>
              <w:t>Eugene roof replacement evidence</w:t>
            </w:r>
          </w:p>
        </w:tc>
        <w:tc>
          <w:tcPr>
            <w:tcW w:type="dxa" w:w="2160"/>
            <w:vAlign w:val="center"/>
            <w:tcMar>
              <w:top w:w="80" w:type="dxa"/>
              <w:bottom w:w="80" w:type="dxa"/>
              <w:start w:w="120" w:type="dxa"/>
              <w:end w:w="120" w:type="dxa"/>
            </w:tcMar>
          </w:tcPr>
          <w:p>
            <w:pPr>
              <w:spacing w:after="0"/>
            </w:pPr>
            <w:r>
              <w:rPr>
                <w:rFonts w:ascii="Calibri" w:hAnsi="Calibri"/>
                <w:b w:val="0"/>
                <w:i w:val="0"/>
                <w:color w:val="14181C"/>
                <w:sz w:val="17"/>
              </w:rPr>
              <w:t>Alder Peak</w:t>
            </w:r>
          </w:p>
        </w:tc>
        <w:tc>
          <w:tcPr>
            <w:tcW w:type="dxa" w:w="4464"/>
            <w:vAlign w:val="center"/>
            <w:tcMar>
              <w:top w:w="80" w:type="dxa"/>
              <w:bottom w:w="80" w:type="dxa"/>
              <w:start w:w="120" w:type="dxa"/>
              <w:end w:w="120" w:type="dxa"/>
            </w:tcMar>
          </w:tcPr>
          <w:p>
            <w:pPr>
              <w:spacing w:after="0"/>
            </w:pPr>
            <w:r>
              <w:rPr>
                <w:rFonts w:ascii="Calibri" w:hAnsi="Calibri"/>
                <w:b w:val="0"/>
                <w:i w:val="0"/>
                <w:color w:val="14181C"/>
                <w:sz w:val="17"/>
              </w:rPr>
              <w:t>Due December 31, 2026</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A626C"/>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A626C"/>
        <w:sz w:val="17"/>
      </w:rPr>
      <w:t>KESTREL RISK ADVISORS | RENEWAL PLACEMENT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Alder Peak Manufacturing 2026-2027 insurance renewal</dc:subject>
  <dc:creator>Kestrel Risk Advisors</dc:creator>
  <cp:keywords/>
  <dc:description>generated by python-docx</dc:description>
  <cp:lastModifiedBy/>
  <cp:revision>1</cp:revision>
  <dcterms:created xsi:type="dcterms:W3CDTF">2013-12-23T23:15:00Z</dcterms:created>
  <dcterms:modified xsi:type="dcterms:W3CDTF">2013-12-23T23:15:00Z</dcterms:modified>
  <cp:category/>
</cp:coreProperties>
</file>