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i w:val="0"/>
          <w:color w:val="1F3A5F"/>
          <w:sz w:val="48"/>
        </w:rPr>
        <w:t>Underwriting File Note</w:t>
      </w:r>
    </w:p>
    <w:p>
      <w:pPr>
        <w:spacing w:before="0" w:after="320"/>
      </w:pPr>
      <w:r>
        <w:rPr>
          <w:rFonts w:ascii="Calibri" w:hAnsi="Calibri"/>
          <w:b w:val="0"/>
          <w:i w:val="0"/>
          <w:color w:val="5A626C"/>
          <w:sz w:val="25"/>
        </w:rPr>
        <w:t>Alder Peak Manufacturing, Inc. | Binder Reconciliation</w:t>
      </w:r>
    </w:p>
    <w:tbl>
      <w:tblPr>
        <w:tblStyle w:val="TableGrid"/>
        <w:tblW w:type="dxa" w:w="9360"/>
        <w:jc w:val="left"/>
        <w:tblLayout w:type="fixed"/>
        <w:tblLook w:firstColumn="1" w:firstRow="1" w:lastColumn="0" w:lastRow="0" w:noHBand="0" w:noVBand="1" w:val="04A0"/>
        <w:tblInd w:type="dxa" w:w="120"/>
      </w:tblPr>
      <w:tblGrid>
        <w:gridCol w:w="2160"/>
        <w:gridCol w:w="7200"/>
      </w:tblGrid>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Prepared by</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Maya Chen, CPCU</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Updated</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September 28, 2026</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Carrier</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Granite Harbor Insurance Company</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Policy number</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GH-CP-482771</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Policy period</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October 1, 2026 to October 1, 2027</w:t>
            </w:r>
          </w:p>
        </w:tc>
      </w:tr>
      <w:tr>
        <w:trPr/>
        <w:tc>
          <w:tcPr>
            <w:tcW w:type="dxa" w:w="2160"/>
            <w:vAlign w:val="center"/>
            <w:tcMar>
              <w:top w:w="80" w:type="dxa"/>
              <w:bottom w:w="80" w:type="dxa"/>
              <w:start w:w="120" w:type="dxa"/>
              <w:end w:w="120" w:type="dxa"/>
            </w:tcMar>
            <w:shd w:fill="FFFFFF"/>
          </w:tcPr>
          <w:p>
            <w:pPr>
              <w:spacing w:after="0"/>
            </w:pPr>
            <w:r>
              <w:rPr>
                <w:rFonts w:ascii="Calibri" w:hAnsi="Calibri"/>
                <w:b/>
                <w:i w:val="0"/>
                <w:color w:val="5A626C"/>
                <w:sz w:val="19"/>
              </w:rPr>
              <w:t>Policy issuance</w:t>
            </w:r>
          </w:p>
        </w:tc>
        <w:tc>
          <w:tcPr>
            <w:tcW w:type="dxa" w:w="7200"/>
            <w:vAlign w:val="center"/>
            <w:tcMar>
              <w:top w:w="80" w:type="dxa"/>
              <w:bottom w:w="80" w:type="dxa"/>
              <w:start w:w="120" w:type="dxa"/>
              <w:end w:w="120" w:type="dxa"/>
            </w:tcMar>
            <w:shd w:fill="FFFFFF"/>
          </w:tcPr>
          <w:p>
            <w:pPr>
              <w:spacing w:after="0"/>
            </w:pPr>
            <w:r>
              <w:rPr>
                <w:rFonts w:ascii="Calibri" w:hAnsi="Calibri"/>
                <w:b w:val="0"/>
                <w:i w:val="0"/>
                <w:color w:val="14181C"/>
                <w:sz w:val="21"/>
              </w:rPr>
              <w:t>Not issued as of September 28, 2026</w:t>
            </w:r>
          </w:p>
        </w:tc>
      </w:tr>
    </w:tbl>
    <w:p>
      <w:pPr>
        <w:spacing w:after="0"/>
      </w:pPr>
    </w:p>
    <w:p>
      <w:pPr>
        <w:pStyle w:val="Heading1"/>
      </w:pPr>
      <w:r>
        <w:t>File status</w:t>
      </w:r>
    </w:p>
    <w:p>
      <w:r>
        <w:rPr>
          <w:rFonts w:ascii="Calibri" w:hAnsi="Calibri"/>
          <w:b w:val="0"/>
          <w:i w:val="0"/>
          <w:color w:val="14181C"/>
          <w:sz w:val="22"/>
        </w:rPr>
        <w:t>Granite Harbor issued binder GH-CP-482771 on September 26, 2026. The binder confirms the effective dates, limits, named insured, and most quoted deductibles, but two scheduled terms do not match quote revision 2. Kestrel requested clarification from the carrier on September 27, 2026. No corrected binder or written explanation had been received as of this note.</w:t>
      </w:r>
    </w:p>
    <w:p>
      <w:pPr>
        <w:pStyle w:val="Heading1"/>
      </w:pPr>
      <w:r>
        <w:t>Placement chronology</w:t>
      </w:r>
    </w:p>
    <w:tbl>
      <w:tblPr>
        <w:tblStyle w:val="TableGrid"/>
        <w:tblW w:type="dxa" w:w="9360"/>
        <w:jc w:val="left"/>
        <w:tblLayout w:type="fixed"/>
        <w:tblLook w:firstColumn="1" w:firstRow="1" w:lastColumn="0" w:lastRow="0" w:noHBand="0" w:noVBand="1" w:val="04A0"/>
        <w:tblInd w:type="dxa" w:w="120"/>
      </w:tblPr>
      <w:tblGrid>
        <w:gridCol w:w="1440"/>
        <w:gridCol w:w="2880"/>
        <w:gridCol w:w="5040"/>
      </w:tblGrid>
      <w:tr>
        <w:trPr>
          <w:tblHeader w:val="true"/>
        </w:trPr>
        <w:tc>
          <w:tcPr>
            <w:tcW w:type="dxa" w:w="1440"/>
            <w:shd w:fill="F2F4F7"/>
            <w:vAlign w:val="center"/>
            <w:tcMar>
              <w:top w:w="80" w:type="dxa"/>
              <w:bottom w:w="80" w:type="dxa"/>
              <w:start w:w="120" w:type="dxa"/>
              <w:end w:w="120" w:type="dxa"/>
            </w:tcMar>
          </w:tcPr>
          <w:p>
            <w:pPr>
              <w:spacing w:after="0"/>
            </w:pPr>
            <w:r>
              <w:rPr>
                <w:rFonts w:ascii="Calibri" w:hAnsi="Calibri"/>
                <w:b/>
                <w:i w:val="0"/>
                <w:color w:val="1F3A5F"/>
                <w:sz w:val="17"/>
              </w:rPr>
              <w:t>Date</w:t>
            </w:r>
          </w:p>
        </w:tc>
        <w:tc>
          <w:tcPr>
            <w:tcW w:type="dxa" w:w="2880"/>
            <w:shd w:fill="F2F4F7"/>
            <w:vAlign w:val="center"/>
            <w:tcMar>
              <w:top w:w="80" w:type="dxa"/>
              <w:bottom w:w="80" w:type="dxa"/>
              <w:start w:w="120" w:type="dxa"/>
              <w:end w:w="120" w:type="dxa"/>
            </w:tcMar>
          </w:tcPr>
          <w:p>
            <w:pPr>
              <w:spacing w:after="0"/>
            </w:pPr>
            <w:r>
              <w:rPr>
                <w:rFonts w:ascii="Calibri" w:hAnsi="Calibri"/>
                <w:b/>
                <w:i w:val="0"/>
                <w:color w:val="1F3A5F"/>
                <w:sz w:val="17"/>
              </w:rPr>
              <w:t>Record</w:t>
            </w:r>
          </w:p>
        </w:tc>
        <w:tc>
          <w:tcPr>
            <w:tcW w:type="dxa" w:w="5040"/>
            <w:shd w:fill="F2F4F7"/>
            <w:vAlign w:val="center"/>
            <w:tcMar>
              <w:top w:w="80" w:type="dxa"/>
              <w:bottom w:w="80" w:type="dxa"/>
              <w:start w:w="120" w:type="dxa"/>
              <w:end w:w="120" w:type="dxa"/>
            </w:tcMar>
          </w:tcPr>
          <w:p>
            <w:pPr>
              <w:spacing w:after="0"/>
            </w:pPr>
            <w:r>
              <w:rPr>
                <w:rFonts w:ascii="Calibri" w:hAnsi="Calibri"/>
                <w:b/>
                <w:i w:val="0"/>
                <w:color w:val="1F3A5F"/>
                <w:sz w:val="17"/>
              </w:rPr>
              <w:t>File position</w:t>
            </w:r>
          </w:p>
        </w:tc>
      </w:tr>
      <w:tr>
        <w:trPr/>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2026-08-18</w:t>
            </w:r>
          </w:p>
        </w:tc>
        <w:tc>
          <w:tcPr>
            <w:tcW w:type="dxa" w:w="2880"/>
            <w:vAlign w:val="center"/>
            <w:tcMar>
              <w:top w:w="80" w:type="dxa"/>
              <w:bottom w:w="80" w:type="dxa"/>
              <w:start w:w="120" w:type="dxa"/>
              <w:end w:w="120" w:type="dxa"/>
            </w:tcMar>
          </w:tcPr>
          <w:p>
            <w:pPr>
              <w:spacing w:after="0"/>
            </w:pPr>
            <w:r>
              <w:rPr>
                <w:rFonts w:ascii="Calibri" w:hAnsi="Calibri"/>
                <w:b w:val="0"/>
                <w:i w:val="0"/>
                <w:color w:val="14181C"/>
                <w:sz w:val="17"/>
              </w:rPr>
              <w:t>Carrier quote revision 1</w:t>
            </w:r>
          </w:p>
        </w:tc>
        <w:tc>
          <w:tcPr>
            <w:tcW w:type="dxa" w:w="5040"/>
            <w:vAlign w:val="center"/>
            <w:tcMar>
              <w:top w:w="80" w:type="dxa"/>
              <w:bottom w:w="80" w:type="dxa"/>
              <w:start w:w="120" w:type="dxa"/>
              <w:end w:w="120" w:type="dxa"/>
            </w:tcMar>
          </w:tcPr>
          <w:p>
            <w:pPr>
              <w:spacing w:after="0"/>
            </w:pPr>
            <w:r>
              <w:rPr>
                <w:rFonts w:ascii="Calibri" w:hAnsi="Calibri"/>
                <w:b w:val="0"/>
                <w:i w:val="0"/>
                <w:color w:val="14181C"/>
                <w:sz w:val="17"/>
              </w:rPr>
              <w:t>Annual package premium USD 151,200</w:t>
            </w:r>
          </w:p>
        </w:tc>
      </w:tr>
      <w:tr>
        <w:trPr/>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2026-09-05</w:t>
            </w:r>
          </w:p>
        </w:tc>
        <w:tc>
          <w:tcPr>
            <w:tcW w:type="dxa" w:w="2880"/>
            <w:vAlign w:val="center"/>
            <w:tcMar>
              <w:top w:w="80" w:type="dxa"/>
              <w:bottom w:w="80" w:type="dxa"/>
              <w:start w:w="120" w:type="dxa"/>
              <w:end w:w="120" w:type="dxa"/>
            </w:tcMar>
          </w:tcPr>
          <w:p>
            <w:pPr>
              <w:spacing w:after="0"/>
            </w:pPr>
            <w:r>
              <w:rPr>
                <w:rFonts w:ascii="Calibri" w:hAnsi="Calibri"/>
                <w:b w:val="0"/>
                <w:i w:val="0"/>
                <w:color w:val="14181C"/>
                <w:sz w:val="17"/>
              </w:rPr>
              <w:t>Carrier quote revision 2</w:t>
            </w:r>
          </w:p>
        </w:tc>
        <w:tc>
          <w:tcPr>
            <w:tcW w:type="dxa" w:w="5040"/>
            <w:vAlign w:val="center"/>
            <w:tcMar>
              <w:top w:w="80" w:type="dxa"/>
              <w:bottom w:w="80" w:type="dxa"/>
              <w:start w:w="120" w:type="dxa"/>
              <w:end w:w="120" w:type="dxa"/>
            </w:tcMar>
          </w:tcPr>
          <w:p>
            <w:pPr>
              <w:spacing w:after="0"/>
            </w:pPr>
            <w:r>
              <w:rPr>
                <w:rFonts w:ascii="Calibri" w:hAnsi="Calibri"/>
                <w:b w:val="0"/>
                <w:i w:val="0"/>
                <w:color w:val="14181C"/>
                <w:sz w:val="17"/>
              </w:rPr>
              <w:t>Annual package premium USD 144,550; revision 1 superseded</w:t>
            </w:r>
          </w:p>
        </w:tc>
      </w:tr>
      <w:tr>
        <w:trPr/>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2026-09-12</w:t>
            </w:r>
          </w:p>
        </w:tc>
        <w:tc>
          <w:tcPr>
            <w:tcW w:type="dxa" w:w="2880"/>
            <w:vAlign w:val="center"/>
            <w:tcMar>
              <w:top w:w="80" w:type="dxa"/>
              <w:bottom w:w="80" w:type="dxa"/>
              <w:start w:w="120" w:type="dxa"/>
              <w:end w:w="120" w:type="dxa"/>
            </w:tcMar>
          </w:tcPr>
          <w:p>
            <w:pPr>
              <w:spacing w:after="0"/>
            </w:pPr>
            <w:r>
              <w:rPr>
                <w:rFonts w:ascii="Calibri" w:hAnsi="Calibri"/>
                <w:b w:val="0"/>
                <w:i w:val="0"/>
                <w:color w:val="14181C"/>
                <w:sz w:val="17"/>
              </w:rPr>
              <w:t>Client acceptance</w:t>
            </w:r>
          </w:p>
        </w:tc>
        <w:tc>
          <w:tcPr>
            <w:tcW w:type="dxa" w:w="5040"/>
            <w:vAlign w:val="center"/>
            <w:tcMar>
              <w:top w:w="80" w:type="dxa"/>
              <w:bottom w:w="80" w:type="dxa"/>
              <w:start w:w="120" w:type="dxa"/>
              <w:end w:w="120" w:type="dxa"/>
            </w:tcMar>
          </w:tcPr>
          <w:p>
            <w:pPr>
              <w:spacing w:after="0"/>
            </w:pPr>
            <w:r>
              <w:rPr>
                <w:rFonts w:ascii="Calibri" w:hAnsi="Calibri"/>
                <w:b w:val="0"/>
                <w:i w:val="0"/>
                <w:color w:val="14181C"/>
                <w:sz w:val="17"/>
              </w:rPr>
              <w:t>Quote revision 2 accepted through Kestrel</w:t>
            </w:r>
          </w:p>
        </w:tc>
      </w:tr>
      <w:tr>
        <w:trPr/>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2026-09-26</w:t>
            </w:r>
          </w:p>
        </w:tc>
        <w:tc>
          <w:tcPr>
            <w:tcW w:type="dxa" w:w="2880"/>
            <w:vAlign w:val="center"/>
            <w:tcMar>
              <w:top w:w="80" w:type="dxa"/>
              <w:bottom w:w="80" w:type="dxa"/>
              <w:start w:w="120" w:type="dxa"/>
              <w:end w:w="120" w:type="dxa"/>
            </w:tcMar>
          </w:tcPr>
          <w:p>
            <w:pPr>
              <w:spacing w:after="0"/>
            </w:pPr>
            <w:r>
              <w:rPr>
                <w:rFonts w:ascii="Calibri" w:hAnsi="Calibri"/>
                <w:b w:val="0"/>
                <w:i w:val="0"/>
                <w:color w:val="14181C"/>
                <w:sz w:val="17"/>
              </w:rPr>
              <w:t>Binder GH-CP-482771</w:t>
            </w:r>
          </w:p>
        </w:tc>
        <w:tc>
          <w:tcPr>
            <w:tcW w:type="dxa" w:w="5040"/>
            <w:vAlign w:val="center"/>
            <w:tcMar>
              <w:top w:w="80" w:type="dxa"/>
              <w:bottom w:w="80" w:type="dxa"/>
              <w:start w:w="120" w:type="dxa"/>
              <w:end w:w="120" w:type="dxa"/>
            </w:tcMar>
          </w:tcPr>
          <w:p>
            <w:pPr>
              <w:spacing w:after="0"/>
            </w:pPr>
            <w:r>
              <w:rPr>
                <w:rFonts w:ascii="Calibri" w:hAnsi="Calibri"/>
                <w:b w:val="0"/>
                <w:i w:val="0"/>
                <w:color w:val="14181C"/>
                <w:sz w:val="17"/>
              </w:rPr>
              <w:t>Annual package premium USD 146,950</w:t>
            </w:r>
          </w:p>
        </w:tc>
      </w:tr>
      <w:tr>
        <w:trPr/>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2026-09-27</w:t>
            </w:r>
          </w:p>
        </w:tc>
        <w:tc>
          <w:tcPr>
            <w:tcW w:type="dxa" w:w="2880"/>
            <w:vAlign w:val="center"/>
            <w:tcMar>
              <w:top w:w="80" w:type="dxa"/>
              <w:bottom w:w="80" w:type="dxa"/>
              <w:start w:w="120" w:type="dxa"/>
              <w:end w:w="120" w:type="dxa"/>
            </w:tcMar>
          </w:tcPr>
          <w:p>
            <w:pPr>
              <w:spacing w:after="0"/>
            </w:pPr>
            <w:r>
              <w:rPr>
                <w:rFonts w:ascii="Calibri" w:hAnsi="Calibri"/>
                <w:b w:val="0"/>
                <w:i w:val="0"/>
                <w:color w:val="14181C"/>
                <w:sz w:val="17"/>
              </w:rPr>
              <w:t>Carrier service request</w:t>
            </w:r>
          </w:p>
        </w:tc>
        <w:tc>
          <w:tcPr>
            <w:tcW w:type="dxa" w:w="5040"/>
            <w:vAlign w:val="center"/>
            <w:tcMar>
              <w:top w:w="80" w:type="dxa"/>
              <w:bottom w:w="80" w:type="dxa"/>
              <w:start w:w="120" w:type="dxa"/>
              <w:end w:w="120" w:type="dxa"/>
            </w:tcMar>
          </w:tcPr>
          <w:p>
            <w:pPr>
              <w:spacing w:after="0"/>
            </w:pPr>
            <w:r>
              <w:rPr>
                <w:rFonts w:ascii="Calibri" w:hAnsi="Calibri"/>
                <w:b w:val="0"/>
                <w:i w:val="0"/>
                <w:color w:val="14181C"/>
                <w:sz w:val="17"/>
              </w:rPr>
              <w:t>Premium and flood deductible discrepancies reported</w:t>
            </w:r>
          </w:p>
        </w:tc>
      </w:tr>
      <w:tr>
        <w:trPr/>
        <w:tc>
          <w:tcPr>
            <w:tcW w:type="dxa" w:w="1440"/>
            <w:vAlign w:val="center"/>
            <w:tcMar>
              <w:top w:w="80" w:type="dxa"/>
              <w:bottom w:w="80" w:type="dxa"/>
              <w:start w:w="120" w:type="dxa"/>
              <w:end w:w="120" w:type="dxa"/>
            </w:tcMar>
          </w:tcPr>
          <w:p>
            <w:pPr>
              <w:spacing w:after="0"/>
            </w:pPr>
            <w:r>
              <w:rPr>
                <w:rFonts w:ascii="Calibri" w:hAnsi="Calibri"/>
                <w:b w:val="0"/>
                <w:i w:val="0"/>
                <w:color w:val="14181C"/>
                <w:sz w:val="17"/>
              </w:rPr>
              <w:t>2026-09-28</w:t>
            </w:r>
          </w:p>
        </w:tc>
        <w:tc>
          <w:tcPr>
            <w:tcW w:type="dxa" w:w="2880"/>
            <w:vAlign w:val="center"/>
            <w:tcMar>
              <w:top w:w="80" w:type="dxa"/>
              <w:bottom w:w="80" w:type="dxa"/>
              <w:start w:w="120" w:type="dxa"/>
              <w:end w:w="120" w:type="dxa"/>
            </w:tcMar>
          </w:tcPr>
          <w:p>
            <w:pPr>
              <w:spacing w:after="0"/>
            </w:pPr>
            <w:r>
              <w:rPr>
                <w:rFonts w:ascii="Calibri" w:hAnsi="Calibri"/>
                <w:b w:val="0"/>
                <w:i w:val="0"/>
                <w:color w:val="14181C"/>
                <w:sz w:val="17"/>
              </w:rPr>
              <w:t>File review</w:t>
            </w:r>
          </w:p>
        </w:tc>
        <w:tc>
          <w:tcPr>
            <w:tcW w:type="dxa" w:w="5040"/>
            <w:vAlign w:val="center"/>
            <w:tcMar>
              <w:top w:w="80" w:type="dxa"/>
              <w:bottom w:w="80" w:type="dxa"/>
              <w:start w:w="120" w:type="dxa"/>
              <w:end w:w="120" w:type="dxa"/>
            </w:tcMar>
          </w:tcPr>
          <w:p>
            <w:pPr>
              <w:spacing w:after="0"/>
            </w:pPr>
            <w:r>
              <w:rPr>
                <w:rFonts w:ascii="Calibri" w:hAnsi="Calibri"/>
                <w:b w:val="0"/>
                <w:i w:val="0"/>
                <w:color w:val="14181C"/>
                <w:sz w:val="17"/>
              </w:rPr>
              <w:t>No corrected binder or issued policy received</w:t>
            </w:r>
          </w:p>
        </w:tc>
      </w:tr>
    </w:tbl>
    <w:p>
      <w:pPr>
        <w:spacing w:after="0"/>
      </w:pPr>
    </w:p>
    <w:p>
      <w:pPr>
        <w:pStyle w:val="Heading1"/>
      </w:pPr>
      <w:r>
        <w:t>Unresolved binder discrepancies</w:t>
      </w:r>
    </w:p>
    <w:tbl>
      <w:tblPr>
        <w:tblStyle w:val="TableGrid"/>
        <w:tblW w:type="dxa" w:w="9360"/>
        <w:jc w:val="left"/>
        <w:tblLayout w:type="fixed"/>
        <w:tblLook w:firstColumn="1" w:firstRow="1" w:lastColumn="0" w:lastRow="0" w:noHBand="0" w:noVBand="1" w:val="04A0"/>
        <w:tblInd w:type="dxa" w:w="120"/>
      </w:tblPr>
      <w:tblGrid>
        <w:gridCol w:w="2824"/>
        <w:gridCol w:w="2340"/>
        <w:gridCol w:w="2340"/>
        <w:gridCol w:w="1856"/>
      </w:tblGrid>
      <w:tr>
        <w:trPr>
          <w:tblHeader w:val="true"/>
        </w:trPr>
        <w:tc>
          <w:tcPr>
            <w:tcW w:type="dxa" w:w="2824"/>
            <w:shd w:fill="F2F4F7"/>
            <w:vAlign w:val="center"/>
            <w:tcMar>
              <w:top w:w="80" w:type="dxa"/>
              <w:bottom w:w="80" w:type="dxa"/>
              <w:start w:w="120" w:type="dxa"/>
              <w:end w:w="120" w:type="dxa"/>
            </w:tcMar>
          </w:tcPr>
          <w:p>
            <w:pPr>
              <w:spacing w:after="0"/>
            </w:pPr>
            <w:r>
              <w:rPr>
                <w:rFonts w:ascii="Calibri" w:hAnsi="Calibri"/>
                <w:b/>
                <w:i w:val="0"/>
                <w:color w:val="1F3A5F"/>
                <w:sz w:val="17"/>
              </w:rPr>
              <w:t>Field</w:t>
            </w:r>
          </w:p>
        </w:tc>
        <w:tc>
          <w:tcPr>
            <w:tcW w:type="dxa" w:w="2340"/>
            <w:shd w:fill="F2F4F7"/>
            <w:vAlign w:val="center"/>
            <w:tcMar>
              <w:top w:w="80" w:type="dxa"/>
              <w:bottom w:w="80" w:type="dxa"/>
              <w:start w:w="120" w:type="dxa"/>
              <w:end w:w="120" w:type="dxa"/>
            </w:tcMar>
          </w:tcPr>
          <w:p>
            <w:pPr>
              <w:spacing w:after="0"/>
            </w:pPr>
            <w:r>
              <w:rPr>
                <w:rFonts w:ascii="Calibri" w:hAnsi="Calibri"/>
                <w:b/>
                <w:i w:val="0"/>
                <w:color w:val="1F3A5F"/>
                <w:sz w:val="17"/>
              </w:rPr>
              <w:t>Quote revision 2</w:t>
            </w:r>
          </w:p>
        </w:tc>
        <w:tc>
          <w:tcPr>
            <w:tcW w:type="dxa" w:w="2340"/>
            <w:shd w:fill="F2F4F7"/>
            <w:vAlign w:val="center"/>
            <w:tcMar>
              <w:top w:w="80" w:type="dxa"/>
              <w:bottom w:w="80" w:type="dxa"/>
              <w:start w:w="120" w:type="dxa"/>
              <w:end w:w="120" w:type="dxa"/>
            </w:tcMar>
          </w:tcPr>
          <w:p>
            <w:pPr>
              <w:spacing w:after="0"/>
            </w:pPr>
            <w:r>
              <w:rPr>
                <w:rFonts w:ascii="Calibri" w:hAnsi="Calibri"/>
                <w:b/>
                <w:i w:val="0"/>
                <w:color w:val="1F3A5F"/>
                <w:sz w:val="17"/>
              </w:rPr>
              <w:t>Binder</w:t>
            </w:r>
          </w:p>
        </w:tc>
        <w:tc>
          <w:tcPr>
            <w:tcW w:type="dxa" w:w="1856"/>
            <w:shd w:fill="F2F4F7"/>
            <w:vAlign w:val="center"/>
            <w:tcMar>
              <w:top w:w="80" w:type="dxa"/>
              <w:bottom w:w="80" w:type="dxa"/>
              <w:start w:w="120" w:type="dxa"/>
              <w:end w:w="120" w:type="dxa"/>
            </w:tcMar>
          </w:tcPr>
          <w:p>
            <w:pPr>
              <w:spacing w:after="0"/>
            </w:pPr>
            <w:r>
              <w:rPr>
                <w:rFonts w:ascii="Calibri" w:hAnsi="Calibri"/>
                <w:b/>
                <w:i w:val="0"/>
                <w:color w:val="1F3A5F"/>
                <w:sz w:val="17"/>
              </w:rPr>
              <w:t>Status</w:t>
            </w:r>
          </w:p>
        </w:tc>
      </w:tr>
      <w:tr>
        <w:trPr/>
        <w:tc>
          <w:tcPr>
            <w:tcW w:type="dxa" w:w="2824"/>
            <w:vAlign w:val="center"/>
            <w:tcMar>
              <w:top w:w="80" w:type="dxa"/>
              <w:bottom w:w="80" w:type="dxa"/>
              <w:start w:w="120" w:type="dxa"/>
              <w:end w:w="120" w:type="dxa"/>
            </w:tcMar>
          </w:tcPr>
          <w:p>
            <w:pPr>
              <w:spacing w:after="0"/>
            </w:pPr>
            <w:r>
              <w:rPr>
                <w:rFonts w:ascii="Calibri" w:hAnsi="Calibri"/>
                <w:b w:val="0"/>
                <w:i w:val="0"/>
                <w:color w:val="14181C"/>
                <w:sz w:val="17"/>
              </w:rPr>
              <w:t>Total annual package premium</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144,550</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146,950</w:t>
            </w:r>
          </w:p>
        </w:tc>
        <w:tc>
          <w:tcPr>
            <w:tcW w:type="dxa" w:w="1856"/>
            <w:vAlign w:val="center"/>
            <w:tcMar>
              <w:top w:w="80" w:type="dxa"/>
              <w:bottom w:w="80" w:type="dxa"/>
              <w:start w:w="120" w:type="dxa"/>
              <w:end w:w="120" w:type="dxa"/>
            </w:tcMar>
          </w:tcPr>
          <w:p>
            <w:pPr>
              <w:spacing w:after="0"/>
            </w:pPr>
            <w:r>
              <w:rPr>
                <w:rFonts w:ascii="Calibri" w:hAnsi="Calibri"/>
                <w:b w:val="0"/>
                <w:i w:val="0"/>
                <w:color w:val="14181C"/>
                <w:sz w:val="17"/>
              </w:rPr>
              <w:t>Unresolved</w:t>
            </w:r>
          </w:p>
        </w:tc>
      </w:tr>
      <w:tr>
        <w:trPr/>
        <w:tc>
          <w:tcPr>
            <w:tcW w:type="dxa" w:w="2824"/>
            <w:vAlign w:val="center"/>
            <w:tcMar>
              <w:top w:w="80" w:type="dxa"/>
              <w:bottom w:w="80" w:type="dxa"/>
              <w:start w:w="120" w:type="dxa"/>
              <w:end w:w="120" w:type="dxa"/>
            </w:tcMar>
          </w:tcPr>
          <w:p>
            <w:pPr>
              <w:spacing w:after="0"/>
            </w:pPr>
            <w:r>
              <w:rPr>
                <w:rFonts w:ascii="Calibri" w:hAnsi="Calibri"/>
                <w:b w:val="0"/>
                <w:i w:val="0"/>
                <w:color w:val="14181C"/>
                <w:sz w:val="17"/>
              </w:rPr>
              <w:t>Flood deductible minimum</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250,000</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500,000</w:t>
            </w:r>
          </w:p>
        </w:tc>
        <w:tc>
          <w:tcPr>
            <w:tcW w:type="dxa" w:w="1856"/>
            <w:vAlign w:val="center"/>
            <w:tcMar>
              <w:top w:w="80" w:type="dxa"/>
              <w:bottom w:w="80" w:type="dxa"/>
              <w:start w:w="120" w:type="dxa"/>
              <w:end w:w="120" w:type="dxa"/>
            </w:tcMar>
          </w:tcPr>
          <w:p>
            <w:pPr>
              <w:spacing w:after="0"/>
            </w:pPr>
            <w:r>
              <w:rPr>
                <w:rFonts w:ascii="Calibri" w:hAnsi="Calibri"/>
                <w:b w:val="0"/>
                <w:i w:val="0"/>
                <w:color w:val="14181C"/>
                <w:sz w:val="17"/>
              </w:rPr>
              <w:t>Unresolved</w:t>
            </w:r>
          </w:p>
        </w:tc>
      </w:tr>
      <w:tr>
        <w:trPr/>
        <w:tc>
          <w:tcPr>
            <w:tcW w:type="dxa" w:w="2824"/>
            <w:vAlign w:val="center"/>
            <w:tcMar>
              <w:top w:w="80" w:type="dxa"/>
              <w:bottom w:w="80" w:type="dxa"/>
              <w:start w:w="120" w:type="dxa"/>
              <w:end w:w="120" w:type="dxa"/>
            </w:tcMar>
          </w:tcPr>
          <w:p>
            <w:pPr>
              <w:spacing w:after="0"/>
            </w:pPr>
            <w:r>
              <w:rPr>
                <w:rFonts w:ascii="Calibri" w:hAnsi="Calibri"/>
                <w:b w:val="0"/>
                <w:i w:val="0"/>
                <w:color w:val="14181C"/>
                <w:sz w:val="17"/>
              </w:rPr>
              <w:t>All other perils deductible</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50,000</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50,000</w:t>
            </w:r>
          </w:p>
        </w:tc>
        <w:tc>
          <w:tcPr>
            <w:tcW w:type="dxa" w:w="1856"/>
            <w:vAlign w:val="center"/>
            <w:tcMar>
              <w:top w:w="80" w:type="dxa"/>
              <w:bottom w:w="80" w:type="dxa"/>
              <w:start w:w="120" w:type="dxa"/>
              <w:end w:w="120" w:type="dxa"/>
            </w:tcMar>
          </w:tcPr>
          <w:p>
            <w:pPr>
              <w:spacing w:after="0"/>
            </w:pPr>
            <w:r>
              <w:rPr>
                <w:rFonts w:ascii="Calibri" w:hAnsi="Calibri"/>
                <w:b w:val="0"/>
                <w:i w:val="0"/>
                <w:color w:val="14181C"/>
                <w:sz w:val="17"/>
              </w:rPr>
              <w:t>Matches</w:t>
            </w:r>
          </w:p>
        </w:tc>
      </w:tr>
      <w:tr>
        <w:trPr/>
        <w:tc>
          <w:tcPr>
            <w:tcW w:type="dxa" w:w="2824"/>
            <w:vAlign w:val="center"/>
            <w:tcMar>
              <w:top w:w="80" w:type="dxa"/>
              <w:bottom w:w="80" w:type="dxa"/>
              <w:start w:w="120" w:type="dxa"/>
              <w:end w:w="120" w:type="dxa"/>
            </w:tcMar>
          </w:tcPr>
          <w:p>
            <w:pPr>
              <w:spacing w:after="0"/>
            </w:pPr>
            <w:r>
              <w:rPr>
                <w:rFonts w:ascii="Calibri" w:hAnsi="Calibri"/>
                <w:b w:val="0"/>
                <w:i w:val="0"/>
                <w:color w:val="14181C"/>
                <w:sz w:val="17"/>
              </w:rPr>
              <w:t>Wind and hail minimum</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250,000</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250,000</w:t>
            </w:r>
          </w:p>
        </w:tc>
        <w:tc>
          <w:tcPr>
            <w:tcW w:type="dxa" w:w="1856"/>
            <w:vAlign w:val="center"/>
            <w:tcMar>
              <w:top w:w="80" w:type="dxa"/>
              <w:bottom w:w="80" w:type="dxa"/>
              <w:start w:w="120" w:type="dxa"/>
              <w:end w:w="120" w:type="dxa"/>
            </w:tcMar>
          </w:tcPr>
          <w:p>
            <w:pPr>
              <w:spacing w:after="0"/>
            </w:pPr>
            <w:r>
              <w:rPr>
                <w:rFonts w:ascii="Calibri" w:hAnsi="Calibri"/>
                <w:b w:val="0"/>
                <w:i w:val="0"/>
                <w:color w:val="14181C"/>
                <w:sz w:val="17"/>
              </w:rPr>
              <w:t>Matches</w:t>
            </w:r>
          </w:p>
        </w:tc>
      </w:tr>
      <w:tr>
        <w:trPr/>
        <w:tc>
          <w:tcPr>
            <w:tcW w:type="dxa" w:w="2824"/>
            <w:vAlign w:val="center"/>
            <w:tcMar>
              <w:top w:w="80" w:type="dxa"/>
              <w:bottom w:w="80" w:type="dxa"/>
              <w:start w:w="120" w:type="dxa"/>
              <w:end w:w="120" w:type="dxa"/>
            </w:tcMar>
          </w:tcPr>
          <w:p>
            <w:pPr>
              <w:spacing w:after="0"/>
            </w:pPr>
            <w:r>
              <w:rPr>
                <w:rFonts w:ascii="Calibri" w:hAnsi="Calibri"/>
                <w:b w:val="0"/>
                <w:i w:val="0"/>
                <w:color w:val="14181C"/>
                <w:sz w:val="17"/>
              </w:rPr>
              <w:t>Earthquake minimum</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500,000</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500,000</w:t>
            </w:r>
          </w:p>
        </w:tc>
        <w:tc>
          <w:tcPr>
            <w:tcW w:type="dxa" w:w="1856"/>
            <w:vAlign w:val="center"/>
            <w:tcMar>
              <w:top w:w="80" w:type="dxa"/>
              <w:bottom w:w="80" w:type="dxa"/>
              <w:start w:w="120" w:type="dxa"/>
              <w:end w:w="120" w:type="dxa"/>
            </w:tcMar>
          </w:tcPr>
          <w:p>
            <w:pPr>
              <w:spacing w:after="0"/>
            </w:pPr>
            <w:r>
              <w:rPr>
                <w:rFonts w:ascii="Calibri" w:hAnsi="Calibri"/>
                <w:b w:val="0"/>
                <w:i w:val="0"/>
                <w:color w:val="14181C"/>
                <w:sz w:val="17"/>
              </w:rPr>
              <w:t>Matches</w:t>
            </w:r>
          </w:p>
        </w:tc>
      </w:tr>
      <w:tr>
        <w:trPr/>
        <w:tc>
          <w:tcPr>
            <w:tcW w:type="dxa" w:w="2824"/>
            <w:vAlign w:val="center"/>
            <w:tcMar>
              <w:top w:w="80" w:type="dxa"/>
              <w:bottom w:w="80" w:type="dxa"/>
              <w:start w:w="120" w:type="dxa"/>
              <w:end w:w="120" w:type="dxa"/>
            </w:tcMar>
          </w:tcPr>
          <w:p>
            <w:pPr>
              <w:spacing w:after="0"/>
            </w:pPr>
            <w:r>
              <w:rPr>
                <w:rFonts w:ascii="Calibri" w:hAnsi="Calibri"/>
                <w:b w:val="0"/>
                <w:i w:val="0"/>
                <w:color w:val="14181C"/>
                <w:sz w:val="17"/>
              </w:rPr>
              <w:t>Total insured value</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84,200,000</w:t>
            </w:r>
          </w:p>
        </w:tc>
        <w:tc>
          <w:tcPr>
            <w:tcW w:type="dxa" w:w="2340"/>
            <w:vAlign w:val="center"/>
            <w:tcMar>
              <w:top w:w="80" w:type="dxa"/>
              <w:bottom w:w="80" w:type="dxa"/>
              <w:start w:w="120" w:type="dxa"/>
              <w:end w:w="120" w:type="dxa"/>
            </w:tcMar>
          </w:tcPr>
          <w:p>
            <w:pPr>
              <w:spacing w:after="0"/>
            </w:pPr>
            <w:r>
              <w:rPr>
                <w:rFonts w:ascii="Calibri" w:hAnsi="Calibri"/>
                <w:b w:val="0"/>
                <w:i w:val="0"/>
                <w:color w:val="14181C"/>
                <w:sz w:val="17"/>
              </w:rPr>
              <w:t>USD 84,200,000</w:t>
            </w:r>
          </w:p>
        </w:tc>
        <w:tc>
          <w:tcPr>
            <w:tcW w:type="dxa" w:w="1856"/>
            <w:vAlign w:val="center"/>
            <w:tcMar>
              <w:top w:w="80" w:type="dxa"/>
              <w:bottom w:w="80" w:type="dxa"/>
              <w:start w:w="120" w:type="dxa"/>
              <w:end w:w="120" w:type="dxa"/>
            </w:tcMar>
          </w:tcPr>
          <w:p>
            <w:pPr>
              <w:spacing w:after="0"/>
            </w:pPr>
            <w:r>
              <w:rPr>
                <w:rFonts w:ascii="Calibri" w:hAnsi="Calibri"/>
                <w:b w:val="0"/>
                <w:i w:val="0"/>
                <w:color w:val="14181C"/>
                <w:sz w:val="17"/>
              </w:rPr>
              <w:t>Matches</w:t>
            </w:r>
          </w:p>
        </w:tc>
      </w:tr>
    </w:tbl>
    <w:p>
      <w:pPr>
        <w:spacing w:after="0"/>
      </w:pPr>
    </w:p>
    <w:p>
      <w:r>
        <w:rPr>
          <w:rFonts w:ascii="Calibri" w:hAnsi="Calibri"/>
          <w:b w:val="0"/>
          <w:i w:val="0"/>
          <w:color w:val="14181C"/>
          <w:sz w:val="22"/>
        </w:rPr>
        <w:t>The binder premium is USD 2,400 higher than quote revision 2. The binder does not identify an endorsement, surcharge, fee, or exposure adjustment that accounts for the difference. The higher flood minimum is also not described in the binder narrative.</w:t>
      </w:r>
    </w:p>
    <w:p>
      <w:pPr>
        <w:pStyle w:val="Heading1"/>
      </w:pPr>
      <w:r>
        <w:t>Exposure and loss controls</w:t>
      </w:r>
    </w:p>
    <w:tbl>
      <w:tblPr>
        <w:tblStyle w:val="TableGrid"/>
        <w:tblW w:type="dxa" w:w="9360"/>
        <w:jc w:val="left"/>
        <w:tblLayout w:type="fixed"/>
        <w:tblLook w:firstColumn="1" w:firstRow="1" w:lastColumn="0" w:lastRow="0" w:noHBand="0" w:noVBand="1" w:val="04A0"/>
        <w:tblInd w:type="dxa" w:w="120"/>
      </w:tblPr>
      <w:tblGrid>
        <w:gridCol w:w="2520"/>
        <w:gridCol w:w="6840"/>
      </w:tblGrid>
      <w:tr>
        <w:trPr>
          <w:tblHeader w:val="true"/>
        </w:trPr>
        <w:tc>
          <w:tcPr>
            <w:tcW w:type="dxa" w:w="2520"/>
            <w:shd w:fill="F2F4F7"/>
            <w:vAlign w:val="center"/>
            <w:tcMar>
              <w:top w:w="80" w:type="dxa"/>
              <w:bottom w:w="80" w:type="dxa"/>
              <w:start w:w="120" w:type="dxa"/>
              <w:end w:w="120" w:type="dxa"/>
            </w:tcMar>
          </w:tcPr>
          <w:p>
            <w:pPr>
              <w:spacing w:after="0"/>
            </w:pPr>
            <w:r>
              <w:rPr>
                <w:rFonts w:ascii="Calibri" w:hAnsi="Calibri"/>
                <w:b/>
                <w:i w:val="0"/>
                <w:color w:val="1F3A5F"/>
                <w:sz w:val="18"/>
              </w:rPr>
              <w:t>Control</w:t>
            </w:r>
          </w:p>
        </w:tc>
        <w:tc>
          <w:tcPr>
            <w:tcW w:type="dxa" w:w="6840"/>
            <w:shd w:fill="F2F4F7"/>
            <w:vAlign w:val="center"/>
            <w:tcMar>
              <w:top w:w="80" w:type="dxa"/>
              <w:bottom w:w="80" w:type="dxa"/>
              <w:start w:w="120" w:type="dxa"/>
              <w:end w:w="120" w:type="dxa"/>
            </w:tcMar>
          </w:tcPr>
          <w:p>
            <w:pPr>
              <w:spacing w:after="0"/>
            </w:pPr>
            <w:r>
              <w:rPr>
                <w:rFonts w:ascii="Calibri" w:hAnsi="Calibri"/>
                <w:b/>
                <w:i w:val="0"/>
                <w:color w:val="1F3A5F"/>
                <w:sz w:val="18"/>
              </w:rPr>
              <w:t>Recorded position</w:t>
            </w:r>
          </w:p>
        </w:tc>
      </w:tr>
      <w:tr>
        <w:trPr/>
        <w:tc>
          <w:tcPr>
            <w:tcW w:type="dxa" w:w="2520"/>
            <w:vAlign w:val="center"/>
            <w:tcMar>
              <w:top w:w="80" w:type="dxa"/>
              <w:bottom w:w="80" w:type="dxa"/>
              <w:start w:w="120" w:type="dxa"/>
              <w:end w:w="120" w:type="dxa"/>
            </w:tcMar>
          </w:tcPr>
          <w:p>
            <w:pPr>
              <w:spacing w:after="0"/>
            </w:pPr>
            <w:r>
              <w:rPr>
                <w:rFonts w:ascii="Calibri" w:hAnsi="Calibri"/>
                <w:b w:val="0"/>
                <w:i w:val="0"/>
                <w:color w:val="14181C"/>
                <w:sz w:val="18"/>
              </w:rPr>
              <w:t>Total insured value</w:t>
            </w:r>
          </w:p>
        </w:tc>
        <w:tc>
          <w:tcPr>
            <w:tcW w:type="dxa" w:w="6840"/>
            <w:vAlign w:val="center"/>
            <w:tcMar>
              <w:top w:w="80" w:type="dxa"/>
              <w:bottom w:w="80" w:type="dxa"/>
              <w:start w:w="120" w:type="dxa"/>
              <w:end w:w="120" w:type="dxa"/>
            </w:tcMar>
          </w:tcPr>
          <w:p>
            <w:pPr>
              <w:spacing w:after="0"/>
            </w:pPr>
            <w:r>
              <w:rPr>
                <w:rFonts w:ascii="Calibri" w:hAnsi="Calibri"/>
                <w:b w:val="0"/>
                <w:i w:val="0"/>
                <w:color w:val="14181C"/>
                <w:sz w:val="18"/>
              </w:rPr>
              <w:t>USD 84,200,000 across six locations</w:t>
            </w:r>
          </w:p>
        </w:tc>
      </w:tr>
      <w:tr>
        <w:trPr/>
        <w:tc>
          <w:tcPr>
            <w:tcW w:type="dxa" w:w="2520"/>
            <w:vAlign w:val="center"/>
            <w:tcMar>
              <w:top w:w="80" w:type="dxa"/>
              <w:bottom w:w="80" w:type="dxa"/>
              <w:start w:w="120" w:type="dxa"/>
              <w:end w:w="120" w:type="dxa"/>
            </w:tcMar>
          </w:tcPr>
          <w:p>
            <w:pPr>
              <w:spacing w:after="0"/>
            </w:pPr>
            <w:r>
              <w:rPr>
                <w:rFonts w:ascii="Calibri" w:hAnsi="Calibri"/>
                <w:b w:val="0"/>
                <w:i w:val="0"/>
                <w:color w:val="14181C"/>
                <w:sz w:val="18"/>
              </w:rPr>
              <w:t>Three-year net incurred</w:t>
            </w:r>
          </w:p>
        </w:tc>
        <w:tc>
          <w:tcPr>
            <w:tcW w:type="dxa" w:w="6840"/>
            <w:vAlign w:val="center"/>
            <w:tcMar>
              <w:top w:w="80" w:type="dxa"/>
              <w:bottom w:w="80" w:type="dxa"/>
              <w:start w:w="120" w:type="dxa"/>
              <w:end w:w="120" w:type="dxa"/>
            </w:tcMar>
          </w:tcPr>
          <w:p>
            <w:pPr>
              <w:spacing w:after="0"/>
            </w:pPr>
            <w:r>
              <w:rPr>
                <w:rFonts w:ascii="Calibri" w:hAnsi="Calibri"/>
                <w:b w:val="0"/>
                <w:i w:val="0"/>
                <w:color w:val="14181C"/>
                <w:sz w:val="18"/>
              </w:rPr>
              <w:t>USD 1,190,700 across nine claims</w:t>
            </w:r>
          </w:p>
        </w:tc>
      </w:tr>
      <w:tr>
        <w:trPr/>
        <w:tc>
          <w:tcPr>
            <w:tcW w:type="dxa" w:w="2520"/>
            <w:vAlign w:val="center"/>
            <w:tcMar>
              <w:top w:w="80" w:type="dxa"/>
              <w:bottom w:w="80" w:type="dxa"/>
              <w:start w:w="120" w:type="dxa"/>
              <w:end w:w="120" w:type="dxa"/>
            </w:tcMar>
          </w:tcPr>
          <w:p>
            <w:pPr>
              <w:spacing w:after="0"/>
            </w:pPr>
            <w:r>
              <w:rPr>
                <w:rFonts w:ascii="Calibri" w:hAnsi="Calibri"/>
                <w:b w:val="0"/>
                <w:i w:val="0"/>
                <w:color w:val="14181C"/>
                <w:sz w:val="18"/>
              </w:rPr>
              <w:t>Largest open claim</w:t>
            </w:r>
          </w:p>
        </w:tc>
        <w:tc>
          <w:tcPr>
            <w:tcW w:type="dxa" w:w="6840"/>
            <w:vAlign w:val="center"/>
            <w:tcMar>
              <w:top w:w="80" w:type="dxa"/>
              <w:bottom w:w="80" w:type="dxa"/>
              <w:start w:w="120" w:type="dxa"/>
              <w:end w:w="120" w:type="dxa"/>
            </w:tcMar>
          </w:tcPr>
          <w:p>
            <w:pPr>
              <w:spacing w:after="0"/>
            </w:pPr>
            <w:r>
              <w:rPr>
                <w:rFonts w:ascii="Calibri" w:hAnsi="Calibri"/>
                <w:b w:val="0"/>
                <w:i w:val="0"/>
                <w:color w:val="14181C"/>
                <w:sz w:val="18"/>
              </w:rPr>
              <w:t>CLM-2401; Portland fire; USD 410,000 net incurred</w:t>
            </w:r>
          </w:p>
        </w:tc>
      </w:tr>
      <w:tr>
        <w:trPr/>
        <w:tc>
          <w:tcPr>
            <w:tcW w:type="dxa" w:w="2520"/>
            <w:vAlign w:val="center"/>
            <w:tcMar>
              <w:top w:w="80" w:type="dxa"/>
              <w:bottom w:w="80" w:type="dxa"/>
              <w:start w:w="120" w:type="dxa"/>
              <w:end w:w="120" w:type="dxa"/>
            </w:tcMar>
          </w:tcPr>
          <w:p>
            <w:pPr>
              <w:spacing w:after="0"/>
            </w:pPr>
            <w:r>
              <w:rPr>
                <w:rFonts w:ascii="Calibri" w:hAnsi="Calibri"/>
                <w:b w:val="0"/>
                <w:i w:val="0"/>
                <w:color w:val="14181C"/>
                <w:sz w:val="18"/>
              </w:rPr>
              <w:t>Eugene roof</w:t>
            </w:r>
          </w:p>
        </w:tc>
        <w:tc>
          <w:tcPr>
            <w:tcW w:type="dxa" w:w="6840"/>
            <w:vAlign w:val="center"/>
            <w:tcMar>
              <w:top w:w="80" w:type="dxa"/>
              <w:bottom w:w="80" w:type="dxa"/>
              <w:start w:w="120" w:type="dxa"/>
              <w:end w:w="120" w:type="dxa"/>
            </w:tcMar>
          </w:tcPr>
          <w:p>
            <w:pPr>
              <w:spacing w:after="0"/>
            </w:pPr>
            <w:r>
              <w:rPr>
                <w:rFonts w:ascii="Calibri" w:hAnsi="Calibri"/>
                <w:b w:val="0"/>
                <w:i w:val="0"/>
                <w:color w:val="14181C"/>
                <w:sz w:val="18"/>
              </w:rPr>
              <w:t>2004 roof year; replacement condition remains open</w:t>
            </w:r>
          </w:p>
        </w:tc>
      </w:tr>
      <w:tr>
        <w:trPr/>
        <w:tc>
          <w:tcPr>
            <w:tcW w:type="dxa" w:w="2520"/>
            <w:vAlign w:val="center"/>
            <w:tcMar>
              <w:top w:w="80" w:type="dxa"/>
              <w:bottom w:w="80" w:type="dxa"/>
              <w:start w:w="120" w:type="dxa"/>
              <w:end w:w="120" w:type="dxa"/>
            </w:tcMar>
          </w:tcPr>
          <w:p>
            <w:pPr>
              <w:spacing w:after="0"/>
            </w:pPr>
            <w:r>
              <w:rPr>
                <w:rFonts w:ascii="Calibri" w:hAnsi="Calibri"/>
                <w:b w:val="0"/>
                <w:i w:val="0"/>
                <w:color w:val="14181C"/>
                <w:sz w:val="18"/>
              </w:rPr>
              <w:t>Bend sprinkler status</w:t>
            </w:r>
          </w:p>
        </w:tc>
        <w:tc>
          <w:tcPr>
            <w:tcW w:type="dxa" w:w="6840"/>
            <w:vAlign w:val="center"/>
            <w:tcMar>
              <w:top w:w="80" w:type="dxa"/>
              <w:bottom w:w="80" w:type="dxa"/>
              <w:start w:w="120" w:type="dxa"/>
              <w:end w:w="120" w:type="dxa"/>
            </w:tcMar>
          </w:tcPr>
          <w:p>
            <w:pPr>
              <w:spacing w:after="0"/>
            </w:pPr>
            <w:r>
              <w:rPr>
                <w:rFonts w:ascii="Calibri" w:hAnsi="Calibri"/>
                <w:b w:val="0"/>
                <w:i w:val="0"/>
                <w:color w:val="14181C"/>
                <w:sz w:val="18"/>
              </w:rPr>
              <w:t>Partial coverage; updated inspection report remains outstanding</w:t>
            </w:r>
          </w:p>
        </w:tc>
      </w:tr>
    </w:tbl>
    <w:p>
      <w:pPr>
        <w:spacing w:after="0"/>
      </w:pPr>
    </w:p>
    <w:p>
      <w:pPr>
        <w:pStyle w:val="Heading1"/>
      </w:pPr>
      <w:r>
        <w:t>Pending records</w:t>
      </w:r>
    </w:p>
    <w:tbl>
      <w:tblPr>
        <w:tblStyle w:val="TableGrid"/>
        <w:tblW w:type="dxa" w:w="9360"/>
        <w:jc w:val="left"/>
        <w:tblLayout w:type="fixed"/>
        <w:tblLook w:firstColumn="1" w:firstRow="1" w:lastColumn="0" w:lastRow="0" w:noHBand="0" w:noVBand="1" w:val="04A0"/>
        <w:tblInd w:type="dxa" w:w="120"/>
      </w:tblPr>
      <w:tblGrid>
        <w:gridCol w:w="2880"/>
        <w:gridCol w:w="6480"/>
      </w:tblGrid>
      <w:tr>
        <w:trPr>
          <w:tblHeader w:val="true"/>
        </w:trPr>
        <w:tc>
          <w:tcPr>
            <w:tcW w:type="dxa" w:w="2880"/>
            <w:shd w:fill="F2F4F7"/>
            <w:vAlign w:val="center"/>
            <w:tcMar>
              <w:top w:w="80" w:type="dxa"/>
              <w:bottom w:w="80" w:type="dxa"/>
              <w:start w:w="120" w:type="dxa"/>
              <w:end w:w="120" w:type="dxa"/>
            </w:tcMar>
          </w:tcPr>
          <w:p>
            <w:pPr>
              <w:spacing w:after="0"/>
            </w:pPr>
            <w:r>
              <w:rPr>
                <w:rFonts w:ascii="Calibri" w:hAnsi="Calibri"/>
                <w:b/>
                <w:i w:val="0"/>
                <w:color w:val="1F3A5F"/>
                <w:sz w:val="18"/>
              </w:rPr>
              <w:t>Record</w:t>
            </w:r>
          </w:p>
        </w:tc>
        <w:tc>
          <w:tcPr>
            <w:tcW w:type="dxa" w:w="6480"/>
            <w:shd w:fill="F2F4F7"/>
            <w:vAlign w:val="center"/>
            <w:tcMar>
              <w:top w:w="80" w:type="dxa"/>
              <w:bottom w:w="80" w:type="dxa"/>
              <w:start w:w="120" w:type="dxa"/>
              <w:end w:w="120" w:type="dxa"/>
            </w:tcMar>
          </w:tcPr>
          <w:p>
            <w:pPr>
              <w:spacing w:after="0"/>
            </w:pPr>
            <w:r>
              <w:rPr>
                <w:rFonts w:ascii="Calibri" w:hAnsi="Calibri"/>
                <w:b/>
                <w:i w:val="0"/>
                <w:color w:val="1F3A5F"/>
                <w:sz w:val="18"/>
              </w:rPr>
              <w:t>Status on September 28, 2026</w:t>
            </w:r>
          </w:p>
        </w:tc>
      </w:tr>
      <w:tr>
        <w:trPr/>
        <w:tc>
          <w:tcPr>
            <w:tcW w:type="dxa" w:w="2880"/>
            <w:vAlign w:val="center"/>
            <w:tcMar>
              <w:top w:w="80" w:type="dxa"/>
              <w:bottom w:w="80" w:type="dxa"/>
              <w:start w:w="120" w:type="dxa"/>
              <w:end w:w="120" w:type="dxa"/>
            </w:tcMar>
          </w:tcPr>
          <w:p>
            <w:pPr>
              <w:spacing w:after="0"/>
            </w:pPr>
            <w:r>
              <w:rPr>
                <w:rFonts w:ascii="Calibri" w:hAnsi="Calibri"/>
                <w:b w:val="0"/>
                <w:i w:val="0"/>
                <w:color w:val="14181C"/>
                <w:sz w:val="18"/>
              </w:rPr>
              <w:t>Corrected binder</w:t>
            </w:r>
          </w:p>
        </w:tc>
        <w:tc>
          <w:tcPr>
            <w:tcW w:type="dxa" w:w="6480"/>
            <w:vAlign w:val="center"/>
            <w:tcMar>
              <w:top w:w="80" w:type="dxa"/>
              <w:bottom w:w="80" w:type="dxa"/>
              <w:start w:w="120" w:type="dxa"/>
              <w:end w:w="120" w:type="dxa"/>
            </w:tcMar>
          </w:tcPr>
          <w:p>
            <w:pPr>
              <w:spacing w:after="0"/>
            </w:pPr>
            <w:r>
              <w:rPr>
                <w:rFonts w:ascii="Calibri" w:hAnsi="Calibri"/>
                <w:b w:val="0"/>
                <w:i w:val="0"/>
                <w:color w:val="14181C"/>
                <w:sz w:val="18"/>
              </w:rPr>
              <w:t>Not received</w:t>
            </w:r>
          </w:p>
        </w:tc>
      </w:tr>
      <w:tr>
        <w:trPr/>
        <w:tc>
          <w:tcPr>
            <w:tcW w:type="dxa" w:w="2880"/>
            <w:vAlign w:val="center"/>
            <w:tcMar>
              <w:top w:w="80" w:type="dxa"/>
              <w:bottom w:w="80" w:type="dxa"/>
              <w:start w:w="120" w:type="dxa"/>
              <w:end w:w="120" w:type="dxa"/>
            </w:tcMar>
          </w:tcPr>
          <w:p>
            <w:pPr>
              <w:spacing w:after="0"/>
            </w:pPr>
            <w:r>
              <w:rPr>
                <w:rFonts w:ascii="Calibri" w:hAnsi="Calibri"/>
                <w:b w:val="0"/>
                <w:i w:val="0"/>
                <w:color w:val="14181C"/>
                <w:sz w:val="18"/>
              </w:rPr>
              <w:t>Issued policy</w:t>
            </w:r>
          </w:p>
        </w:tc>
        <w:tc>
          <w:tcPr>
            <w:tcW w:type="dxa" w:w="6480"/>
            <w:vAlign w:val="center"/>
            <w:tcMar>
              <w:top w:w="80" w:type="dxa"/>
              <w:bottom w:w="80" w:type="dxa"/>
              <w:start w:w="120" w:type="dxa"/>
              <w:end w:w="120" w:type="dxa"/>
            </w:tcMar>
          </w:tcPr>
          <w:p>
            <w:pPr>
              <w:spacing w:after="0"/>
            </w:pPr>
            <w:r>
              <w:rPr>
                <w:rFonts w:ascii="Calibri" w:hAnsi="Calibri"/>
                <w:b w:val="0"/>
                <w:i w:val="0"/>
                <w:color w:val="14181C"/>
                <w:sz w:val="18"/>
              </w:rPr>
              <w:t>Not received</w:t>
            </w:r>
          </w:p>
        </w:tc>
      </w:tr>
      <w:tr>
        <w:trPr/>
        <w:tc>
          <w:tcPr>
            <w:tcW w:type="dxa" w:w="2880"/>
            <w:vAlign w:val="center"/>
            <w:tcMar>
              <w:top w:w="80" w:type="dxa"/>
              <w:bottom w:w="80" w:type="dxa"/>
              <w:start w:w="120" w:type="dxa"/>
              <w:end w:w="120" w:type="dxa"/>
            </w:tcMar>
          </w:tcPr>
          <w:p>
            <w:pPr>
              <w:spacing w:after="0"/>
            </w:pPr>
            <w:r>
              <w:rPr>
                <w:rFonts w:ascii="Calibri" w:hAnsi="Calibri"/>
                <w:b w:val="0"/>
                <w:i w:val="0"/>
                <w:color w:val="14181C"/>
                <w:sz w:val="18"/>
              </w:rPr>
              <w:t>Carrier premium invoice</w:t>
            </w:r>
          </w:p>
        </w:tc>
        <w:tc>
          <w:tcPr>
            <w:tcW w:type="dxa" w:w="6480"/>
            <w:vAlign w:val="center"/>
            <w:tcMar>
              <w:top w:w="80" w:type="dxa"/>
              <w:bottom w:w="80" w:type="dxa"/>
              <w:start w:w="120" w:type="dxa"/>
              <w:end w:w="120" w:type="dxa"/>
            </w:tcMar>
          </w:tcPr>
          <w:p>
            <w:pPr>
              <w:spacing w:after="0"/>
            </w:pPr>
            <w:r>
              <w:rPr>
                <w:rFonts w:ascii="Calibri" w:hAnsi="Calibri"/>
                <w:b w:val="0"/>
                <w:i w:val="0"/>
                <w:color w:val="14181C"/>
                <w:sz w:val="18"/>
              </w:rPr>
              <w:t>Not received</w:t>
            </w:r>
          </w:p>
        </w:tc>
      </w:tr>
      <w:tr>
        <w:trPr/>
        <w:tc>
          <w:tcPr>
            <w:tcW w:type="dxa" w:w="2880"/>
            <w:vAlign w:val="center"/>
            <w:tcMar>
              <w:top w:w="80" w:type="dxa"/>
              <w:bottom w:w="80" w:type="dxa"/>
              <w:start w:w="120" w:type="dxa"/>
              <w:end w:w="120" w:type="dxa"/>
            </w:tcMar>
          </w:tcPr>
          <w:p>
            <w:pPr>
              <w:spacing w:after="0"/>
            </w:pPr>
            <w:r>
              <w:rPr>
                <w:rFonts w:ascii="Calibri" w:hAnsi="Calibri"/>
                <w:b w:val="0"/>
                <w:i w:val="0"/>
                <w:color w:val="14181C"/>
                <w:sz w:val="18"/>
              </w:rPr>
              <w:t>Terrorism election</w:t>
            </w:r>
          </w:p>
        </w:tc>
        <w:tc>
          <w:tcPr>
            <w:tcW w:type="dxa" w:w="6480"/>
            <w:vAlign w:val="center"/>
            <w:tcMar>
              <w:top w:w="80" w:type="dxa"/>
              <w:bottom w:w="80" w:type="dxa"/>
              <w:start w:w="120" w:type="dxa"/>
              <w:end w:w="120" w:type="dxa"/>
            </w:tcMar>
          </w:tcPr>
          <w:p>
            <w:pPr>
              <w:spacing w:after="0"/>
            </w:pPr>
            <w:r>
              <w:rPr>
                <w:rFonts w:ascii="Calibri" w:hAnsi="Calibri"/>
                <w:b w:val="0"/>
                <w:i w:val="0"/>
                <w:color w:val="14181C"/>
                <w:sz w:val="18"/>
              </w:rPr>
              <w:t>Not reflected in the binder</w:t>
            </w:r>
          </w:p>
        </w:tc>
      </w:tr>
      <w:tr>
        <w:trPr/>
        <w:tc>
          <w:tcPr>
            <w:tcW w:type="dxa" w:w="2880"/>
            <w:vAlign w:val="center"/>
            <w:tcMar>
              <w:top w:w="80" w:type="dxa"/>
              <w:bottom w:w="80" w:type="dxa"/>
              <w:start w:w="120" w:type="dxa"/>
              <w:end w:w="120" w:type="dxa"/>
            </w:tcMar>
          </w:tcPr>
          <w:p>
            <w:pPr>
              <w:spacing w:after="0"/>
            </w:pPr>
            <w:r>
              <w:rPr>
                <w:rFonts w:ascii="Calibri" w:hAnsi="Calibri"/>
                <w:b w:val="0"/>
                <w:i w:val="0"/>
                <w:color w:val="14181C"/>
                <w:sz w:val="18"/>
              </w:rPr>
              <w:t>Bend sprinkler inspection</w:t>
            </w:r>
          </w:p>
        </w:tc>
        <w:tc>
          <w:tcPr>
            <w:tcW w:type="dxa" w:w="6480"/>
            <w:vAlign w:val="center"/>
            <w:tcMar>
              <w:top w:w="80" w:type="dxa"/>
              <w:bottom w:w="80" w:type="dxa"/>
              <w:start w:w="120" w:type="dxa"/>
              <w:end w:w="120" w:type="dxa"/>
            </w:tcMar>
          </w:tcPr>
          <w:p>
            <w:pPr>
              <w:spacing w:after="0"/>
            </w:pPr>
            <w:r>
              <w:rPr>
                <w:rFonts w:ascii="Calibri" w:hAnsi="Calibri"/>
                <w:b w:val="0"/>
                <w:i w:val="0"/>
                <w:color w:val="14181C"/>
                <w:sz w:val="18"/>
              </w:rPr>
              <w:t>Outstanding</w:t>
            </w:r>
          </w:p>
        </w:tc>
      </w:tr>
    </w:tbl>
    <w:p>
      <w:pPr>
        <w:spacing w:after="0"/>
      </w:pPr>
    </w:p>
    <w:p>
      <w:pPr>
        <w:pStyle w:val="Heading1"/>
      </w:pPr>
      <w:r>
        <w:t>Current conclusion</w:t>
      </w:r>
    </w:p>
    <w:p>
      <w:r>
        <w:rPr>
          <w:rFonts w:ascii="Calibri" w:hAnsi="Calibri"/>
          <w:b w:val="0"/>
          <w:i w:val="0"/>
          <w:color w:val="14181C"/>
          <w:sz w:val="22"/>
        </w:rPr>
        <w:t>The file supports the accepted quote revision 2 premium of USD 144,550 and separately supports the binder premium of USD 146,950. The file does not contain a carrier explanation that reconciles those values. The same unresolved condition applies to the flood deductible minimum of USD 250,000 in the quote and USD 500,000 in the binder.</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A626C"/>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A626C"/>
        <w:sz w:val="17"/>
      </w:rPr>
      <w:t>KESTREL RISK ADVISORS | UNDERWRITING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Alder Peak Manufacturing 2026-2027 insurance renewal</dc:subject>
  <dc:creator>Kestrel Risk Advisors</dc:creator>
  <cp:keywords/>
  <dc:description>generated by python-docx</dc:description>
  <cp:lastModifiedBy/>
  <cp:revision>1</cp:revision>
  <dcterms:created xsi:type="dcterms:W3CDTF">2013-12-23T23:15:00Z</dcterms:created>
  <dcterms:modified xsi:type="dcterms:W3CDTF">2013-12-23T23:15:00Z</dcterms:modified>
  <cp:category/>
</cp:coreProperties>
</file>