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s>
</file>

<file path=word/document.xml><?xml version="1.0" encoding="utf-8"?>
<w:document xmlns:w="http://schemas.openxmlformats.org/wordprocessingml/2006/main">
  <w:body>
    <w:p>
      <w:pPr>
        <w:pStyle w:val="Title"/>
      </w:pPr>
      <w:r>
        <w:t xml:space="preserve">ESF — Adoption Roadmap</w:t>
      </w:r>
    </w:p>
    <w:p>
      <w:pPr>
        <w:pStyle w:val="Heading1"/>
      </w:pPr>
      <w:r>
        <w:t xml:space="preserve">From working prototype to email-ecosystem adoption</w:t>
      </w:r>
    </w:p>
    <w:p>
      <w:pPr>
        <w:pStyle w:val="BodyText"/>
      </w:pPr>
      <w:r>
        <w:rPr>
          <w:b/>
        </w:rPr>
        <w:t xml:space="preserve">Companion document to the Technical Whitepaper.</w:t>
      </w:r>
      <w:r>
        <w:t xml:space="preserve"> The whitepaper</w:t>
      </w:r>
    </w:p>
    <w:p>
      <w:pPr>
        <w:pStyle w:val="BodyText"/>
      </w:pPr>
      <w:r>
        <w:t xml:space="preserve">says what ESF </w:t>
      </w:r>
      <w:r>
        <w:rPr>
          <w:i/>
        </w:rPr>
        <w:t xml:space="preserve">is</w:t>
      </w:r>
      <w:r>
        <w:t xml:space="preserve">; this document says in what order it can become something the email ecosystem actually uses.</w:t>
      </w:r>
    </w:p>
    <w:p>
      <w:pPr>
        <w:pStyle w:val="BodyText"/>
      </w:pPr>
      <w:r>
        <w:rPr>
          <w:b/>
        </w:rPr>
        <w:t xml:space="preserve">Objective.</w:t>
      </w:r>
      <w:r>
        <w:t xml:space="preserve"> Make large-scale unsolicited email economically expensive while keeping legitimate email simple.</w:t>
      </w:r>
    </w:p>
    <w:p>
      <w:pPr>
        <w:pStyle w:val="BodyText"/>
      </w:pPr>
      <w:r>
        <w:rPr>
          <w:b/>
        </w:rPr>
        <w:t xml:space="preserve">What ESF is, and is not.</w:t>
      </w:r>
      <w:r>
        <w:t xml:space="preserve"> ESF does not claim to have invented proof of work for email: the idea and several</w:t>
      </w:r>
    </w:p>
    <w:p>
      <w:pPr>
        <w:pStyle w:val="BodyText"/>
      </w:pPr>
      <w:r>
        <w:t xml:space="preserve">implementations of it predate this project by decades (whitepaper 2, prior-art.md). ESF is a modern,</w:t>
      </w:r>
    </w:p>
    <w:p>
      <w:pPr>
        <w:pStyle w:val="BodyText"/>
      </w:pPr>
      <w:r>
        <w:t xml:space="preserve">interoperable, receiver-policy-driven implementation, aimed at the deployment, interoperability, usability and</w:t>
      </w:r>
    </w:p>
    <w:p>
      <w:pPr>
        <w:pStyle w:val="BodyText"/>
      </w:pPr>
      <w:r>
        <w:t xml:space="preserve">algorithm-agility problems that kept the earlier systems from broad adoption. That is what makes this an adoption</w:t>
      </w:r>
    </w:p>
    <w:p>
      <w:pPr>
        <w:pStyle w:val="BodyText"/>
      </w:pPr>
      <w:r>
        <w:t xml:space="preserve">roadmap rather than a research agenda: the open questions it has to settle are deployment questions.</w:t>
      </w:r>
    </w:p>
    <w:p>
      <w:pPr>
        <w:pStyle w:val="Quote"/>
      </w:pPr>
      <w:r>
        <w:rPr>
          <w:b/>
        </w:rPr>
        <w:t xml:space="preserve">No dates.</w:t>
      </w:r>
      <w:r>
        <w:t xml:space="preserve"> Every stage is expressed as a dependency, not a schedule. A stage begins when the exit criteria of its prerequisites are met — not when a quarter starts. Where a stage cannot be entered, that is information about the previous stage, not a reason to skip ahead.</w:t>
      </w:r>
    </w:p>
    <w:p>
      <w:pPr>
        <w:pStyle w:val="Divider"/>
      </w:pPr>
    </w:p>
    <w:p>
      <w:pPr>
        <w:pStyle w:val="Heading1"/>
      </w:pPr>
      <w:r>
        <w:t xml:space="preserve">The adoption problem, stated honestly</w:t>
      </w:r>
    </w:p>
    <w:p>
      <w:pPr>
        <w:pStyle w:val="BodyText"/>
      </w:pPr>
      <w:r>
        <w:t xml:space="preserve">Before planning adoption it is worth naming why this has not already happened, because the answer shapes every stage</w:t>
      </w:r>
    </w:p>
    <w:p>
      <w:pPr>
        <w:pStyle w:val="BodyText"/>
      </w:pPr>
      <w:r>
        <w:t xml:space="preserve">below.</w:t>
      </w:r>
    </w:p>
    <w:p>
      <w:pPr>
        <w:pStyle w:val="BodyText"/>
      </w:pPr>
      <w:r>
        <w:rPr>
          <w:b/>
        </w:rPr>
        <w:t xml:space="preserve">Verifiers are not the bottleneck.</w:t>
      </w:r>
      <w:r>
        <w:t xml:space="preserve"> Apache SpamAssassin shipped</w:t>
      </w:r>
    </w:p>
    <w:p>
      <w:pPr>
        <w:pStyle w:val="BodyText"/>
      </w:pPr>
      <w:r>
        <w:rPr>
          <w:rFonts w:ascii="Consolas" w:hAnsi="Consolas"/>
          <w:sz w:val="18"/>
        </w:rPr>
        <w:t xml:space="preserve">Mail::SpamAssassin::Plugin::Hashcash</w:t>
      </w:r>
      <w:r>
        <w:t xml:space="preserve"> (https://spamassassin.apache.org/full/3.4.x/doc/Mail_SpamAssassin_Plugin_Hashcash.html)</w:t>
      </w:r>
    </w:p>
    <w:p>
      <w:pPr>
        <w:pStyle w:val="BodyText"/>
      </w:pPr>
      <w:r>
        <w:t xml:space="preserve">from the 3.0 series onwards, complete with double-spend tracking of tokens — and then removed it: the </w:t>
      </w:r>
      <w:r>
        <w:rPr>
          <w:rFonts w:ascii="Consolas" w:hAnsi="Consolas"/>
          <w:sz w:val="18"/>
        </w:rPr>
        <w:t xml:space="preserve">UPGRADE</w:t>
      </w:r>
      <w:r>
        <w:t xml:space="preserve"> notes</w:t>
      </w:r>
    </w:p>
    <w:p>
      <w:pPr>
        <w:pStyle w:val="BodyText"/>
      </w:pPr>
      <w:r>
        <w:t xml:space="preserve">for SpamAssassin 4.0.0 state that "the HashCash module and support has been removed completely, as it has been long</w:t>
      </w:r>
    </w:p>
    <w:p>
      <w:pPr>
        <w:pStyle w:val="BodyText"/>
      </w:pPr>
      <w:r>
        <w:t xml:space="preserve">since deprecated". A receiver-side proof-of-work check for email was therefore available, packaged and documented for</w:t>
      </w:r>
    </w:p>
    <w:p>
      <w:pPr>
        <w:pStyle w:val="BodyText"/>
      </w:pPr>
      <w:r>
        <w:t xml:space="preserve">most of two decades, and was used by almost nobody — because almost nobody sends stamps. The scarce resource in this</w:t>
      </w:r>
    </w:p>
    <w:p>
      <w:pPr>
        <w:pStyle w:val="BodyText"/>
      </w:pPr>
      <w:r>
        <w:t xml:space="preserve">ecosystem is not verification code; it is </w:t>
      </w:r>
      <w:r>
        <w:rPr>
          <w:b/>
        </w:rPr>
        <w:t xml:space="preserve">senders who stamp</w:t>
      </w:r>
      <w:r>
        <w:t xml:space="preserve"> and </w:t>
      </w:r>
      <w:r>
        <w:rPr>
          <w:b/>
        </w:rPr>
        <w:t xml:space="preserve">receivers who let a stamp change an outcome</w:t>
      </w:r>
      <w:r>
        <w:t xml:space="preserve">.</w:t>
      </w:r>
    </w:p>
    <w:p>
      <w:pPr>
        <w:pStyle w:val="BodyText"/>
      </w:pPr>
      <w:r>
        <w:rPr>
          <w:b/>
        </w:rPr>
        <w:t xml:space="preserve">That is a two-sided deadlock</w:t>
      </w:r>
      <w:r>
        <w:t xml:space="preserve">, and it defines the shape of this roadmap: no stage may depend on both sides moving</w:t>
      </w:r>
    </w:p>
    <w:p>
      <w:pPr>
        <w:pStyle w:val="BodyText"/>
      </w:pPr>
      <w:r>
        <w:t xml:space="preserve">at once. Every stage must be useful to whichever side adopts it first.</w:t>
      </w:r>
    </w:p>
    <w:p>
      <w:pPr>
        <w:pStyle w:val="ListBullet"/>
      </w:pPr>
      <w:r>
        <w:t xml:space="preserve">• A sender that stamps into a world of unaware receivers loses nothing measurable (one second of CPU) and gains</w:t>
      </w:r>
    </w:p>
    <w:p>
      <w:pPr>
        <w:pStyle w:val="BodyText"/>
      </w:pPr>
      <w:r>
        <w:t xml:space="preserve">nothing yet.</w:t>
      </w:r>
    </w:p>
    <w:p>
      <w:pPr>
        <w:pStyle w:val="ListBullet"/>
      </w:pPr>
      <w:r>
        <w:t xml:space="preserve">• A receiver that verifies into a world of unstamped mail gains a signal that is currently almost always absent —</w:t>
      </w:r>
    </w:p>
    <w:p>
      <w:pPr>
        <w:pStyle w:val="BodyText"/>
      </w:pPr>
      <w:r>
        <w:t xml:space="preserve">which is exactly why </w:t>
      </w:r>
      <w:r>
        <w:rPr>
          <w:i/>
        </w:rPr>
        <w:t xml:space="preserve">absence must stay neutral</w:t>
      </w:r>
      <w:r>
        <w:t xml:space="preserve"> (whitepaper 11) and why </w:t>
      </w:r>
      <w:r>
        <w:rPr>
          <w:rFonts w:ascii="Consolas" w:hAnsi="Consolas"/>
          <w:sz w:val="18"/>
        </w:rPr>
        <w:t xml:space="preserve">junkOnRed</w:t>
      </w:r>
      <w:r>
        <w:t xml:space="preserve"> ships off.</w:t>
      </w:r>
    </w:p>
    <w:p>
      <w:pPr>
        <w:pStyle w:val="BodyText"/>
      </w:pPr>
      <w:r>
        <w:rPr>
          <w:b/>
        </w:rPr>
        <w:t xml:space="preserve">Where the earlier attempts left a documented reason for fading, it is not a cryptographic one.</w:t>
      </w:r>
      <w:r>
        <w:t xml:space="preserve"> Most of them left</w:t>
      </w:r>
    </w:p>
    <w:p>
      <w:pPr>
        <w:pStyle w:val="BodyText"/>
      </w:pPr>
      <w:r>
        <w:t xml:space="preserve">none at all — Camram and PennyPost simply stopped, with no retirement statement anywhere — but three records do say</w:t>
      </w:r>
    </w:p>
    <w:p>
      <w:pPr>
        <w:pStyle w:val="BodyText"/>
      </w:pPr>
      <w:r>
        <w:t xml:space="preserve">why, in their own words:</w:t>
      </w:r>
    </w:p>
    <w:p>
      <w:pPr>
        <w:pStyle w:val="ListBullet"/>
      </w:pPr>
      <w:r>
        <w:t xml:space="preserve">• Microsoft Research's </w:t>
      </w:r>
      <w:r>
        <w:rPr>
          <w:b/>
        </w:rPr>
        <w:t xml:space="preserve">Penny Black</w:t>
      </w:r>
      <w:r>
        <w:t xml:space="preserve"> project — the programme that investigated CPU-bound, memory-bound and</w:t>
      </w:r>
    </w:p>
    <w:p>
      <w:pPr>
        <w:pStyle w:val="BodyText"/>
      </w:pPr>
      <w:r>
        <w:t xml:space="preserve">human-verification currencies for email postage — stated on its own project page in 2006 that "the research</w:t>
      </w:r>
    </w:p>
    <w:p>
      <w:pPr>
        <w:pStyle w:val="BodyText"/>
      </w:pPr>
      <w:r>
        <w:t xml:space="preserve">component of this project is largely complete", and Dwork and Goldberg wrote alongside it that technological</w:t>
      </w:r>
    </w:p>
    <w:p>
      <w:pPr>
        <w:pStyle w:val="BodyText"/>
      </w:pPr>
      <w:r>
        <w:t xml:space="preserve">feasibility had been demonstrated and that "making the scheme a reality is now a social, political, and business</w:t>
      </w:r>
    </w:p>
    <w:p>
      <w:pPr>
        <w:pStyle w:val="BodyText"/>
      </w:pPr>
      <w:r>
        <w:t xml:space="preserve">question". The unsolved part was never the puzzle. Stages 4, 5, 9 and 10 are that question.</w:t>
      </w:r>
    </w:p>
    <w:p>
      <w:pPr>
        <w:pStyle w:val="ListBullet"/>
      </w:pPr>
      <w:r>
        <w:t xml:space="preserve">• </w:t>
      </w:r>
      <w:r>
        <w:rPr>
          <w:b/>
        </w:rPr>
        <w:t xml:space="preserve">SpamAssassin</w:t>
      </w:r>
      <w:r>
        <w:t xml:space="preserve"> retired its Hashcash support outright, with the terse justification quoted above. A verifier that</w:t>
      </w:r>
    </w:p>
    <w:p>
      <w:pPr>
        <w:pStyle w:val="BodyText"/>
      </w:pPr>
      <w:r>
        <w:t xml:space="preserve">nobody feeds is maintenance cost without benefit — which is why Stage 5 asks for packaged configuration, a result</w:t>
      </w:r>
    </w:p>
    <w:p>
      <w:pPr>
        <w:pStyle w:val="BodyText"/>
      </w:pPr>
      <w:r>
        <w:t xml:space="preserve">visible in the filter's own reporting and verification cost measured under production load, rather than for another</w:t>
      </w:r>
    </w:p>
    <w:p>
      <w:pPr>
        <w:pStyle w:val="BodyText"/>
      </w:pPr>
      <w:r>
        <w:t xml:space="preserve">plugin in a tree.</w:t>
      </w:r>
    </w:p>
    <w:p>
      <w:pPr>
        <w:pStyle w:val="ListBullet"/>
      </w:pPr>
      <w:r>
        <w:t xml:space="preserve">• </w:t>
      </w:r>
      <w:r>
        <w:rPr>
          <w:b/>
        </w:rPr>
        <w:t xml:space="preserve">Mozilla bug 229686</w:t>
      </w:r>
      <w:r>
        <w:t xml:space="preserve">, "Support for HashCash type of SPAM protection", was filed in 2003, collected 189 votes and</w:t>
      </w:r>
    </w:p>
    <w:p>
      <w:pPr>
        <w:pStyle w:val="BodyText"/>
      </w:pPr>
      <w:r>
        <w:t xml:space="preserve">was closed WONTFIX in 2009 on the stated ground that a solution requiring near-universal adoption is not worth the</w:t>
      </w:r>
    </w:p>
    <w:p>
      <w:pPr>
        <w:pStyle w:val="BodyText"/>
      </w:pPr>
      <w:r>
        <w:t xml:space="preserve">cost of considering. The objections recorded in the same bug are the adoption threshold ("this cannot happen until</w:t>
      </w:r>
    </w:p>
    <w:p>
      <w:pPr>
        <w:pStyle w:val="BodyText"/>
      </w:pPr>
      <w:r>
        <w:t xml:space="preserve">major MUAs, most notably Outlook, support it"), botnet economics, an unresolved Microsoft patent claim over the</w:t>
      </w:r>
    </w:p>
    <w:p>
      <w:pPr>
        <w:pStyle w:val="BodyText"/>
      </w:pPr>
      <w:r>
        <w:t xml:space="preserve">memory-bound work, and mailing lists and comparable legitimate bulk senders needing blanket allowlisting. The bug</w:t>
      </w:r>
    </w:p>
    <w:p>
      <w:pPr>
        <w:pStyle w:val="BodyText"/>
      </w:pPr>
      <w:r>
        <w:t xml:space="preserve">also rejected the option that already existed, the PennyPost extension, partly on size: adding a 16 MB library to a</w:t>
      </w:r>
    </w:p>
    <w:p>
      <w:pPr>
        <w:pStyle w:val="BodyText"/>
      </w:pPr>
      <w:r>
        <w:t xml:space="preserve">6 MB client was held to be unreasonable.</w:t>
      </w:r>
    </w:p>
    <w:p>
      <w:pPr>
        <w:pStyle w:val="BodyText"/>
      </w:pPr>
      <w:r>
        <w:t xml:space="preserve">Those are the failure modes the stages above and below are built to avoid, and the mapping is deliberate: absence</w:t>
      </w:r>
    </w:p>
    <w:p>
      <w:pPr>
        <w:pStyle w:val="BodyText"/>
      </w:pPr>
      <w:r>
        <w:t xml:space="preserve">stays neutral, so no stage needs universal adoption; Outlook is a reference client from Stage 0, not an afterthought;</w:t>
      </w:r>
    </w:p>
    <w:p>
      <w:pPr>
        <w:pStyle w:val="BodyText"/>
      </w:pPr>
      <w:r>
        <w:t xml:space="preserve">patent-free where possible is a guiding principle; forwarding and mailing lists are named questions in Stage 8; and</w:t>
      </w:r>
    </w:p>
    <w:p>
      <w:pPr>
        <w:pStyle w:val="BodyText"/>
      </w:pPr>
      <w:r>
        <w:t xml:space="preserve">the memory-hard profile has to arrive as a bounded verifier and a shipped client (Stages 1 and 5), not as a table</w:t>
      </w:r>
    </w:p>
    <w:p>
      <w:pPr>
        <w:pStyle w:val="BodyText"/>
      </w:pPr>
      <w:r>
        <w:t xml:space="preserve">larger than the client that carries it. </w:t>
      </w:r>
      <w:r>
        <w:rPr>
          <w:b/>
        </w:rPr>
        <w:t xml:space="preserve">The botnet objection is not answered by this mapping.</w:t>
      </w:r>
      <w:r>
        <w:t xml:space="preserve"> It is one of the</w:t>
      </w:r>
    </w:p>
    <w:p>
      <w:pPr>
        <w:pStyle w:val="BodyText"/>
      </w:pPr>
      <w:r>
        <w:t xml:space="preserve">things Stage 10 has to measure, and the whitepaper's threat model (12) records that ESF cannot eliminate stolen</w:t>
      </w:r>
    </w:p>
    <w:p>
      <w:pPr>
        <w:pStyle w:val="BodyText"/>
      </w:pPr>
      <w:r>
        <w:t xml:space="preserve">computation.</w:t>
      </w:r>
    </w:p>
    <w:p>
      <w:pPr>
        <w:pStyle w:val="BodyText"/>
      </w:pPr>
      <w:r>
        <w:rPr>
          <w:b/>
        </w:rPr>
        <w:t xml:space="preserve">The standing objection is twenty years old and still unanswered by most PoW proposals.</w:t>
      </w:r>
      <w:r>
        <w:t xml:space="preserve"> Laurie and Clayton,</w:t>
      </w:r>
    </w:p>
    <w:p>
      <w:pPr>
        <w:pStyle w:val="BodyText"/>
      </w:pPr>
      <w:r>
        <w:rPr>
          <w:i/>
        </w:rPr>
        <w:t xml:space="preserve">"Proof-of-Work" Proves Not to Work</w:t>
      </w:r>
      <w:r>
        <w:t xml:space="preserve"> (https://www.cl.cam.ac.uk/~rnc1/proofwork2.pdf) (2004), analysed real ISP</w:t>
      </w:r>
    </w:p>
    <w:p>
      <w:pPr>
        <w:pStyle w:val="BodyText"/>
      </w:pPr>
      <w:r>
        <w:t xml:space="preserve">traffic and concluded that a difficulty high enough to deter spammers would also block a material fraction of</w:t>
      </w:r>
    </w:p>
    <w:p>
      <w:pPr>
        <w:pStyle w:val="BodyText"/>
      </w:pPr>
      <w:r>
        <w:t xml:space="preserve">legitimate senders. In version 0.2 of the paper, 93.5 % of the machines they measured sent fewer than the global</w:t>
      </w:r>
    </w:p>
    <w:p>
      <w:pPr>
        <w:pStyle w:val="BodyText"/>
      </w:pPr>
      <w:r>
        <w:t xml:space="preserve">average of 60 non-list messages a day, but the tail put legitimate collateral damage at 0.6–1.6 % of customers on</w:t>
      </w:r>
    </w:p>
    <w:p>
      <w:pPr>
        <w:pStyle w:val="BodyText"/>
      </w:pPr>
      <w:r>
        <w:t xml:space="preserve">daily volume and 5–13 % on peak </w:t>
      </w:r>
      <w:r>
        <w:rPr>
          <w:i/>
        </w:rPr>
        <w:t xml:space="preserve">hourly</w:t>
      </w:r>
      <w:r>
        <w:t xml:space="preserve"> volume — the hourly figure being the worse one, because a spammer sends</w:t>
      </w:r>
    </w:p>
    <w:p>
      <w:pPr>
        <w:pStyle w:val="BodyText"/>
      </w:pPr>
      <w:r>
        <w:t xml:space="preserve">around the clock and a person does not. ESF's own cost model (whitepaper 7.4) reaches a compatible conclusion from</w:t>
      </w:r>
    </w:p>
    <w:p>
      <w:pPr>
        <w:pStyle w:val="BodyText"/>
      </w:pPr>
      <w:r>
        <w:t xml:space="preserve">the other end: no single SHA-256 difficulty is simultaneously bearable for a laptop and expensive for an operator</w:t>
      </w:r>
    </w:p>
    <w:p>
      <w:pPr>
        <w:pStyle w:val="BodyText"/>
      </w:pPr>
      <w:r>
        <w:t xml:space="preserve">with mining hardware.</w:t>
      </w:r>
    </w:p>
    <w:p>
      <w:pPr>
        <w:pStyle w:val="BodyText"/>
      </w:pPr>
      <w:r>
        <w:t xml:space="preserve">ESF's answer is not that the objection is wrong. It is that the objection assumes a </w:t>
      </w:r>
      <w:r>
        <w:rPr>
          <w:i/>
        </w:rPr>
        <w:t xml:space="preserve">uniform, mandatory</w:t>
      </w:r>
      <w:r>
        <w:t xml:space="preserve"> difficulty —</w:t>
      </w:r>
    </w:p>
    <w:p>
      <w:pPr>
        <w:pStyle w:val="BodyText"/>
      </w:pPr>
      <w:r>
        <w:t xml:space="preserve">which is the scope the authors themselves claim: their conclusion is against a universal scheme in which every</w:t>
      </w:r>
    </w:p>
    <w:p>
      <w:pPr>
        <w:pStyle w:val="BodyText"/>
      </w:pPr>
      <w:r>
        <w:t xml:space="preserve">message carries a proof, and they say explicitly that they have not analysed a hybrid, predicting instead that such</w:t>
      </w:r>
    </w:p>
    <w:p>
      <w:pPr>
        <w:pStyle w:val="BodyText"/>
      </w:pPr>
      <w:r>
        <w:t xml:space="preserve">schemes "will be very complex and, we believe, very fragile". ESF is one of the schemes that prediction covers.</w:t>
      </w:r>
    </w:p>
    <w:tbl>
      <w:tblPr>
        <w:tblStyle w:val="TableGrid"/>
        <w:tblW w:w="5000" w:type="pct"/>
        <w:tblBorders>
          <w:top w:val="single" w:sz="4" w:space="0" w:color="D0D4DA"/>
          <w:left w:val="single" w:sz="4" w:space="0" w:color="D0D4DA"/>
          <w:bottom w:val="single" w:sz="4" w:space="0" w:color="D0D4DA"/>
          <w:right w:val="single" w:sz="4" w:space="0" w:color="D0D4DA"/>
          <w:insideH w:val="single" w:sz="4" w:space="0" w:color="D0D4DA"/>
          <w:insideV w:val="single" w:sz="4" w:space="0" w:color="D0D4DA"/>
        </w:tblBorders>
      </w:tblPr>
      <w:tblGrid>
        <w:gridCol w:w="4680"/>
        <w:gridCol w:w="4680"/>
      </w:tblGrid>
      <w:tr>
        <w:tc>
          <w:tcPr>
            <w:tcW w:w="4680" w:type="dxa"/>
            <w:shd w:val="clear" w:fill="F1F3F6"/>
          </w:tcPr>
          <w:p>
            <w:pPr>
              <w:pStyle w:val="TableText"/>
            </w:pPr>
            <w:r>
              <w:rPr>
                <w:b/>
              </w:rPr>
              <w:t xml:space="preserve">Laurie/Clayton assumption</w:t>
            </w:r>
          </w:p>
        </w:tc>
        <w:tc>
          <w:tcPr>
            <w:tcW w:w="4680" w:type="dxa"/>
            <w:shd w:val="clear" w:fill="F1F3F6"/>
          </w:tcPr>
          <w:p>
            <w:pPr>
              <w:pStyle w:val="TableText"/>
            </w:pPr>
            <w:r>
              <w:rPr>
                <w:b/>
              </w:rPr>
              <w:t xml:space="preserve">ESF's structural answer</w:t>
            </w:r>
          </w:p>
        </w:tc>
      </w:tr>
      <w:tr>
        <w:tc>
          <w:tcPr>
            <w:tcW w:w="4680" w:type="dxa"/>
          </w:tcPr>
          <w:p>
            <w:pPr>
              <w:pStyle w:val="TableText"/>
            </w:pPr>
            <w:r>
              <w:t xml:space="preserve">Everyone pays the same difficulty</w:t>
            </w:r>
          </w:p>
        </w:tc>
        <w:tc>
          <w:tcPr>
            <w:tcW w:w="4680" w:type="dxa"/>
          </w:tcPr>
          <w:p>
            <w:pPr>
              <w:pStyle w:val="TableText"/>
            </w:pPr>
            <w:r>
              <w:t xml:space="preserve">Trust-aware policy (whitepaper 7.3): known contacts, previous correspondents and authenticated senders pay </w:t>
            </w:r>
            <w:r>
              <w:rPr>
                <w:b/>
              </w:rPr>
              <w:t xml:space="preserve">zero</w:t>
            </w:r>
          </w:p>
        </w:tc>
      </w:tr>
      <w:tr>
        <w:tc>
          <w:tcPr>
            <w:tcW w:w="4680" w:type="dxa"/>
          </w:tcPr>
          <w:p>
            <w:pPr>
              <w:pStyle w:val="TableText"/>
            </w:pPr>
            <w:r>
              <w:t xml:space="preserve">A proof is a delivery permit</w:t>
            </w:r>
          </w:p>
        </w:tc>
        <w:tc>
          <w:tcPr>
            <w:tcW w:w="4680" w:type="dxa"/>
          </w:tcPr>
          <w:p>
            <w:pPr>
              <w:pStyle w:val="TableText"/>
            </w:pPr>
            <w:r>
              <w:t xml:space="preserve">A stamp is one input to existing filtering; absence is neutral (whitepaper 11)</w:t>
            </w:r>
          </w:p>
        </w:tc>
      </w:tr>
      <w:tr>
        <w:tc>
          <w:tcPr>
            <w:tcW w:w="4680" w:type="dxa"/>
          </w:tcPr>
          <w:p>
            <w:pPr>
              <w:pStyle w:val="TableText"/>
            </w:pPr>
            <w:r>
              <w:t xml:space="preserve">Compute-bound work only</w:t>
            </w:r>
          </w:p>
        </w:tc>
        <w:tc>
          <w:tcPr>
            <w:tcW w:w="4680" w:type="dxa"/>
          </w:tcPr>
          <w:p>
            <w:pPr>
              <w:pStyle w:val="TableText"/>
            </w:pPr>
            <w:r>
              <w:t xml:space="preserve">Algorithm agility: a memory-hard profile compresses the hardware spread (7.2, 7.4) — narrowing the gap, not closing it, since the paper already folded the best memory-bound figure of the day, a factor of four, into its own headroom</w:t>
            </w:r>
          </w:p>
        </w:tc>
      </w:tr>
      <w:tr>
        <w:tc>
          <w:tcPr>
            <w:tcW w:w="4680" w:type="dxa"/>
          </w:tcPr>
          <w:p>
            <w:pPr>
              <w:pStyle w:val="TableText"/>
            </w:pPr>
            <w:r>
              <w:t xml:space="preserve">Total work is the cost</w:t>
            </w:r>
          </w:p>
        </w:tc>
        <w:tc>
          <w:tcPr>
            <w:tcW w:w="4680" w:type="dxa"/>
          </w:tcPr>
          <w:p>
            <w:pPr>
              <w:pStyle w:val="TableText"/>
            </w:pPr>
            <w:r>
              <w:t xml:space="preserve">Contemporaneity (6.7a) turns a stockpiled one-off expense into a required sustained </w:t>
            </w:r>
            <w:r>
              <w:rPr>
                <w:i/>
              </w:rPr>
              <w:t xml:space="preserve">rate</w:t>
            </w:r>
          </w:p>
        </w:tc>
      </w:tr>
    </w:tbl>
    <w:p>
      <w:pPr>
        <w:pStyle w:val="Spacer"/>
      </w:pPr>
    </w:p>
    <w:p>
      <w:pPr>
        <w:pStyle w:val="BodyText"/>
      </w:pPr>
      <w:r>
        <w:t xml:space="preserve">**Whether that answer holds is an empirical question, and it is the single most important thing this roadmap has to</w:t>
      </w:r>
    </w:p>
    <w:p>
      <w:pPr>
        <w:pStyle w:val="BodyText"/>
      </w:pPr>
      <w:r>
        <w:t xml:space="preserve">settle.** It is settled in Stage 8 (independent review) and Stage 10 (pilots) — not by argument.</w:t>
      </w:r>
    </w:p>
    <w:p>
      <w:pPr>
        <w:pStyle w:val="Divider"/>
      </w:pPr>
    </w:p>
    <w:p>
      <w:pPr>
        <w:pStyle w:val="Heading1"/>
      </w:pPr>
      <w:r>
        <w:t xml:space="preserve">Stage 0 — Baseline: what actually exists</w:t>
      </w:r>
    </w:p>
    <w:p>
      <w:pPr>
        <w:pStyle w:val="BodyText"/>
      </w:pPr>
      <w:r>
        <w:t xml:space="preserve">Not a stage to plan; the measured starting point. Determined by inspecting the repository, not from the whitepaper's</w:t>
      </w:r>
    </w:p>
    <w:p>
      <w:pPr>
        <w:pStyle w:val="BodyText"/>
      </w:pPr>
      <w:r>
        <w:t xml:space="preserve">claims.</w:t>
      </w:r>
    </w:p>
    <w:tbl>
      <w:tblPr>
        <w:tblStyle w:val="TableGrid"/>
        <w:tblW w:w="5000" w:type="pct"/>
        <w:tblBorders>
          <w:top w:val="single" w:sz="4" w:space="0" w:color="D0D4DA"/>
          <w:left w:val="single" w:sz="4" w:space="0" w:color="D0D4DA"/>
          <w:bottom w:val="single" w:sz="4" w:space="0" w:color="D0D4DA"/>
          <w:right w:val="single" w:sz="4" w:space="0" w:color="D0D4DA"/>
          <w:insideH w:val="single" w:sz="4" w:space="0" w:color="D0D4DA"/>
          <w:insideV w:val="single" w:sz="4" w:space="0" w:color="D0D4DA"/>
        </w:tblBorders>
      </w:tblPr>
      <w:tblGrid>
        <w:gridCol w:w="3120"/>
        <w:gridCol w:w="3120"/>
        <w:gridCol w:w="3120"/>
      </w:tblGrid>
      <w:tr>
        <w:tc>
          <w:tcPr>
            <w:tcW w:w="3120" w:type="dxa"/>
            <w:shd w:val="clear" w:fill="F1F3F6"/>
          </w:tcPr>
          <w:p>
            <w:pPr>
              <w:pStyle w:val="TableText"/>
            </w:pPr>
            <w:r>
              <w:rPr>
                <w:b/>
              </w:rPr>
              <w:t xml:space="preserve">Component</w:t>
            </w:r>
          </w:p>
        </w:tc>
        <w:tc>
          <w:tcPr>
            <w:tcW w:w="3120" w:type="dxa"/>
            <w:shd w:val="clear" w:fill="F1F3F6"/>
          </w:tcPr>
          <w:p>
            <w:pPr>
              <w:pStyle w:val="TableText"/>
            </w:pPr>
            <w:r>
              <w:rPr>
                <w:b/>
              </w:rPr>
              <w:t xml:space="preserve">State</w:t>
            </w:r>
          </w:p>
        </w:tc>
        <w:tc>
          <w:tcPr>
            <w:tcW w:w="3120" w:type="dxa"/>
            <w:shd w:val="clear" w:fill="F1F3F6"/>
          </w:tcPr>
          <w:p>
            <w:pPr>
              <w:pStyle w:val="TableText"/>
            </w:pPr>
            <w:r>
              <w:rPr>
                <w:b/>
              </w:rPr>
              <w:t xml:space="preserve">Evidence</w:t>
            </w:r>
          </w:p>
        </w:tc>
      </w:tr>
      <w:tr>
        <w:tc>
          <w:tcPr>
            <w:tcW w:w="3120" w:type="dxa"/>
          </w:tcPr>
          <w:p>
            <w:pPr>
              <w:pStyle w:val="TableText"/>
            </w:pPr>
            <w:r>
              <w:t xml:space="preserve">Protocol core (constants, canonicalisation, tokens, parser, verifier, policy)</w:t>
            </w:r>
          </w:p>
        </w:tc>
        <w:tc>
          <w:tcPr>
            <w:tcW w:w="3120" w:type="dxa"/>
          </w:tcPr>
          <w:p>
            <w:pPr>
              <w:pStyle w:val="TableText"/>
            </w:pPr>
            <w:r>
              <w:rPr>
                <w:b/>
              </w:rPr>
              <w:t xml:space="preserve">Implemented</w:t>
            </w:r>
            <w:r>
              <w:t xml:space="preserve">, free of client APIs</w:t>
            </w:r>
          </w:p>
        </w:tc>
        <w:tc>
          <w:tcPr>
            <w:tcW w:w="3120" w:type="dxa"/>
          </w:tcPr>
          <w:p>
            <w:pPr>
              <w:pStyle w:val="TableText"/>
            </w:pPr>
            <w:r>
              <w:rPr>
                <w:rFonts w:ascii="Consolas" w:hAnsi="Consolas"/>
                <w:sz w:val="18"/>
              </w:rPr>
              <w:t xml:space="preserve">clients/thunderbird/src/protocol/</w:t>
            </w:r>
          </w:p>
        </w:tc>
      </w:tr>
      <w:tr>
        <w:tc>
          <w:tcPr>
            <w:tcW w:w="3120" w:type="dxa"/>
          </w:tcPr>
          <w:p>
            <w:pPr>
              <w:pStyle w:val="TableText"/>
            </w:pPr>
            <w:r>
              <w:t xml:space="preserve">SHA-256 work profile</w:t>
            </w:r>
          </w:p>
        </w:tc>
        <w:tc>
          <w:tcPr>
            <w:tcW w:w="3120" w:type="dxa"/>
          </w:tcPr>
          <w:p>
            <w:pPr>
              <w:pStyle w:val="TableText"/>
            </w:pPr>
            <w:r>
              <w:rPr>
                <w:b/>
              </w:rPr>
              <w:t xml:space="preserve">Implemented</w:t>
            </w:r>
            <w:r>
              <w:t xml:space="preserve">, both clients</w:t>
            </w:r>
          </w:p>
        </w:tc>
        <w:tc>
          <w:tcPr>
            <w:tcW w:w="3120" w:type="dxa"/>
          </w:tcPr>
          <w:p>
            <w:pPr>
              <w:pStyle w:val="TableText"/>
            </w:pPr>
            <w:r>
              <w:rPr>
                <w:rFonts w:ascii="Consolas" w:hAnsi="Consolas"/>
                <w:sz w:val="18"/>
              </w:rPr>
              <w:t xml:space="preserve">protocol/sha256.js</w:t>
            </w:r>
            <w:r>
              <w:t xml:space="preserve">, </w:t>
            </w:r>
            <w:r>
              <w:rPr>
                <w:rFonts w:ascii="Consolas" w:hAnsi="Consolas"/>
                <w:sz w:val="18"/>
              </w:rPr>
              <w:t xml:space="preserve">protocol/stamp.js</w:t>
            </w:r>
          </w:p>
        </w:tc>
      </w:tr>
      <w:tr>
        <w:tc>
          <w:tcPr>
            <w:tcW w:w="3120" w:type="dxa"/>
          </w:tcPr>
          <w:p>
            <w:pPr>
              <w:pStyle w:val="TableText"/>
            </w:pPr>
            <w:r>
              <w:t xml:space="preserve">Argon2id work profile</w:t>
            </w:r>
          </w:p>
        </w:tc>
        <w:tc>
          <w:tcPr>
            <w:tcW w:w="3120" w:type="dxa"/>
          </w:tcPr>
          <w:p>
            <w:pPr>
              <w:pStyle w:val="TableText"/>
            </w:pPr>
            <w:r>
              <w:rPr>
                <w:b/>
              </w:rPr>
              <w:t xml:space="preserve">Not implemented.</w:t>
            </w:r>
            <w:r>
              <w:t xml:space="preserve"> Recognised, reported </w:t>
            </w:r>
            <w:r>
              <w:rPr>
                <w:rFonts w:ascii="Consolas" w:hAnsi="Consolas"/>
                <w:sz w:val="18"/>
              </w:rPr>
              <w:t xml:space="preserve">unsupported</w:t>
            </w:r>
            <w:r>
              <w:t xml:space="preserve">, never executed</w:t>
            </w:r>
          </w:p>
        </w:tc>
        <w:tc>
          <w:tcPr>
            <w:tcW w:w="3120" w:type="dxa"/>
          </w:tcPr>
          <w:p>
            <w:pPr>
              <w:pStyle w:val="TableText"/>
            </w:pPr>
            <w:r>
              <w:rPr>
                <w:rFonts w:ascii="Consolas" w:hAnsi="Consolas"/>
                <w:sz w:val="18"/>
              </w:rPr>
              <w:t xml:space="preserve">IMPLEMENTED_ALGORITHMS</w:t>
            </w:r>
            <w:r>
              <w:t xml:space="preserve"> vs </w:t>
            </w:r>
            <w:r>
              <w:rPr>
                <w:rFonts w:ascii="Consolas" w:hAnsi="Consolas"/>
                <w:sz w:val="18"/>
              </w:rPr>
              <w:t xml:space="preserve">KNOWN_ALGORITHMS</w:t>
            </w:r>
            <w:r>
              <w:t xml:space="preserve"> in </w:t>
            </w:r>
            <w:r>
              <w:rPr>
                <w:rFonts w:ascii="Consolas" w:hAnsi="Consolas"/>
                <w:sz w:val="18"/>
              </w:rPr>
              <w:t xml:space="preserve">protocol/constants.js</w:t>
            </w:r>
          </w:p>
        </w:tc>
      </w:tr>
      <w:tr>
        <w:tc>
          <w:tcPr>
            <w:tcW w:w="3120" w:type="dxa"/>
          </w:tcPr>
          <w:p>
            <w:pPr>
              <w:pStyle w:val="TableText"/>
            </w:pPr>
            <w:r>
              <w:t xml:space="preserve">Strict verification limits (size, count, difficulty cap, bounded parsing)</w:t>
            </w:r>
          </w:p>
        </w:tc>
        <w:tc>
          <w:tcPr>
            <w:tcW w:w="3120" w:type="dxa"/>
          </w:tcPr>
          <w:p>
            <w:pPr>
              <w:pStyle w:val="TableText"/>
            </w:pPr>
            <w:r>
              <w:rPr>
                <w:b/>
              </w:rPr>
              <w:t xml:space="preserve">Implemented</w:t>
            </w:r>
          </w:p>
        </w:tc>
        <w:tc>
          <w:tcPr>
            <w:tcW w:w="3120" w:type="dxa"/>
          </w:tcPr>
          <w:p>
            <w:pPr>
              <w:pStyle w:val="TableText"/>
            </w:pPr>
            <w:r>
              <w:rPr>
                <w:rFonts w:ascii="Consolas" w:hAnsi="Consolas"/>
                <w:sz w:val="18"/>
              </w:rPr>
              <w:t xml:space="preserve">protocol/parser.js</w:t>
            </w:r>
            <w:r>
              <w:t xml:space="preserve">, </w:t>
            </w:r>
            <w:r>
              <w:rPr>
                <w:rFonts w:ascii="Consolas" w:hAnsi="Consolas"/>
                <w:sz w:val="18"/>
              </w:rPr>
              <w:t xml:space="preserve">protocol/verifier.js</w:t>
            </w:r>
          </w:p>
        </w:tc>
      </w:tr>
      <w:tr>
        <w:tc>
          <w:tcPr>
            <w:tcW w:w="3120" w:type="dxa"/>
          </w:tcPr>
          <w:p>
            <w:pPr>
              <w:pStyle w:val="TableText"/>
            </w:pPr>
            <w:r>
              <w:t xml:space="preserve">Replay ledger</w:t>
            </w:r>
          </w:p>
        </w:tc>
        <w:tc>
          <w:tcPr>
            <w:tcW w:w="3120" w:type="dxa"/>
          </w:tcPr>
          <w:p>
            <w:pPr>
              <w:pStyle w:val="TableText"/>
            </w:pPr>
            <w:r>
              <w:rPr>
                <w:b/>
              </w:rPr>
              <w:t xml:space="preserve">Implemented</w:t>
            </w:r>
            <w:r>
              <w:t xml:space="preserve">, per installation, bounded retention</w:t>
            </w:r>
          </w:p>
        </w:tc>
        <w:tc>
          <w:tcPr>
            <w:tcW w:w="3120" w:type="dxa"/>
          </w:tcPr>
          <w:p>
            <w:pPr>
              <w:pStyle w:val="TableText"/>
            </w:pPr>
            <w:r>
              <w:rPr>
                <w:rFonts w:ascii="Consolas" w:hAnsi="Consolas"/>
                <w:sz w:val="18"/>
              </w:rPr>
              <w:t xml:space="preserve">background/verificationService.js</w:t>
            </w:r>
          </w:p>
        </w:tc>
      </w:tr>
      <w:tr>
        <w:tc>
          <w:tcPr>
            <w:tcW w:w="3120" w:type="dxa"/>
          </w:tcPr>
          <w:p>
            <w:pPr>
              <w:pStyle w:val="TableText"/>
            </w:pPr>
            <w:r>
              <w:t xml:space="preserve">Contemporaneity + optional expiry</w:t>
            </w:r>
          </w:p>
        </w:tc>
        <w:tc>
          <w:tcPr>
            <w:tcW w:w="3120" w:type="dxa"/>
          </w:tcPr>
          <w:p>
            <w:pPr>
              <w:pStyle w:val="TableText"/>
            </w:pPr>
            <w:r>
              <w:rPr>
                <w:b/>
              </w:rPr>
              <w:t xml:space="preserve">Implemented</w:t>
            </w:r>
          </w:p>
        </w:tc>
        <w:tc>
          <w:tcPr>
            <w:tcW w:w="3120" w:type="dxa"/>
          </w:tcPr>
          <w:p>
            <w:pPr>
              <w:pStyle w:val="TableText"/>
            </w:pPr>
            <w:r>
              <w:rPr>
                <w:rFonts w:ascii="Consolas" w:hAnsi="Consolas"/>
                <w:sz w:val="18"/>
              </w:rPr>
              <w:t xml:space="preserve">verifier.js</w:t>
            </w:r>
            <w:r>
              <w:t xml:space="preserve">, whitepaper 6.7a</w:t>
            </w:r>
          </w:p>
        </w:tc>
      </w:tr>
      <w:tr>
        <w:tc>
          <w:tcPr>
            <w:tcW w:w="3120" w:type="dxa"/>
          </w:tcPr>
          <w:p>
            <w:pPr>
              <w:pStyle w:val="TableText"/>
            </w:pPr>
            <w:r>
              <w:t xml:space="preserve">Bcc privacy handling</w:t>
            </w:r>
          </w:p>
        </w:tc>
        <w:tc>
          <w:tcPr>
            <w:tcW w:w="3120" w:type="dxa"/>
          </w:tcPr>
          <w:p>
            <w:pPr>
              <w:pStyle w:val="TableText"/>
            </w:pPr>
            <w:r>
              <w:rPr>
                <w:b/>
              </w:rPr>
              <w:t xml:space="preserve">Implemented</w:t>
            </w:r>
            <w:r>
              <w:t xml:space="preserve">: </w:t>
            </w:r>
            <w:r>
              <w:rPr>
                <w:rFonts w:ascii="Consolas" w:hAnsi="Consolas"/>
                <w:sz w:val="18"/>
              </w:rPr>
              <w:t xml:space="preserve">omit</w:t>
            </w:r>
            <w:r>
              <w:t xml:space="preserve"> default, </w:t>
            </w:r>
            <w:r>
              <w:rPr>
                <w:rFonts w:ascii="Consolas" w:hAnsi="Consolas"/>
                <w:sz w:val="18"/>
              </w:rPr>
              <w:t xml:space="preserve">token</w:t>
            </w:r>
            <w:r>
              <w:t xml:space="preserve"> opt-in; no clear-text mailbox in any header</w:t>
            </w:r>
          </w:p>
        </w:tc>
        <w:tc>
          <w:tcPr>
            <w:tcW w:w="3120" w:type="dxa"/>
          </w:tcPr>
          <w:p>
            <w:pPr>
              <w:pStyle w:val="TableText"/>
            </w:pPr>
            <w:r>
              <w:rPr>
                <w:rFonts w:ascii="Consolas" w:hAnsi="Consolas"/>
                <w:sz w:val="18"/>
              </w:rPr>
              <w:t xml:space="preserve">background/composeSigner.js</w:t>
            </w:r>
          </w:p>
        </w:tc>
      </w:tr>
      <w:tr>
        <w:tc>
          <w:tcPr>
            <w:tcW w:w="3120" w:type="dxa"/>
          </w:tcPr>
          <w:p>
            <w:pPr>
              <w:pStyle w:val="TableText"/>
            </w:pPr>
            <w:r>
              <w:t xml:space="preserve">Thunderbird client</w:t>
            </w:r>
          </w:p>
        </w:tc>
        <w:tc>
          <w:tcPr>
            <w:tcW w:w="3120" w:type="dxa"/>
          </w:tcPr>
          <w:p>
            <w:pPr>
              <w:pStyle w:val="TableText"/>
            </w:pPr>
            <w:r>
              <w:rPr>
                <w:b/>
              </w:rPr>
              <w:t xml:space="preserve">Implemented and verified on Thunderbird 153</w:t>
            </w:r>
          </w:p>
        </w:tc>
        <w:tc>
          <w:tcPr>
            <w:tcW w:w="3120" w:type="dxa"/>
          </w:tcPr>
          <w:p>
            <w:pPr>
              <w:pStyle w:val="TableText"/>
            </w:pPr>
            <w:r>
              <w:rPr>
                <w:rFonts w:ascii="Consolas" w:hAnsi="Consolas"/>
                <w:sz w:val="18"/>
              </w:rPr>
              <w:t xml:space="preserve">clients/thunderbird/</w:t>
            </w:r>
            <w:r>
              <w:t xml:space="preserve">, 161 tests</w:t>
            </w:r>
          </w:p>
        </w:tc>
      </w:tr>
      <w:tr>
        <w:tc>
          <w:tcPr>
            <w:tcW w:w="3120" w:type="dxa"/>
          </w:tcPr>
          <w:p>
            <w:pPr>
              <w:pStyle w:val="TableText"/>
            </w:pPr>
            <w:r>
              <w:t xml:space="preserve">Outlook client</w:t>
            </w:r>
          </w:p>
        </w:tc>
        <w:tc>
          <w:tcPr>
            <w:tcW w:w="3120" w:type="dxa"/>
          </w:tcPr>
          <w:p>
            <w:pPr>
              <w:pStyle w:val="TableText"/>
            </w:pPr>
            <w:r>
              <w:rPr>
                <w:b/>
              </w:rPr>
              <w:t xml:space="preserve">Implemented</w:t>
            </w:r>
            <w:r>
              <w:t xml:space="preserve"> (Office.js, </w:t>
            </w:r>
            <w:r>
              <w:rPr>
                <w:rFonts w:ascii="Consolas" w:hAnsi="Consolas"/>
                <w:sz w:val="18"/>
              </w:rPr>
              <w:t xml:space="preserve">OnMessageSend</w:t>
            </w:r>
            <w:r>
              <w:t xml:space="preserve">, internet headers)</w:t>
            </w:r>
          </w:p>
        </w:tc>
        <w:tc>
          <w:tcPr>
            <w:tcW w:w="3120" w:type="dxa"/>
          </w:tcPr>
          <w:p>
            <w:pPr>
              <w:pStyle w:val="TableText"/>
            </w:pPr>
            <w:r>
              <w:rPr>
                <w:rFonts w:ascii="Consolas" w:hAnsi="Consolas"/>
                <w:sz w:val="18"/>
              </w:rPr>
              <w:t xml:space="preserve">clients/outlook/</w:t>
            </w:r>
            <w:r>
              <w:t xml:space="preserve">, 22 tests</w:t>
            </w:r>
          </w:p>
        </w:tc>
      </w:tr>
      <w:tr>
        <w:tc>
          <w:tcPr>
            <w:tcW w:w="3120" w:type="dxa"/>
          </w:tcPr>
          <w:p>
            <w:pPr>
              <w:pStyle w:val="TableText"/>
            </w:pPr>
            <w:r>
              <w:t xml:space="preserve">Shared test vectors</w:t>
            </w:r>
          </w:p>
        </w:tc>
        <w:tc>
          <w:tcPr>
            <w:tcW w:w="3120" w:type="dxa"/>
          </w:tcPr>
          <w:p>
            <w:pPr>
              <w:pStyle w:val="TableText"/>
            </w:pPr>
            <w:r>
              <w:rPr>
                <w:b/>
              </w:rPr>
              <w:t xml:space="preserve">Implemented</w:t>
            </w:r>
            <w:r>
              <w:t xml:space="preserve">, checked by both suites</w:t>
            </w:r>
          </w:p>
        </w:tc>
        <w:tc>
          <w:tcPr>
            <w:tcW w:w="3120" w:type="dxa"/>
          </w:tcPr>
          <w:p>
            <w:pPr>
              <w:pStyle w:val="TableText"/>
            </w:pPr>
            <w:r>
              <w:rPr>
                <w:rFonts w:ascii="Consolas" w:hAnsi="Consolas"/>
                <w:sz w:val="18"/>
              </w:rPr>
              <w:t xml:space="preserve">clients/thunderbird/test/vectors.json</w:t>
            </w:r>
          </w:p>
        </w:tc>
      </w:tr>
      <w:tr>
        <w:tc>
          <w:tcPr>
            <w:tcW w:w="3120" w:type="dxa"/>
          </w:tcPr>
          <w:p>
            <w:pPr>
              <w:pStyle w:val="TableText"/>
            </w:pPr>
            <w:r>
              <w:t xml:space="preserve">Real-world end-to-end proof</w:t>
            </w:r>
          </w:p>
        </w:tc>
        <w:tc>
          <w:tcPr>
            <w:tcW w:w="3120" w:type="dxa"/>
          </w:tcPr>
          <w:p>
            <w:pPr>
              <w:pStyle w:val="TableText"/>
            </w:pPr>
            <w:r>
              <w:rPr>
                <w:b/>
              </w:rPr>
              <w:t xml:space="preserve">Achieved once</w:t>
            </w:r>
            <w:r>
              <w:t xml:space="preserve">: a stamped message delivered through ordinary SMTP verified green on receipt</w:t>
            </w:r>
          </w:p>
        </w:tc>
        <w:tc>
          <w:tcPr>
            <w:tcW w:w="3120" w:type="dxa"/>
          </w:tcPr>
          <w:p>
            <w:pPr>
              <w:pStyle w:val="TableText"/>
            </w:pPr>
            <w:r>
              <w:rPr>
                <w:rFonts w:ascii="Consolas" w:hAnsi="Consolas"/>
                <w:sz w:val="18"/>
              </w:rPr>
              <w:t xml:space="preserve">clients/thunderbird/tools/verify-eml.mjs</w:t>
            </w:r>
          </w:p>
        </w:tc>
      </w:tr>
      <w:tr>
        <w:tc>
          <w:tcPr>
            <w:tcW w:w="3120" w:type="dxa"/>
          </w:tcPr>
          <w:p>
            <w:pPr>
              <w:pStyle w:val="TableText"/>
            </w:pPr>
            <w:r>
              <w:t xml:space="preserve">Standalone core package</w:t>
            </w:r>
          </w:p>
        </w:tc>
        <w:tc>
          <w:tcPr>
            <w:tcW w:w="3120" w:type="dxa"/>
          </w:tcPr>
          <w:p>
            <w:pPr>
              <w:pStyle w:val="TableText"/>
            </w:pPr>
            <w:r>
              <w:rPr>
                <w:b/>
              </w:rPr>
              <w:t xml:space="preserve">Not done.</w:t>
            </w:r>
            <w:r>
              <w:t xml:space="preserve"> Outlook imports the core out of the Thunderbird tree</w:t>
            </w:r>
          </w:p>
        </w:tc>
        <w:tc>
          <w:tcPr>
            <w:tcW w:w="3120" w:type="dxa"/>
          </w:tcPr>
          <w:p>
            <w:pPr>
              <w:pStyle w:val="TableText"/>
            </w:pPr>
            <w:r>
              <w:rPr>
                <w:rFonts w:ascii="Consolas" w:hAnsi="Consolas"/>
                <w:sz w:val="18"/>
              </w:rPr>
              <w:t xml:space="preserve">clients/outlook/src/esf-core.js</w:t>
            </w:r>
          </w:p>
        </w:tc>
      </w:tr>
      <w:tr>
        <w:tc>
          <w:tcPr>
            <w:tcW w:w="3120" w:type="dxa"/>
          </w:tcPr>
          <w:p>
            <w:pPr>
              <w:pStyle w:val="TableText"/>
            </w:pPr>
            <w:r>
              <w:t xml:space="preserve">Normative protocol specification</w:t>
            </w:r>
          </w:p>
        </w:tc>
        <w:tc>
          <w:tcPr>
            <w:tcW w:w="3120" w:type="dxa"/>
          </w:tcPr>
          <w:p>
            <w:pPr>
              <w:pStyle w:val="TableText"/>
            </w:pPr>
            <w:r>
              <w:rPr>
                <w:b/>
              </w:rPr>
              <w:t xml:space="preserve">Not done.</w:t>
            </w:r>
            <w:r>
              <w:t xml:space="preserve"> Whitepaper only</w:t>
            </w:r>
          </w:p>
        </w:tc>
        <w:tc>
          <w:tcPr>
            <w:tcW w:w="3120" w:type="dxa"/>
          </w:tcPr>
          <w:p>
            <w:pPr>
              <w:pStyle w:val="TableText"/>
            </w:pPr>
            <w:r>
              <w:rPr>
                <w:rFonts w:ascii="Consolas" w:hAnsi="Consolas"/>
                <w:sz w:val="18"/>
              </w:rPr>
              <w:t xml:space="preserve">docs/</w:t>
            </w:r>
          </w:p>
        </w:tc>
      </w:tr>
      <w:tr>
        <w:tc>
          <w:tcPr>
            <w:tcW w:w="3120" w:type="dxa"/>
          </w:tcPr>
          <w:p>
            <w:pPr>
              <w:pStyle w:val="TableText"/>
            </w:pPr>
            <w:r>
              <w:t xml:space="preserve">Server-side / filter verifier</w:t>
            </w:r>
          </w:p>
        </w:tc>
        <w:tc>
          <w:tcPr>
            <w:tcW w:w="3120" w:type="dxa"/>
          </w:tcPr>
          <w:p>
            <w:pPr>
              <w:pStyle w:val="TableText"/>
            </w:pPr>
            <w:r>
              <w:rPr>
                <w:b/>
              </w:rPr>
              <w:t xml:space="preserve">Not done</w:t>
            </w:r>
          </w:p>
        </w:tc>
        <w:tc>
          <w:tcPr>
            <w:tcW w:w="3120" w:type="dxa"/>
          </w:tcPr>
          <w:p>
            <w:pPr>
              <w:pStyle w:val="TableText"/>
            </w:pPr>
            <w:r>
              <w:t xml:space="preserve">—</w:t>
            </w:r>
          </w:p>
        </w:tc>
      </w:tr>
      <w:tr>
        <w:tc>
          <w:tcPr>
            <w:tcW w:w="3120" w:type="dxa"/>
          </w:tcPr>
          <w:p>
            <w:pPr>
              <w:pStyle w:val="TableText"/>
            </w:pPr>
            <w:r>
              <w:t xml:space="preserve">CI, </w:t>
            </w:r>
            <w:r>
              <w:rPr>
                <w:rFonts w:ascii="Consolas" w:hAnsi="Consolas"/>
                <w:sz w:val="18"/>
              </w:rPr>
              <w:t xml:space="preserve">CONTRIBUTING.md</w:t>
            </w:r>
            <w:r>
              <w:t xml:space="preserve">, </w:t>
            </w:r>
            <w:r>
              <w:rPr>
                <w:rFonts w:ascii="Consolas" w:hAnsi="Consolas"/>
                <w:sz w:val="18"/>
              </w:rPr>
              <w:t xml:space="preserve">SECURITY.md</w:t>
            </w:r>
            <w:r>
              <w:t xml:space="preserve">, release artefacts</w:t>
            </w:r>
          </w:p>
        </w:tc>
        <w:tc>
          <w:tcPr>
            <w:tcW w:w="3120" w:type="dxa"/>
          </w:tcPr>
          <w:p>
            <w:pPr>
              <w:pStyle w:val="TableText"/>
            </w:pPr>
            <w:r>
              <w:rPr>
                <w:b/>
              </w:rPr>
              <w:t xml:space="preserve">Not done</w:t>
            </w:r>
          </w:p>
        </w:tc>
        <w:tc>
          <w:tcPr>
            <w:tcW w:w="3120" w:type="dxa"/>
          </w:tcPr>
          <w:p>
            <w:pPr>
              <w:pStyle w:val="TableText"/>
            </w:pPr>
            <w:r>
              <w:t xml:space="preserve">repository root</w:t>
            </w:r>
          </w:p>
        </w:tc>
      </w:tr>
      <w:tr>
        <w:tc>
          <w:tcPr>
            <w:tcW w:w="3120" w:type="dxa"/>
          </w:tcPr>
          <w:p>
            <w:pPr>
              <w:pStyle w:val="TableText"/>
            </w:pPr>
            <w:r>
              <w:t xml:space="preserve">DNS policy discovery</w:t>
            </w:r>
          </w:p>
        </w:tc>
        <w:tc>
          <w:tcPr>
            <w:tcW w:w="3120" w:type="dxa"/>
          </w:tcPr>
          <w:p>
            <w:pPr>
              <w:pStyle w:val="TableText"/>
            </w:pPr>
            <w:r>
              <w:rPr>
                <w:b/>
              </w:rPr>
              <w:t xml:space="preserve">Proposed only</w:t>
            </w:r>
          </w:p>
        </w:tc>
        <w:tc>
          <w:tcPr>
            <w:tcW w:w="3120" w:type="dxa"/>
          </w:tcPr>
          <w:p>
            <w:pPr>
              <w:pStyle w:val="TableText"/>
            </w:pPr>
            <w:r>
              <w:t xml:space="preserve">whitepaper 8</w:t>
            </w:r>
          </w:p>
        </w:tc>
      </w:tr>
      <w:tr>
        <w:tc>
          <w:tcPr>
            <w:tcW w:w="3120" w:type="dxa"/>
          </w:tcPr>
          <w:p>
            <w:pPr>
              <w:pStyle w:val="TableText"/>
            </w:pPr>
            <w:r>
              <w:t xml:space="preserve">ESF-SMTP profile</w:t>
            </w:r>
          </w:p>
        </w:tc>
        <w:tc>
          <w:tcPr>
            <w:tcW w:w="3120" w:type="dxa"/>
          </w:tcPr>
          <w:p>
            <w:pPr>
              <w:pStyle w:val="TableText"/>
            </w:pPr>
            <w:r>
              <w:rPr>
                <w:b/>
              </w:rPr>
              <w:t xml:space="preserve">Proposed only</w:t>
            </w:r>
          </w:p>
        </w:tc>
        <w:tc>
          <w:tcPr>
            <w:tcW w:w="3120" w:type="dxa"/>
          </w:tcPr>
          <w:p>
            <w:pPr>
              <w:pStyle w:val="TableText"/>
            </w:pPr>
            <w:r>
              <w:t xml:space="preserve">whitepaper 9</w:t>
            </w:r>
          </w:p>
        </w:tc>
      </w:tr>
    </w:tbl>
    <w:p>
      <w:pPr>
        <w:pStyle w:val="Spacer"/>
      </w:pPr>
    </w:p>
    <w:p>
      <w:pPr>
        <w:pStyle w:val="BodyText"/>
      </w:pPr>
      <w:r>
        <w:t xml:space="preserve">**Two clients exist and share one core, which is further than most protocol proposals get. What does not yet exist is</w:t>
      </w:r>
    </w:p>
    <w:p>
      <w:pPr>
        <w:pStyle w:val="BodyText"/>
      </w:pPr>
      <w:r>
        <w:t xml:space="preserve">anything a third party can adopt without reading this project's source tree.** That gap is Stages 1–3.</w:t>
      </w:r>
    </w:p>
    <w:p>
      <w:pPr>
        <w:pStyle w:val="Divider"/>
      </w:pPr>
    </w:p>
    <w:p>
      <w:pPr>
        <w:pStyle w:val="Heading1"/>
      </w:pPr>
      <w:r>
        <w:t xml:space="preserve">The sequence</w:t>
      </w:r>
    </w:p>
    <w:p>
      <w:pPr>
        <w:pStyle w:val="Code"/>
      </w:pPr>
      <w:r>
        <w:rPr>
          <w:rFonts w:ascii="Consolas" w:hAnsi="Consolas"/>
          <w:sz w:val="18"/>
        </w:rPr>
        <w:t xml:space="preserve">Stage 0   Baseline: two clients, one core, no third-party surface   [achieved]</w:t>
      </w:r>
    </w:p>
    <w:p>
      <w:pPr>
        <w:pStyle w:val="Code"/>
      </w:pPr>
      <w:r>
        <w:rPr>
          <w:rFonts w:ascii="Consolas" w:hAnsi="Consolas"/>
          <w:sz w:val="18"/>
        </w:rPr>
        <w:t xml:space="preserve">   ↓</w:t>
      </w:r>
    </w:p>
    <w:p>
      <w:pPr>
        <w:pStyle w:val="Code"/>
      </w:pPr>
      <w:r>
        <w:rPr>
          <w:rFonts w:ascii="Consolas" w:hAnsi="Consolas"/>
          <w:sz w:val="18"/>
        </w:rPr>
        <w:t xml:space="preserve">Stage 1   Reference implementation stability</w:t>
      </w:r>
    </w:p>
    <w:p>
      <w:pPr>
        <w:pStyle w:val="Code"/>
      </w:pPr>
      <w:r>
        <w:rPr>
          <w:rFonts w:ascii="Consolas" w:hAnsi="Consolas"/>
          <w:sz w:val="18"/>
        </w:rPr>
        <w:t xml:space="preserve">   ↓</w:t>
      </w:r>
    </w:p>
    <w:p>
      <w:pPr>
        <w:pStyle w:val="Code"/>
      </w:pPr>
      <w:r>
        <w:rPr>
          <w:rFonts w:ascii="Consolas" w:hAnsi="Consolas"/>
          <w:sz w:val="18"/>
        </w:rPr>
        <w:t xml:space="preserve">Stage 2   Extract the core: one package, one specification</w:t>
      </w:r>
    </w:p>
    <w:p>
      <w:pPr>
        <w:pStyle w:val="Code"/>
      </w:pPr>
      <w:r>
        <w:rPr>
          <w:rFonts w:ascii="Consolas" w:hAnsi="Consolas"/>
          <w:sz w:val="18"/>
        </w:rPr>
        <w:t xml:space="preserve">   ↓</w:t>
      </w:r>
    </w:p>
    <w:p>
      <w:pPr>
        <w:pStyle w:val="Code"/>
      </w:pPr>
      <w:r>
        <w:rPr>
          <w:rFonts w:ascii="Consolas" w:hAnsi="Consolas"/>
          <w:sz w:val="18"/>
        </w:rPr>
        <w:t xml:space="preserve">Stage 3   Developer-adoptable package</w:t>
      </w:r>
    </w:p>
    <w:p>
      <w:pPr>
        <w:pStyle w:val="Code"/>
      </w:pPr>
      <w:r>
        <w:rPr>
          <w:rFonts w:ascii="Consolas" w:hAnsi="Consolas"/>
          <w:sz w:val="18"/>
        </w:rPr>
        <w:t xml:space="preserve">   ↓</w:t>
      </w:r>
    </w:p>
    <w:p>
      <w:pPr>
        <w:pStyle w:val="Code"/>
      </w:pPr>
      <w:r>
        <w:rPr>
          <w:rFonts w:ascii="Consolas" w:hAnsi="Consolas"/>
          <w:sz w:val="18"/>
        </w:rPr>
        <w:t xml:space="preserve">Stage 4   Client distribution through official channels</w:t>
      </w:r>
    </w:p>
    <w:p>
      <w:pPr>
        <w:pStyle w:val="Code"/>
      </w:pPr>
      <w:r>
        <w:rPr>
          <w:rFonts w:ascii="Consolas" w:hAnsi="Consolas"/>
          <w:sz w:val="18"/>
        </w:rPr>
        <w:t xml:space="preserve">   ↓</w:t>
      </w:r>
    </w:p>
    <w:p>
      <w:pPr>
        <w:pStyle w:val="Code"/>
      </w:pPr>
      <w:r>
        <w:rPr>
          <w:rFonts w:ascii="Consolas" w:hAnsi="Consolas"/>
          <w:sz w:val="18"/>
        </w:rPr>
        <w:t xml:space="preserve">Stage 5   Standalone verifier and spam-filter integration</w:t>
      </w:r>
    </w:p>
    <w:p>
      <w:pPr>
        <w:pStyle w:val="Code"/>
      </w:pPr>
      <w:r>
        <w:rPr>
          <w:rFonts w:ascii="Consolas" w:hAnsi="Consolas"/>
          <w:sz w:val="18"/>
        </w:rPr>
        <w:t xml:space="preserve">   ↓</w:t>
      </w:r>
    </w:p>
    <w:p>
      <w:pPr>
        <w:pStyle w:val="Code"/>
      </w:pPr>
      <w:r>
        <w:rPr>
          <w:rFonts w:ascii="Consolas" w:hAnsi="Consolas"/>
          <w:sz w:val="18"/>
        </w:rPr>
        <w:t xml:space="preserve">Stage 6   Outreach to those who already thought about this</w:t>
      </w:r>
    </w:p>
    <w:p>
      <w:pPr>
        <w:pStyle w:val="Code"/>
      </w:pPr>
      <w:r>
        <w:rPr>
          <w:rFonts w:ascii="Consolas" w:hAnsi="Consolas"/>
          <w:sz w:val="18"/>
        </w:rPr>
        <w:t xml:space="preserve">   ↓            ↘</w:t>
      </w:r>
    </w:p>
    <w:p>
      <w:pPr>
        <w:pStyle w:val="Code"/>
      </w:pPr>
      <w:r>
        <w:rPr>
          <w:rFonts w:ascii="Consolas" w:hAnsi="Consolas"/>
          <w:sz w:val="18"/>
        </w:rPr>
        <w:t xml:space="preserve">Stage 7   Independent implementations        Stage 8   Independent security review</w:t>
      </w:r>
    </w:p>
    <w:p>
      <w:pPr>
        <w:pStyle w:val="Code"/>
      </w:pPr>
      <w:r>
        <w:rPr>
          <w:rFonts w:ascii="Consolas" w:hAnsi="Consolas"/>
          <w:sz w:val="18"/>
        </w:rPr>
        <w:t xml:space="preserve">   ↓            ↙</w:t>
      </w:r>
    </w:p>
    <w:p>
      <w:pPr>
        <w:pStyle w:val="Code"/>
      </w:pPr>
      <w:r>
        <w:rPr>
          <w:rFonts w:ascii="Consolas" w:hAnsi="Consolas"/>
          <w:sz w:val="18"/>
        </w:rPr>
        <w:t xml:space="preserve">Stage 9   Mail operator engagement</w:t>
      </w:r>
    </w:p>
    <w:p>
      <w:pPr>
        <w:pStyle w:val="Code"/>
      </w:pPr>
      <w:r>
        <w:rPr>
          <w:rFonts w:ascii="Consolas" w:hAnsi="Consolas"/>
          <w:sz w:val="18"/>
        </w:rPr>
        <w:t xml:space="preserve">   ↓</w:t>
      </w:r>
    </w:p>
    <w:p>
      <w:pPr>
        <w:pStyle w:val="Code"/>
      </w:pPr>
      <w:r>
        <w:rPr>
          <w:rFonts w:ascii="Consolas" w:hAnsi="Consolas"/>
          <w:sz w:val="18"/>
        </w:rPr>
        <w:t xml:space="preserve">Stage 10  Real-world pilots: observe → verify → measure</w:t>
      </w:r>
    </w:p>
    <w:p>
      <w:pPr>
        <w:pStyle w:val="Code"/>
      </w:pPr>
      <w:r>
        <w:rPr>
          <w:rFonts w:ascii="Consolas" w:hAnsi="Consolas"/>
          <w:sz w:val="18"/>
        </w:rPr>
        <w:t xml:space="preserve">   ↓</w:t>
      </w:r>
    </w:p>
    <w:p>
      <w:pPr>
        <w:pStyle w:val="Code"/>
      </w:pPr>
      <w:r>
        <w:rPr>
          <w:rFonts w:ascii="Consolas" w:hAnsi="Consolas"/>
          <w:sz w:val="18"/>
        </w:rPr>
        <w:t xml:space="preserve">Stage 11  Normative specification and Internet-Draft</w:t>
      </w:r>
    </w:p>
    <w:p>
      <w:pPr>
        <w:pStyle w:val="Code"/>
      </w:pPr>
      <w:r>
        <w:rPr>
          <w:rFonts w:ascii="Consolas" w:hAnsi="Consolas"/>
          <w:sz w:val="18"/>
        </w:rPr>
        <w:t xml:space="preserve">   ↓</w:t>
      </w:r>
    </w:p>
    <w:p>
      <w:pPr>
        <w:pStyle w:val="Code"/>
      </w:pPr>
      <w:r>
        <w:rPr>
          <w:rFonts w:ascii="Consolas" w:hAnsi="Consolas"/>
          <w:sz w:val="18"/>
        </w:rPr>
        <w:t xml:space="preserve">Stage 12  Registration, provider adoption, ESF-SMTP</w:t>
      </w:r>
    </w:p>
    <w:p>
      <w:pPr>
        <w:pStyle w:val="BodyText"/>
      </w:pPr>
      <w:r>
        <w:t xml:space="preserve">Stages 7 and 8 are deliberately parallel: an independent implementation is itself a form of review, and a security</w:t>
      </w:r>
    </w:p>
    <w:p>
      <w:pPr>
        <w:pStyle w:val="BodyText"/>
      </w:pPr>
      <w:r>
        <w:t xml:space="preserve">review of a single implementation cannot distinguish a protocol flaw from a coding mistake. Everything after Stage 9</w:t>
      </w:r>
    </w:p>
    <w:p>
      <w:pPr>
        <w:pStyle w:val="BodyText"/>
      </w:pPr>
      <w:r>
        <w:t xml:space="preserve">depends on both.</w:t>
      </w:r>
    </w:p>
    <w:p>
      <w:pPr>
        <w:pStyle w:val="Divider"/>
      </w:pPr>
    </w:p>
    <w:p>
      <w:pPr>
        <w:pStyle w:val="Heading1"/>
      </w:pPr>
      <w:r>
        <w:t xml:space="preserve">Stage 1 — Reference implementation stability</w:t>
      </w:r>
    </w:p>
    <w:p>
      <w:pPr>
        <w:pStyle w:val="BodyText"/>
      </w:pPr>
      <w:r>
        <w:rPr>
          <w:b/>
        </w:rPr>
        <w:t xml:space="preserve">Prerequisite:</w:t>
      </w:r>
      <w:r>
        <w:t xml:space="preserve"> Stage 0.</w:t>
      </w:r>
    </w:p>
    <w:p>
      <w:pPr>
        <w:pStyle w:val="BodyText"/>
      </w:pPr>
      <w:r>
        <w:rPr>
          <w:b/>
        </w:rPr>
        <w:t xml:space="preserve">Purpose:</w:t>
      </w:r>
      <w:r>
        <w:t xml:space="preserve"> make the reference behaviour something a second implementer can trust as </w:t>
      </w:r>
      <w:r>
        <w:rPr>
          <w:i/>
        </w:rPr>
        <w:t xml:space="preserve">the</w:t>
      </w:r>
      <w:r>
        <w:t xml:space="preserve"> behaviour, rather than</w:t>
      </w:r>
    </w:p>
    <w:p>
      <w:pPr>
        <w:pStyle w:val="BodyText"/>
      </w:pPr>
      <w:r>
        <w:t xml:space="preserve">one project's current state.</w:t>
      </w:r>
    </w:p>
    <w:p>
      <w:pPr>
        <w:pStyle w:val="BodyText"/>
      </w:pPr>
      <w:r>
        <w:t xml:space="preserve">Work:</w:t>
      </w:r>
    </w:p>
    <w:p>
      <w:pPr>
        <w:pStyle w:val="ListBullet"/>
      </w:pPr>
      <w:r>
        <w:t xml:space="preserve">• </w:t>
      </w:r>
      <w:r>
        <w:rPr>
          <w:b/>
        </w:rPr>
        <w:t xml:space="preserve">Close the argon2id gap.</w:t>
      </w:r>
      <w:r>
        <w:t xml:space="preserve"> The whitepaper defines ESF v1 as a two-profile family, and no client implements the</w:t>
      </w:r>
    </w:p>
    <w:p>
      <w:pPr>
        <w:pStyle w:val="BodyText"/>
      </w:pPr>
      <w:r>
        <w:t xml:space="preserve">memory-hard profile — which is precisely the profile the cost model says the mechanism needs. Until it exists,</w:t>
      </w:r>
    </w:p>
    <w:p>
      <w:pPr>
        <w:pStyle w:val="BodyText"/>
      </w:pPr>
      <w:r>
        <w:t xml:space="preserve">"algorithm agile" is a claim, not a demonstrated property.</w:t>
      </w:r>
    </w:p>
    <w:p>
      <w:pPr>
        <w:pStyle w:val="ListBullet"/>
      </w:pPr>
      <w:r>
        <w:t xml:space="preserve">• </w:t>
      </w:r>
      <w:r>
        <w:rPr>
          <w:b/>
        </w:rPr>
        <w:t xml:space="preserve">Publish a benchmark harness</w:t>
      </w:r>
      <w:r>
        <w:t xml:space="preserve">, not benchmark prose: a runnable measurement of hash rate, generation latency and</w:t>
      </w:r>
    </w:p>
    <w:p>
      <w:pPr>
        <w:pStyle w:val="BodyText"/>
      </w:pPr>
      <w:r>
        <w:t xml:space="preserve">verification latency per profile and per machine class. Whitepaper 7.4 currently carries estimates that it itself</w:t>
      </w:r>
    </w:p>
    <w:p>
      <w:pPr>
        <w:pStyle w:val="BodyText"/>
      </w:pPr>
      <w:r>
        <w:t xml:space="preserve">marks as requiring replacement.</w:t>
      </w:r>
    </w:p>
    <w:p>
      <w:pPr>
        <w:pStyle w:val="ListBullet"/>
      </w:pPr>
      <w:r>
        <w:t xml:space="preserve">• </w:t>
      </w:r>
      <w:r>
        <w:rPr>
          <w:b/>
        </w:rPr>
        <w:t xml:space="preserve">Adversarial input suite.</w:t>
      </w:r>
      <w:r>
        <w:t xml:space="preserve"> The parser is bounded by construction; that needs demonstrating with a fuzzer over</w:t>
      </w:r>
    </w:p>
    <w:p>
      <w:pPr>
        <w:pStyle w:val="BodyText"/>
      </w:pPr>
      <w:r>
        <w:t xml:space="preserve">header values, not only with hand-written malformed cases.</w:t>
      </w:r>
    </w:p>
    <w:p>
      <w:pPr>
        <w:pStyle w:val="ListBullet"/>
      </w:pPr>
      <w:r>
        <w:t xml:space="preserve">• </w:t>
      </w:r>
      <w:r>
        <w:rPr>
          <w:b/>
        </w:rPr>
        <w:t xml:space="preserve">Continuous integration</w:t>
      </w:r>
      <w:r>
        <w:t xml:space="preserve"> running both client suites and the vector check on every change.</w:t>
      </w:r>
    </w:p>
    <w:p>
      <w:pPr>
        <w:pStyle w:val="ListBullet"/>
      </w:pPr>
      <w:r>
        <w:t xml:space="preserve">• </w:t>
      </w:r>
      <w:r>
        <w:rPr>
          <w:b/>
        </w:rPr>
        <w:t xml:space="preserve">Cross-client interoperability as an automated test</w:t>
      </w:r>
      <w:r>
        <w:t xml:space="preserve">, not a manual claim.</w:t>
      </w:r>
    </w:p>
    <w:p>
      <w:pPr>
        <w:pStyle w:val="BodyText"/>
      </w:pPr>
      <w:r>
        <w:t xml:space="preserve">Exit criteria:</w:t>
      </w:r>
    </w:p>
    <w:p>
      <w:pPr>
        <w:pStyle w:val="Code"/>
      </w:pPr>
      <w:r>
        <w:rPr>
          <w:rFonts w:ascii="Consolas" w:hAnsi="Consolas"/>
          <w:sz w:val="18"/>
        </w:rPr>
        <w:t xml:space="preserve">A stamp generated by Thunderbird verifies in Outlook</w:t>
      </w:r>
    </w:p>
    <w:p>
      <w:pPr>
        <w:pStyle w:val="Code"/>
      </w:pPr>
      <w:r>
        <w:rPr>
          <w:rFonts w:ascii="Consolas" w:hAnsi="Consolas"/>
          <w:sz w:val="18"/>
        </w:rPr>
        <w:t xml:space="preserve">AND a stamp generated by Outlook verifies in Thunderbird</w:t>
      </w:r>
    </w:p>
    <w:p>
      <w:pPr>
        <w:pStyle w:val="Code"/>
      </w:pPr>
      <w:r>
        <w:rPr>
          <w:rFonts w:ascii="Consolas" w:hAnsi="Consolas"/>
          <w:sz w:val="18"/>
        </w:rPr>
        <w:t xml:space="preserve">AND both agree on every state: strong / weak / missing / invalid / unsupported</w:t>
      </w:r>
    </w:p>
    <w:p>
      <w:pPr>
        <w:pStyle w:val="Code"/>
      </w:pPr>
      <w:r>
        <w:rPr>
          <w:rFonts w:ascii="Consolas" w:hAnsi="Consolas"/>
          <w:sz w:val="18"/>
        </w:rPr>
        <w:t xml:space="preserve">AND both refuse the same malformed, replayed, stockpiled and over-declared inputs</w:t>
      </w:r>
    </w:p>
    <w:p>
      <w:pPr>
        <w:pStyle w:val="Code"/>
      </w:pPr>
      <w:r>
        <w:rPr>
          <w:rFonts w:ascii="Consolas" w:hAnsi="Consolas"/>
          <w:sz w:val="18"/>
        </w:rPr>
        <w:t xml:space="preserve">AND every published difficulty figure is reproducible by a documented benchmark run</w:t>
      </w:r>
    </w:p>
    <w:p>
      <w:pPr>
        <w:pStyle w:val="Code"/>
      </w:pPr>
      <w:r>
        <w:rPr>
          <w:rFonts w:ascii="Consolas" w:hAnsi="Consolas"/>
          <w:sz w:val="18"/>
        </w:rPr>
        <w:t xml:space="preserve">AND CI enforces all of the above</w:t>
      </w:r>
    </w:p>
    <w:p>
      <w:pPr>
        <w:pStyle w:val="BodyText"/>
      </w:pPr>
      <w:r>
        <w:rPr>
          <w:b/>
        </w:rPr>
        <w:t xml:space="preserve">Falsification signal:</w:t>
      </w:r>
      <w:r>
        <w:t xml:space="preserve"> if the two clients disagree on any vector, the vectors are not yet a specification.</w:t>
      </w:r>
    </w:p>
    <w:p>
      <w:pPr>
        <w:pStyle w:val="Divider"/>
      </w:pPr>
    </w:p>
    <w:p>
      <w:pPr>
        <w:pStyle w:val="Heading1"/>
      </w:pPr>
      <w:r>
        <w:t xml:space="preserve">Stage 2 — Extract the core: one package, one specification</w:t>
      </w:r>
    </w:p>
    <w:p>
      <w:pPr>
        <w:pStyle w:val="BodyText"/>
      </w:pPr>
      <w:r>
        <w:rPr>
          <w:b/>
        </w:rPr>
        <w:t xml:space="preserve">Prerequisite:</w:t>
      </w:r>
      <w:r>
        <w:t xml:space="preserve"> Stage 1.</w:t>
      </w:r>
    </w:p>
    <w:p>
      <w:pPr>
        <w:pStyle w:val="BodyText"/>
      </w:pPr>
      <w:r>
        <w:t xml:space="preserve">Today the Outlook client imports the protocol out of </w:t>
      </w:r>
      <w:r>
        <w:rPr>
          <w:rFonts w:ascii="Consolas" w:hAnsi="Consolas"/>
          <w:sz w:val="18"/>
        </w:rPr>
        <w:t xml:space="preserve">clients/thunderbird/src/protocol/</w:t>
      </w:r>
      <w:r>
        <w:t xml:space="preserve">. The code comments already</w:t>
      </w:r>
    </w:p>
    <w:p>
      <w:pPr>
        <w:pStyle w:val="BodyText"/>
      </w:pPr>
      <w:r>
        <w:t xml:space="preserve">anticipate the move (</w:t>
      </w:r>
      <w:r>
        <w:rPr>
          <w:rFonts w:ascii="Consolas" w:hAnsi="Consolas"/>
          <w:sz w:val="18"/>
        </w:rPr>
        <w:t xml:space="preserve">clients/outlook/src/esf-core.js</w:t>
      </w:r>
      <w:r>
        <w:t xml:space="preserve">). This matters beyond tidiness: **no external implementer will</w:t>
      </w:r>
    </w:p>
    <w:p>
      <w:pPr>
        <w:pStyle w:val="BodyText"/>
      </w:pPr>
      <w:r>
        <w:t xml:space="preserve">take a dependency on another client's source directory**, and the layout currently implies Thunderbird is</w:t>
      </w:r>
    </w:p>
    <w:p>
      <w:pPr>
        <w:pStyle w:val="BodyText"/>
      </w:pPr>
      <w:r>
        <w:t xml:space="preserve">privileged, which contradicts vendor neutrality.</w:t>
      </w:r>
    </w:p>
    <w:p>
      <w:pPr>
        <w:pStyle w:val="BodyText"/>
      </w:pPr>
      <w:r>
        <w:t xml:space="preserve">Work:</w:t>
      </w:r>
    </w:p>
    <w:p>
      <w:pPr>
        <w:pStyle w:val="ListBullet"/>
      </w:pPr>
      <w:r>
        <w:t xml:space="preserve">• Move the core to </w:t>
      </w:r>
      <w:r>
        <w:rPr>
          <w:rFonts w:ascii="Consolas" w:hAnsi="Consolas"/>
          <w:sz w:val="18"/>
        </w:rPr>
        <w:t xml:space="preserve">packages/esf-core</w:t>
      </w:r>
      <w:r>
        <w:t xml:space="preserve"> with its own tests, version and changelog; both clients consume it.</w:t>
      </w:r>
    </w:p>
    <w:p>
      <w:pPr>
        <w:pStyle w:val="ListBullet"/>
      </w:pPr>
      <w:r>
        <w:t xml:space="preserve">• Extract the wire format into a </w:t>
      </w:r>
      <w:r>
        <w:rPr>
          <w:b/>
        </w:rPr>
        <w:t xml:space="preserve">standalone specification document</w:t>
      </w:r>
      <w:r>
        <w:t xml:space="preserve">, separate from the whitepaper: field grammar,</w:t>
      </w:r>
    </w:p>
    <w:p>
      <w:pPr>
        <w:pStyle w:val="BodyText"/>
      </w:pPr>
      <w:r>
        <w:t xml:space="preserve">canonicalisation, token derivation, canonical work input, verification order, bounds, state machine. Normative</w:t>
      </w:r>
    </w:p>
    <w:p>
      <w:pPr>
        <w:pStyle w:val="BodyText"/>
      </w:pPr>
      <w:r>
        <w:t xml:space="preserve">language, no rationale, no marketing.</w:t>
      </w:r>
    </w:p>
    <w:p>
      <w:pPr>
        <w:pStyle w:val="ListBullet"/>
      </w:pPr>
      <w:r>
        <w:t xml:space="preserve">• Promote the test vectors to a </w:t>
      </w:r>
      <w:r>
        <w:rPr>
          <w:b/>
        </w:rPr>
        <w:t xml:space="preserve">versioned artefact</w:t>
      </w:r>
      <w:r>
        <w:t xml:space="preserve"> with a stable schema, published independently of any client.</w:t>
      </w:r>
    </w:p>
    <w:p>
      <w:pPr>
        <w:pStyle w:val="ListBullet"/>
      </w:pPr>
      <w:r>
        <w:t xml:space="preserve">• State the protocol's stability policy: what may change in v1, what requires v2.</w:t>
      </w:r>
    </w:p>
    <w:p>
      <w:pPr>
        <w:pStyle w:val="BodyText"/>
      </w:pPr>
      <w:r>
        <w:t xml:space="preserve">Exit criteria:</w:t>
      </w:r>
    </w:p>
    <w:p>
      <w:pPr>
        <w:pStyle w:val="Code"/>
      </w:pPr>
      <w:r>
        <w:rPr>
          <w:rFonts w:ascii="Consolas" w:hAnsi="Consolas"/>
          <w:sz w:val="18"/>
        </w:rPr>
        <w:t xml:space="preserve">The core has no import from any client directory</w:t>
      </w:r>
    </w:p>
    <w:p>
      <w:pPr>
        <w:pStyle w:val="Code"/>
      </w:pPr>
      <w:r>
        <w:rPr>
          <w:rFonts w:ascii="Consolas" w:hAnsi="Consolas"/>
          <w:sz w:val="18"/>
        </w:rPr>
        <w:t xml:space="preserve">AND both clients depend on the same released core version</w:t>
      </w:r>
    </w:p>
    <w:p>
      <w:pPr>
        <w:pStyle w:val="Code"/>
      </w:pPr>
      <w:r>
        <w:rPr>
          <w:rFonts w:ascii="Consolas" w:hAnsi="Consolas"/>
          <w:sz w:val="18"/>
        </w:rPr>
        <w:t xml:space="preserve">AND the specification document is sufficient to implement a verifier</w:t>
      </w:r>
    </w:p>
    <w:p>
      <w:pPr>
        <w:pStyle w:val="Code"/>
      </w:pPr>
      <w:r>
        <w:rPr>
          <w:rFonts w:ascii="Consolas" w:hAnsi="Consolas"/>
          <w:sz w:val="18"/>
        </w:rPr>
        <w:t xml:space="preserve">AND the vectors are consumable without cloning the repository</w:t>
      </w:r>
    </w:p>
    <w:p>
      <w:pPr>
        <w:pStyle w:val="Divider"/>
      </w:pPr>
    </w:p>
    <w:p>
      <w:pPr>
        <w:pStyle w:val="Heading1"/>
      </w:pPr>
      <w:r>
        <w:t xml:space="preserve">Stage 3 — Developer-adoptable package</w:t>
      </w:r>
    </w:p>
    <w:p>
      <w:pPr>
        <w:pStyle w:val="BodyText"/>
      </w:pPr>
      <w:r>
        <w:rPr>
          <w:b/>
        </w:rPr>
        <w:t xml:space="preserve">Prerequisite:</w:t>
      </w:r>
      <w:r>
        <w:t xml:space="preserve"> Stage 2.</w:t>
      </w:r>
    </w:p>
    <w:p>
      <w:pPr>
        <w:pStyle w:val="BodyText"/>
      </w:pPr>
      <w:r>
        <w:rPr>
          <w:b/>
        </w:rPr>
        <w:t xml:space="preserve">Test of this stage:</w:t>
      </w:r>
      <w:r>
        <w:t xml:space="preserve"> a competent developer implements a working ESF </w:t>
      </w:r>
      <w:r>
        <w:rPr>
          <w:i/>
        </w:rPr>
        <w:t xml:space="preserve">verifier</w:t>
      </w:r>
      <w:r>
        <w:t xml:space="preserve"> in a language of their choice</w:t>
      </w:r>
    </w:p>
    <w:p>
      <w:pPr>
        <w:pStyle w:val="BodyText"/>
      </w:pPr>
      <w:r>
        <w:t xml:space="preserve">without reading the whitepaper and without asking the project a question.</w:t>
      </w:r>
    </w:p>
    <w:p>
      <w:pPr>
        <w:pStyle w:val="BodyText"/>
      </w:pPr>
      <w:r>
        <w:t xml:space="preserve">Work:</w:t>
      </w:r>
    </w:p>
    <w:p>
      <w:pPr>
        <w:pStyle w:val="ListBullet"/>
      </w:pPr>
      <w:r>
        <w:t xml:space="preserve">• Implementation guide, in the order a verifier is actually built: parse → bound → recompute tokens → one work</w:t>
      </w:r>
    </w:p>
    <w:p>
      <w:pPr>
        <w:pStyle w:val="BodyText"/>
      </w:pPr>
      <w:r>
        <w:t xml:space="preserve">operation → replay → state → signal.</w:t>
      </w:r>
    </w:p>
    <w:p>
      <w:pPr>
        <w:pStyle w:val="ListBullet"/>
      </w:pPr>
      <w:r>
        <w:t xml:space="preserve">• API documentation for the core, and a worked example per direction (mint, verify).</w:t>
      </w:r>
    </w:p>
    <w:p>
      <w:pPr>
        <w:pStyle w:val="ListBullet"/>
      </w:pPr>
      <w:r>
        <w:t xml:space="preserve">• </w:t>
      </w:r>
      <w:r>
        <w:rPr>
          <w:rFonts w:ascii="Consolas" w:hAnsi="Consolas"/>
          <w:sz w:val="18"/>
        </w:rPr>
        <w:t xml:space="preserve">CONTRIBUTING.md</w:t>
      </w:r>
      <w:r>
        <w:t xml:space="preserve">, </w:t>
      </w:r>
      <w:r>
        <w:rPr>
          <w:rFonts w:ascii="Consolas" w:hAnsi="Consolas"/>
          <w:sz w:val="18"/>
        </w:rPr>
        <w:t xml:space="preserve">SECURITY.md</w:t>
      </w:r>
      <w:r>
        <w:t xml:space="preserve"> (including how to report a protocol flaw, not only a code flaw),</w:t>
      </w:r>
    </w:p>
    <w:p>
      <w:pPr>
        <w:pStyle w:val="BodyText"/>
      </w:pPr>
      <w:r>
        <w:rPr>
          <w:rFonts w:ascii="Consolas" w:hAnsi="Consolas"/>
          <w:sz w:val="18"/>
        </w:rPr>
        <w:t xml:space="preserve">CODE_OF_CONDUCT.md</w:t>
      </w:r>
      <w:r>
        <w:t xml:space="preserve">, </w:t>
      </w:r>
      <w:r>
        <w:rPr>
          <w:rFonts w:ascii="Consolas" w:hAnsi="Consolas"/>
          <w:sz w:val="18"/>
        </w:rPr>
        <w:t xml:space="preserve">CHANGELOG.md</w:t>
      </w:r>
      <w:r>
        <w:t xml:space="preserve"> — none exist today.</w:t>
      </w:r>
    </w:p>
    <w:p>
      <w:pPr>
        <w:pStyle w:val="ListBullet"/>
      </w:pPr>
      <w:r>
        <w:t xml:space="preserve">• Compatibility matrix: which client, which profile, which platform, which requirement set.</w:t>
      </w:r>
    </w:p>
    <w:p>
      <w:pPr>
        <w:pStyle w:val="ListBullet"/>
      </w:pPr>
      <w:r>
        <w:t xml:space="preserve">• Profile registry document: how a work profile is added, deprecated and retired without changing the base format.</w:t>
      </w:r>
    </w:p>
    <w:p>
      <w:pPr>
        <w:pStyle w:val="BodyText"/>
      </w:pPr>
      <w:r>
        <w:t xml:space="preserve">Exit criteria:</w:t>
      </w:r>
    </w:p>
    <w:p>
      <w:pPr>
        <w:pStyle w:val="Code"/>
      </w:pPr>
      <w:r>
        <w:rPr>
          <w:rFonts w:ascii="Consolas" w:hAnsi="Consolas"/>
          <w:sz w:val="18"/>
        </w:rPr>
        <w:t xml:space="preserve">An external developer produces a verifier that passes the published vectors</w:t>
      </w:r>
    </w:p>
    <w:p>
      <w:pPr>
        <w:pStyle w:val="Code"/>
      </w:pPr>
      <w:r>
        <w:rPr>
          <w:rFonts w:ascii="Consolas" w:hAnsi="Consolas"/>
          <w:sz w:val="18"/>
        </w:rPr>
        <w:t xml:space="preserve">without contacting the project</w:t>
      </w:r>
    </w:p>
    <w:p>
      <w:pPr>
        <w:pStyle w:val="Divider"/>
      </w:pPr>
    </w:p>
    <w:p>
      <w:pPr>
        <w:pStyle w:val="Heading1"/>
      </w:pPr>
      <w:r>
        <w:t xml:space="preserve">Stage 4 — Client distribution through official channels</w:t>
      </w:r>
    </w:p>
    <w:p>
      <w:pPr>
        <w:pStyle w:val="BodyText"/>
      </w:pPr>
      <w:r>
        <w:rPr>
          <w:b/>
        </w:rPr>
        <w:t xml:space="preserve">Prerequisite:</w:t>
      </w:r>
      <w:r>
        <w:t xml:space="preserve"> Stage 3 (so that people who find the add-on can find the protocol too).</w:t>
      </w:r>
    </w:p>
    <w:p>
      <w:pPr>
        <w:pStyle w:val="BodyText"/>
      </w:pPr>
      <w:r>
        <w:t xml:space="preserve">Work:</w:t>
      </w:r>
    </w:p>
    <w:p>
      <w:pPr>
        <w:pStyle w:val="ListBullet"/>
      </w:pPr>
      <w:r>
        <w:t xml:space="preserve">• Thunderbird add-on submitted to the official add-on site, through its review process.</w:t>
      </w:r>
    </w:p>
    <w:p>
      <w:pPr>
        <w:pStyle w:val="ListBullet"/>
      </w:pPr>
      <w:r>
        <w:t xml:space="preserve">• Outlook add-in packaged for organisational deployment; the automatic send hook requires admin deployment, which is</w:t>
      </w:r>
    </w:p>
    <w:p>
      <w:pPr>
        <w:pStyle w:val="BodyText"/>
      </w:pPr>
      <w:r>
        <w:t xml:space="preserve">a documentation problem as much as a packaging one.</w:t>
      </w:r>
    </w:p>
    <w:p>
      <w:pPr>
        <w:pStyle w:val="ListBullet"/>
      </w:pPr>
      <w:r>
        <w:t xml:space="preserve">• Signed GitHub releases carrying the client artefacts, the core package and the vector set.</w:t>
      </w:r>
    </w:p>
    <w:p>
      <w:pPr>
        <w:pStyle w:val="ListBullet"/>
      </w:pPr>
      <w:r>
        <w:t xml:space="preserve">• Installation documentation and a short demonstration showing the traffic light on real, delivered mail.</w:t>
      </w:r>
    </w:p>
    <w:p>
      <w:pPr>
        <w:pStyle w:val="BodyText"/>
      </w:pPr>
      <w:r>
        <w:t xml:space="preserve">Exit criteria:</w:t>
      </w:r>
    </w:p>
    <w:p>
      <w:pPr>
        <w:pStyle w:val="Code"/>
      </w:pPr>
      <w:r>
        <w:rPr>
          <w:rFonts w:ascii="Consolas" w:hAnsi="Consolas"/>
          <w:sz w:val="18"/>
        </w:rPr>
        <w:t xml:space="preserve">Both clients installable by a non-developer from an official channel</w:t>
      </w:r>
    </w:p>
    <w:p>
      <w:pPr>
        <w:pStyle w:val="Code"/>
      </w:pPr>
      <w:r>
        <w:rPr>
          <w:rFonts w:ascii="Consolas" w:hAnsi="Consolas"/>
          <w:sz w:val="18"/>
        </w:rPr>
        <w:t xml:space="preserve">AND a stamped message crosses at least one independent mail provider</w:t>
      </w:r>
    </w:p>
    <w:p>
      <w:pPr>
        <w:pStyle w:val="Code"/>
      </w:pPr>
      <w:r>
        <w:rPr>
          <w:rFonts w:ascii="Consolas" w:hAnsi="Consolas"/>
          <w:sz w:val="18"/>
        </w:rPr>
        <w:t xml:space="preserve">    and verifies at the far end</w:t>
      </w:r>
    </w:p>
    <w:p>
      <w:pPr>
        <w:pStyle w:val="BodyText"/>
      </w:pPr>
      <w:r>
        <w:rPr>
          <w:b/>
        </w:rPr>
        <w:t xml:space="preserve">Explicitly not a success metric:</w:t>
      </w:r>
      <w:r>
        <w:t xml:space="preserve"> download counts. The metric of this stage is </w:t>
      </w:r>
      <w:r>
        <w:rPr>
          <w:i/>
        </w:rPr>
        <w:t xml:space="preserve">transport survival</w:t>
      </w:r>
      <w:r>
        <w:t xml:space="preserve"> — stamps</w:t>
      </w:r>
    </w:p>
    <w:p>
      <w:pPr>
        <w:pStyle w:val="BodyText"/>
      </w:pPr>
      <w:r>
        <w:t xml:space="preserve">arriving intact through infrastructure nobody involved controls, including header folding, gateways and forwarders.</w:t>
      </w:r>
    </w:p>
    <w:p>
      <w:pPr>
        <w:pStyle w:val="Divider"/>
      </w:pPr>
    </w:p>
    <w:p>
      <w:pPr>
        <w:pStyle w:val="Heading1"/>
      </w:pPr>
      <w:r>
        <w:t xml:space="preserve">Stage 5 — Standalone verifier and spam-filter integration</w:t>
      </w:r>
    </w:p>
    <w:p>
      <w:pPr>
        <w:pStyle w:val="BodyText"/>
      </w:pPr>
      <w:r>
        <w:rPr>
          <w:b/>
        </w:rPr>
        <w:t xml:space="preserve">Prerequisite:</w:t>
      </w:r>
      <w:r>
        <w:t xml:space="preserve"> Stages 2 and 4. This is the highest-leverage adoption stage, because it is the side of the deadlock</w:t>
      </w:r>
    </w:p>
    <w:p>
      <w:pPr>
        <w:pStyle w:val="BodyText"/>
      </w:pPr>
      <w:r>
        <w:t xml:space="preserve">that can move alone: a filter can verify stamps usefully before any local user sends one.</w:t>
      </w:r>
    </w:p>
    <w:p>
      <w:pPr>
        <w:pStyle w:val="BodyText"/>
      </w:pPr>
      <w:r>
        <w:t xml:space="preserve">Work:</w:t>
      </w:r>
    </w:p>
    <w:p>
      <w:pPr>
        <w:pStyle w:val="ListBullet"/>
      </w:pPr>
      <w:r>
        <w:t xml:space="preserve">• A standalone verifier usable from a mail pipeline, returning machine-readable states and nothing else:</w:t>
      </w:r>
    </w:p>
    <w:p>
      <w:pPr>
        <w:pStyle w:val="Code"/>
      </w:pPr>
      <w:r>
        <w:rPr>
          <w:rFonts w:ascii="Consolas" w:hAnsi="Consolas"/>
          <w:sz w:val="18"/>
        </w:rPr>
        <w:t xml:space="preserve">ESF_STRONG    a stamp satisfies local policy</w:t>
      </w:r>
    </w:p>
    <w:p>
      <w:pPr>
        <w:pStyle w:val="Code"/>
      </w:pPr>
      <w:r>
        <w:rPr>
          <w:rFonts w:ascii="Consolas" w:hAnsi="Consolas"/>
          <w:sz w:val="18"/>
        </w:rPr>
        <w:t xml:space="preserve">ESF_WEAK      real work, below policy, or an unimplemented registered profile</w:t>
      </w:r>
    </w:p>
    <w:p>
      <w:pPr>
        <w:pStyle w:val="Code"/>
      </w:pPr>
      <w:r>
        <w:rPr>
          <w:rFonts w:ascii="Consolas" w:hAnsi="Consolas"/>
          <w:sz w:val="18"/>
        </w:rPr>
        <w:t xml:space="preserve">ESF_NONE      no stamp present</w:t>
      </w:r>
    </w:p>
    <w:p>
      <w:pPr>
        <w:pStyle w:val="Code"/>
      </w:pPr>
      <w:r>
        <w:rPr>
          <w:rFonts w:ascii="Consolas" w:hAnsi="Consolas"/>
          <w:sz w:val="18"/>
        </w:rPr>
        <w:t xml:space="preserve">ESF_INVALID   malformed, insufficient, wrong recipient, stockpiled, replayed</w:t>
      </w:r>
    </w:p>
    <w:p>
      <w:pPr>
        <w:pStyle w:val="ListBullet"/>
      </w:pPr>
      <w:r>
        <w:t xml:space="preserve">• Integrations for Rspamd, SpamAssassin and at least one gateway ecosystem, contributing a **small score</w:t>
      </w:r>
    </w:p>
    <w:p>
      <w:pPr>
        <w:pStyle w:val="BodyText"/>
      </w:pPr>
      <w:r>
        <w:t xml:space="preserve">adjustment**, never a verdict.</w:t>
      </w:r>
    </w:p>
    <w:p>
      <w:pPr>
        <w:pStyle w:val="ListBullet"/>
      </w:pPr>
      <w:r>
        <w:t xml:space="preserve">• Server-side replay scope: a client ledger is per installation; a filter can offer per-domain replay detection,</w:t>
      </w:r>
    </w:p>
    <w:p>
      <w:pPr>
        <w:pStyle w:val="BodyText"/>
      </w:pPr>
      <w:r>
        <w:t xml:space="preserve">which is strictly stronger, and needs its own retention and privacy discussion.</w:t>
      </w:r>
    </w:p>
    <w:p>
      <w:pPr>
        <w:pStyle w:val="ListBullet"/>
      </w:pPr>
      <w:r>
        <w:t xml:space="preserve">• Explicit statement of what happens to mail without a stamp: nothing.</w:t>
      </w:r>
    </w:p>
    <w:p>
      <w:pPr>
        <w:pStyle w:val="BodyText"/>
      </w:pPr>
      <w:r>
        <w:t xml:space="preserve">Exit criteria:</w:t>
      </w:r>
    </w:p>
    <w:p>
      <w:pPr>
        <w:pStyle w:val="Code"/>
      </w:pPr>
      <w:r>
        <w:rPr>
          <w:rFonts w:ascii="Consolas" w:hAnsi="Consolas"/>
          <w:sz w:val="18"/>
        </w:rPr>
        <w:t xml:space="preserve">A filter operator can enable ESF verification from packaged configuration</w:t>
      </w:r>
    </w:p>
    <w:p>
      <w:pPr>
        <w:pStyle w:val="Code"/>
      </w:pPr>
      <w:r>
        <w:rPr>
          <w:rFonts w:ascii="Consolas" w:hAnsi="Consolas"/>
          <w:sz w:val="18"/>
        </w:rPr>
        <w:t xml:space="preserve">AND the ESF result is visible in that filter's own reporting</w:t>
      </w:r>
    </w:p>
    <w:p>
      <w:pPr>
        <w:pStyle w:val="Code"/>
      </w:pPr>
      <w:r>
        <w:rPr>
          <w:rFonts w:ascii="Consolas" w:hAnsi="Consolas"/>
          <w:sz w:val="18"/>
        </w:rPr>
        <w:t xml:space="preserve">AND enabling it changes no delivery outcome for unstamped mail</w:t>
      </w:r>
    </w:p>
    <w:p>
      <w:pPr>
        <w:pStyle w:val="Code"/>
      </w:pPr>
      <w:r>
        <w:rPr>
          <w:rFonts w:ascii="Consolas" w:hAnsi="Consolas"/>
          <w:sz w:val="18"/>
        </w:rPr>
        <w:t xml:space="preserve">AND verification cost is measured under production load, per profile</w:t>
      </w:r>
    </w:p>
    <w:p>
      <w:pPr>
        <w:pStyle w:val="BodyText"/>
      </w:pPr>
      <w:r>
        <w:rPr>
          <w:b/>
        </w:rPr>
        <w:t xml:space="preserve">Constraint carried from the whitepaper:</w:t>
      </w:r>
      <w:r>
        <w:t xml:space="preserve"> memory-hard verification is not free. An Argon2id verifier must have</w:t>
      </w:r>
    </w:p>
    <w:p>
      <w:pPr>
        <w:pStyle w:val="BodyText"/>
      </w:pPr>
      <w:r>
        <w:t xml:space="preserve">bounded memory before it is exposed to arbitrary senders, or the receiver-side denial-of-service it prevents on one</w:t>
      </w:r>
    </w:p>
    <w:p>
      <w:pPr>
        <w:pStyle w:val="BodyText"/>
      </w:pPr>
      <w:r>
        <w:t xml:space="preserve">axis is reintroduced on another.</w:t>
      </w:r>
    </w:p>
    <w:p>
      <w:pPr>
        <w:pStyle w:val="Divider"/>
      </w:pPr>
    </w:p>
    <w:p>
      <w:pPr>
        <w:pStyle w:val="Heading1"/>
      </w:pPr>
      <w:r>
        <w:t xml:space="preserve">Stage 6 — Outreach to those who already thought about this</w:t>
      </w:r>
    </w:p>
    <w:p>
      <w:pPr>
        <w:pStyle w:val="BodyText"/>
      </w:pPr>
      <w:r>
        <w:rPr>
          <w:b/>
        </w:rPr>
        <w:t xml:space="preserve">Prerequisite:</w:t>
      </w:r>
      <w:r>
        <w:t xml:space="preserve"> Stages 3 and 5, so that the first question — "is there something I can actually run and read?" —</w:t>
      </w:r>
    </w:p>
    <w:p>
      <w:pPr>
        <w:pStyle w:val="BodyText"/>
      </w:pPr>
      <w:r>
        <w:t xml:space="preserve">has an answer.</w:t>
      </w:r>
    </w:p>
    <w:p>
      <w:pPr>
        <w:pStyle w:val="BodyText"/>
      </w:pPr>
      <w:r>
        <w:t xml:space="preserve">This stage exists because the people best able to break ESF are the ones who already reasoned about</w:t>
      </w:r>
    </w:p>
    <w:p>
      <w:pPr>
        <w:pStyle w:val="BodyText"/>
      </w:pPr>
      <w:r>
        <w:t xml:space="preserve">proof-of-work for email and, in several cases, published why it fails. The tone is single-purposed:</w:t>
      </w:r>
    </w:p>
    <w:p>
      <w:pPr>
        <w:pStyle w:val="Quote"/>
      </w:pPr>
      <w:r>
        <w:t xml:space="preserve">You arrived at this idea independently, and in some cases argued against it. We have built an interoperable implementation with an explicit threat model, and we would value your technical criticism.</w:t>
      </w:r>
    </w:p>
    <w:p>
      <w:pPr>
        <w:pStyle w:val="BodyText"/>
      </w:pPr>
      <w:r>
        <w:t xml:space="preserve">Not: </w:t>
      </w:r>
      <w:r>
        <w:rPr>
          <w:i/>
        </w:rPr>
        <w:t xml:space="preserve">please promote our project.</w:t>
      </w:r>
    </w:p>
    <w:p>
      <w:pPr>
        <w:pStyle w:val="Heading2"/>
      </w:pPr>
      <w:r>
        <w:t xml:space="preserve">Who, and why they matter</w:t>
      </w:r>
    </w:p>
    <w:tbl>
      <w:tblPr>
        <w:tblStyle w:val="TableGrid"/>
        <w:tblW w:w="5000" w:type="pct"/>
        <w:tblBorders>
          <w:top w:val="single" w:sz="4" w:space="0" w:color="D0D4DA"/>
          <w:left w:val="single" w:sz="4" w:space="0" w:color="D0D4DA"/>
          <w:bottom w:val="single" w:sz="4" w:space="0" w:color="D0D4DA"/>
          <w:right w:val="single" w:sz="4" w:space="0" w:color="D0D4DA"/>
          <w:insideH w:val="single" w:sz="4" w:space="0" w:color="D0D4DA"/>
          <w:insideV w:val="single" w:sz="4" w:space="0" w:color="D0D4DA"/>
        </w:tblBorders>
      </w:tblPr>
      <w:tblGrid>
        <w:gridCol w:w="1560"/>
        <w:gridCol w:w="1560"/>
        <w:gridCol w:w="1560"/>
        <w:gridCol w:w="1560"/>
        <w:gridCol w:w="1560"/>
        <w:gridCol w:w="1560"/>
      </w:tblGrid>
      <w:tr>
        <w:tc>
          <w:tcPr>
            <w:tcW w:w="1560" w:type="dxa"/>
            <w:shd w:val="clear" w:fill="F1F3F6"/>
          </w:tcPr>
          <w:p>
            <w:pPr>
              <w:pStyle w:val="TableText"/>
            </w:pPr>
            <w:r>
              <w:rPr>
                <w:b/>
              </w:rPr>
              <w:t xml:space="preserve">Person / project</w:t>
            </w:r>
          </w:p>
        </w:tc>
        <w:tc>
          <w:tcPr>
            <w:tcW w:w="1560" w:type="dxa"/>
            <w:shd w:val="clear" w:fill="F1F3F6"/>
          </w:tcPr>
          <w:p>
            <w:pPr>
              <w:pStyle w:val="TableText"/>
            </w:pPr>
            <w:r>
              <w:rPr>
                <w:b/>
              </w:rPr>
              <w:t xml:space="preserve">Background</w:t>
            </w:r>
          </w:p>
        </w:tc>
        <w:tc>
          <w:tcPr>
            <w:tcW w:w="1560" w:type="dxa"/>
            <w:shd w:val="clear" w:fill="F1F3F6"/>
          </w:tcPr>
          <w:p>
            <w:pPr>
              <w:pStyle w:val="TableText"/>
            </w:pPr>
            <w:r>
              <w:rPr>
                <w:b/>
              </w:rPr>
              <w:t xml:space="preserve">Why ESF is relevant</w:t>
            </w:r>
          </w:p>
        </w:tc>
        <w:tc>
          <w:tcPr>
            <w:tcW w:w="1560" w:type="dxa"/>
            <w:shd w:val="clear" w:fill="F1F3F6"/>
          </w:tcPr>
          <w:p>
            <w:pPr>
              <w:pStyle w:val="TableText"/>
            </w:pPr>
            <w:r>
              <w:rPr>
                <w:b/>
              </w:rPr>
              <w:t xml:space="preserve">Likely objection</w:t>
            </w:r>
          </w:p>
        </w:tc>
        <w:tc>
          <w:tcPr>
            <w:tcW w:w="1560" w:type="dxa"/>
            <w:shd w:val="clear" w:fill="F1F3F6"/>
          </w:tcPr>
          <w:p>
            <w:pPr>
              <w:pStyle w:val="TableText"/>
            </w:pPr>
            <w:r>
              <w:rPr>
                <w:b/>
              </w:rPr>
              <w:t xml:space="preserve">Role</w:t>
            </w:r>
          </w:p>
        </w:tc>
        <w:tc>
          <w:tcPr>
            <w:tcW w:w="1560" w:type="dxa"/>
            <w:shd w:val="clear" w:fill="F1F3F6"/>
          </w:tcPr>
          <w:p>
            <w:pPr>
              <w:pStyle w:val="TableText"/>
            </w:pPr>
            <w:r>
              <w:rPr>
                <w:b/>
              </w:rPr>
              <w:t xml:space="preserve">Channel</w:t>
            </w:r>
          </w:p>
        </w:tc>
      </w:tr>
      <w:tr>
        <w:tc>
          <w:tcPr>
            <w:tcW w:w="1560" w:type="dxa"/>
          </w:tcPr>
          <w:p>
            <w:pPr>
              <w:pStyle w:val="TableText"/>
            </w:pPr>
            <w:r>
              <w:rPr>
                <w:b/>
              </w:rPr>
              <w:t xml:space="preserve">Richard Clayton</w:t>
            </w:r>
            <w:r>
              <w:t xml:space="preserve"> (University of Cambridge Computer Laboratory)</w:t>
            </w:r>
          </w:p>
        </w:tc>
        <w:tc>
          <w:tcPr>
            <w:tcW w:w="1560" w:type="dxa"/>
          </w:tcPr>
          <w:p>
            <w:pPr>
              <w:pStyle w:val="TableText"/>
            </w:pPr>
            <w:r>
              <w:t xml:space="preserve">Co-author of </w:t>
            </w:r>
            <w:r>
              <w:rPr>
                <w:i/>
              </w:rPr>
              <w:t xml:space="preserve">"Proof-of-Work" Proves Not to Work</w:t>
            </w:r>
            <w:r>
              <w:t xml:space="preserve"> (https://www.cl.cam.ac.uk/~rnc1/proofwork2.pdf) (WEIS 2004; version 0.2, September 2004), the standing empirical refutation; author of a decade of follow-on measurement work, including </w:t>
            </w:r>
            <w:r>
              <w:rPr>
                <w:i/>
              </w:rPr>
              <w:t xml:space="preserve">On the difficulty of counting spam sources</w:t>
            </w:r>
            <w:r>
              <w:t xml:space="preserve"> (CEAS 2010), which shows that the same data supports bot-population estimates an order of magnitude apart</w:t>
            </w:r>
          </w:p>
        </w:tc>
        <w:tc>
          <w:tcPr>
            <w:tcW w:w="1560" w:type="dxa"/>
          </w:tcPr>
          <w:p>
            <w:pPr>
              <w:pStyle w:val="TableText"/>
            </w:pPr>
            <w:r>
              <w:t xml:space="preserve">ESF's trust-aware exemption and memory-hard profile are direct responses to his collateral-damage finding; his ISP-traffic method is the right way to test them, and his own counting caveat applies to any botnet figure either side quotes</w:t>
            </w:r>
          </w:p>
        </w:tc>
        <w:tc>
          <w:tcPr>
            <w:tcW w:w="1560" w:type="dxa"/>
          </w:tcPr>
          <w:p>
            <w:pPr>
              <w:pStyle w:val="TableText"/>
            </w:pPr>
            <w:r>
              <w:t xml:space="preserve">The legitimate-sender damage recurs, worst on hourly volume; botnets externalise the cost</w:t>
            </w:r>
          </w:p>
        </w:tc>
        <w:tc>
          <w:tcPr>
            <w:tcW w:w="1560" w:type="dxa"/>
          </w:tcPr>
          <w:p>
            <w:pPr>
              <w:pStyle w:val="TableText"/>
            </w:pPr>
            <w:r>
              <w:rPr>
                <w:b/>
              </w:rPr>
              <w:t xml:space="preserve">Protocol critic</w:t>
            </w:r>
            <w:r>
              <w:t xml:space="preserve">, research advisor</w:t>
            </w:r>
          </w:p>
        </w:tc>
        <w:tc>
          <w:tcPr>
            <w:tcW w:w="1560" w:type="dxa"/>
          </w:tcPr>
          <w:p>
            <w:pPr>
              <w:pStyle w:val="TableText"/>
            </w:pPr>
            <w:r>
              <w:t xml:space="preserve">Institutional page / academic contact</w:t>
            </w:r>
          </w:p>
        </w:tc>
      </w:tr>
      <w:tr>
        <w:tc>
          <w:tcPr>
            <w:tcW w:w="1560" w:type="dxa"/>
          </w:tcPr>
          <w:p>
            <w:pPr>
              <w:pStyle w:val="TableText"/>
            </w:pPr>
            <w:r>
              <w:rPr>
                <w:b/>
              </w:rPr>
              <w:t xml:space="preserve">Ben Laurie</w:t>
            </w:r>
          </w:p>
        </w:tc>
        <w:tc>
          <w:tcPr>
            <w:tcW w:w="1560" w:type="dxa"/>
          </w:tcPr>
          <w:p>
            <w:pPr>
              <w:pStyle w:val="TableText"/>
            </w:pPr>
            <w:r>
              <w:t xml:space="preserve">Co-author of the same paper; long career in applied cryptography and transparency systems</w:t>
            </w:r>
          </w:p>
        </w:tc>
        <w:tc>
          <w:tcPr>
            <w:tcW w:w="1560" w:type="dxa"/>
          </w:tcPr>
          <w:p>
            <w:pPr>
              <w:pStyle w:val="TableText"/>
            </w:pPr>
            <w:r>
              <w:t xml:space="preserve">Same as above, plus a practitioner's view on what receivers will actually deploy</w:t>
            </w:r>
          </w:p>
        </w:tc>
        <w:tc>
          <w:tcPr>
            <w:tcW w:w="1560" w:type="dxa"/>
          </w:tcPr>
          <w:p>
            <w:pPr>
              <w:pStyle w:val="TableText"/>
            </w:pPr>
            <w:r>
              <w:t xml:space="preserve">PoW is the wrong lever; hybrid schemes are "very complex and … very fragile", which is the paper's own prediction about designs like ESF</w:t>
            </w:r>
          </w:p>
        </w:tc>
        <w:tc>
          <w:tcPr>
            <w:tcW w:w="1560" w:type="dxa"/>
          </w:tcPr>
          <w:p>
            <w:pPr>
              <w:pStyle w:val="TableText"/>
            </w:pPr>
            <w:r>
              <w:t xml:space="preserve">Protocol critic, reviewer</w:t>
            </w:r>
          </w:p>
        </w:tc>
        <w:tc>
          <w:tcPr>
            <w:tcW w:w="1560" w:type="dxa"/>
          </w:tcPr>
          <w:p>
            <w:pPr>
              <w:pStyle w:val="TableText"/>
            </w:pPr>
            <w:r>
              <w:t xml:space="preserve">Public professional channels</w:t>
            </w:r>
          </w:p>
        </w:tc>
      </w:tr>
      <w:tr>
        <w:tc>
          <w:tcPr>
            <w:tcW w:w="1560" w:type="dxa"/>
          </w:tcPr>
          <w:p>
            <w:pPr>
              <w:pStyle w:val="TableText"/>
            </w:pPr>
            <w:r>
              <w:rPr>
                <w:b/>
              </w:rPr>
              <w:t xml:space="preserve">Adam Back</w:t>
            </w:r>
          </w:p>
        </w:tc>
        <w:tc>
          <w:tcPr>
            <w:tcW w:w="1560" w:type="dxa"/>
          </w:tcPr>
          <w:p>
            <w:pPr>
              <w:pStyle w:val="TableText"/>
            </w:pPr>
            <w:r>
              <w:t xml:space="preserve">Author of Hashcash (http://www.hashcash.org/hashcash.pdf) — announced in 1997 and, as his 2002 report states, written without knowledge of Dwork and Naor's 1992 paper, so an independent rediscovery rather than a descendant</w:t>
            </w:r>
          </w:p>
        </w:tc>
        <w:tc>
          <w:tcPr>
            <w:tcW w:w="1560" w:type="dxa"/>
          </w:tcPr>
          <w:p>
            <w:pPr>
              <w:pStyle w:val="TableText"/>
            </w:pPr>
            <w:r>
              <w:t xml:space="preserve">ESF's stamp reuses his cost-function shape and adds recipient binding, algorithm agility and receiver policy; the adoption history of hashcash itself is the part ESF has to explain rather than repeat</w:t>
            </w:r>
          </w:p>
        </w:tc>
        <w:tc>
          <w:tcPr>
            <w:tcW w:w="1560" w:type="dxa"/>
          </w:tcPr>
          <w:p>
            <w:pPr>
              <w:pStyle w:val="TableText"/>
            </w:pPr>
            <w:r>
              <w:t xml:space="preserve">Difficulty calibration and ASIC economics; hashcash's own adoption history</w:t>
            </w:r>
          </w:p>
        </w:tc>
        <w:tc>
          <w:tcPr>
            <w:tcW w:w="1560" w:type="dxa"/>
          </w:tcPr>
          <w:p>
            <w:pPr>
              <w:pStyle w:val="TableText"/>
            </w:pPr>
            <w:r>
              <w:t xml:space="preserve">Reviewer, </w:t>
            </w:r>
            <w:r>
              <w:rPr>
                <w:b/>
              </w:rPr>
              <w:t xml:space="preserve">amplifier</w:t>
            </w:r>
          </w:p>
        </w:tc>
        <w:tc>
          <w:tcPr>
            <w:tcW w:w="1560" w:type="dxa"/>
          </w:tcPr>
          <w:p>
            <w:pPr>
              <w:pStyle w:val="TableText"/>
            </w:pPr>
            <w:r>
              <w:t xml:space="preserve">Public professional channels</w:t>
            </w:r>
          </w:p>
        </w:tc>
      </w:tr>
      <w:tr>
        <w:tc>
          <w:tcPr>
            <w:tcW w:w="1560" w:type="dxa"/>
          </w:tcPr>
          <w:p>
            <w:pPr>
              <w:pStyle w:val="TableText"/>
            </w:pPr>
            <w:r>
              <w:rPr>
                <w:b/>
              </w:rPr>
              <w:t xml:space="preserve">Cynthia Dwork</w:t>
            </w:r>
            <w:r>
              <w:t xml:space="preserve">, </w:t>
            </w:r>
            <w:r>
              <w:rPr>
                <w:b/>
              </w:rPr>
              <w:t xml:space="preserve">Moni Naor</w:t>
            </w:r>
          </w:p>
        </w:tc>
        <w:tc>
          <w:tcPr>
            <w:tcW w:w="1560" w:type="dxa"/>
          </w:tcPr>
          <w:p>
            <w:pPr>
              <w:pStyle w:val="TableText"/>
            </w:pPr>
            <w:r>
              <w:rPr>
                <w:i/>
              </w:rPr>
              <w:t xml:space="preserve">Pricing via Processing or Combatting Junk Mail</w:t>
            </w:r>
            <w:r>
              <w:t xml:space="preserve"> (CRYPTO 1992), whose pricing functions were number-theoretic — square roots mod p, Fiat–Shamir, Ong–Schnorr–Shamir — and contained no hash proof-of-work at all; with </w:t>
            </w:r>
            <w:r>
              <w:rPr>
                <w:b/>
              </w:rPr>
              <w:t xml:space="preserve">Andrew Goldberg</w:t>
            </w:r>
            <w:r>
              <w:t xml:space="preserve">, </w:t>
            </w:r>
            <w:r>
              <w:rPr>
                <w:i/>
              </w:rPr>
              <w:t xml:space="preserve">On Memory-Bound Functions for Fighting Spam</w:t>
            </w:r>
            <w:r>
              <w:t xml:space="preserve"> (CRYPTO 2003), and both members of Microsoft Research's Penny Black project</w:t>
            </w:r>
          </w:p>
        </w:tc>
        <w:tc>
          <w:tcPr>
            <w:tcW w:w="1560" w:type="dxa"/>
          </w:tcPr>
          <w:p>
            <w:pPr>
              <w:pStyle w:val="TableText"/>
            </w:pPr>
            <w:r>
              <w:t xml:space="preserve">The originators of the pricing argument and of memory-hardness, which is exactly ESF's second profile; their measured spread of about four between slowest and fastest machine is the figure ESF's difficulty policy has to work with</w:t>
            </w:r>
          </w:p>
        </w:tc>
        <w:tc>
          <w:tcPr>
            <w:tcW w:w="1560" w:type="dxa"/>
          </w:tcPr>
          <w:p>
            <w:pPr>
              <w:pStyle w:val="TableText"/>
            </w:pPr>
            <w:r>
              <w:t xml:space="preserve">Parameter choice needs proof, not benchmarks</w:t>
            </w:r>
          </w:p>
        </w:tc>
        <w:tc>
          <w:tcPr>
            <w:tcW w:w="1560" w:type="dxa"/>
          </w:tcPr>
          <w:p>
            <w:pPr>
              <w:pStyle w:val="TableText"/>
            </w:pPr>
            <w:r>
              <w:t xml:space="preserve">Research advisors</w:t>
            </w:r>
          </w:p>
        </w:tc>
        <w:tc>
          <w:tcPr>
            <w:tcW w:w="1560" w:type="dxa"/>
          </w:tcPr>
          <w:p>
            <w:pPr>
              <w:pStyle w:val="TableText"/>
            </w:pPr>
            <w:r>
              <w:t xml:space="preserve">Institutional contact</w:t>
            </w:r>
          </w:p>
        </w:tc>
      </w:tr>
      <w:tr>
        <w:tc>
          <w:tcPr>
            <w:tcW w:w="1560" w:type="dxa"/>
          </w:tcPr>
          <w:p>
            <w:pPr>
              <w:pStyle w:val="TableText"/>
            </w:pPr>
            <w:r>
              <w:rPr>
                <w:b/>
              </w:rPr>
              <w:t xml:space="preserve">L. Jean Camp</w:t>
            </w:r>
            <w:r>
              <w:t xml:space="preserve">, </w:t>
            </w:r>
            <w:r>
              <w:rPr>
                <w:b/>
              </w:rPr>
              <w:t xml:space="preserve">Debin Liu</w:t>
            </w:r>
          </w:p>
        </w:tc>
        <w:tc>
          <w:tcPr>
            <w:tcW w:w="1560" w:type="dxa"/>
          </w:tcPr>
          <w:p>
            <w:pPr>
              <w:pStyle w:val="TableText"/>
            </w:pPr>
            <w:r>
              <w:rPr>
                <w:i/>
              </w:rPr>
              <w:t xml:space="preserve">Proof of Work can Work</w:t>
            </w:r>
            <w:r>
              <w:t xml:space="preserve"> (WEIS 2006) — the counter-analysis that accepts Laurie/Clayton's parameters and attacks only their uniformity assumption, weighting the work requirement by a sender-reputation function calibrated on their own figures</w:t>
            </w:r>
          </w:p>
        </w:tc>
        <w:tc>
          <w:tcPr>
            <w:tcW w:w="1560" w:type="dxa"/>
          </w:tcPr>
          <w:p>
            <w:pPr>
              <w:pStyle w:val="TableText"/>
            </w:pPr>
            <w:r>
              <w:t xml:space="preserve">Already argued the affirmative case; best placed to say which conditions ESF must meet for it to hold</w:t>
            </w:r>
          </w:p>
        </w:tc>
        <w:tc>
          <w:tcPr>
            <w:tcW w:w="1560" w:type="dxa"/>
          </w:tcPr>
          <w:p>
            <w:pPr>
              <w:pStyle w:val="TableText"/>
            </w:pPr>
            <w:r>
              <w:t xml:space="preserve">Their result rests on assumed filter and reputation accuracy and was never measured on a deployed system; ESF's parameters may not match their conditions</w:t>
            </w:r>
          </w:p>
        </w:tc>
        <w:tc>
          <w:tcPr>
            <w:tcW w:w="1560" w:type="dxa"/>
          </w:tcPr>
          <w:p>
            <w:pPr>
              <w:pStyle w:val="TableText"/>
            </w:pPr>
            <w:r>
              <w:t xml:space="preserve">Research advisors</w:t>
            </w:r>
          </w:p>
        </w:tc>
        <w:tc>
          <w:tcPr>
            <w:tcW w:w="1560" w:type="dxa"/>
          </w:tcPr>
          <w:p>
            <w:pPr>
              <w:pStyle w:val="TableText"/>
            </w:pPr>
            <w:r>
              <w:t xml:space="preserve">Institutional contact</w:t>
            </w:r>
          </w:p>
        </w:tc>
      </w:tr>
      <w:tr>
        <w:tc>
          <w:tcPr>
            <w:tcW w:w="1560" w:type="dxa"/>
          </w:tcPr>
          <w:p>
            <w:pPr>
              <w:pStyle w:val="TableText"/>
            </w:pPr>
            <w:r>
              <w:rPr>
                <w:b/>
              </w:rPr>
              <w:t xml:space="preserve">Paul Gardner-Stephen</w:t>
            </w:r>
          </w:p>
        </w:tc>
        <w:tc>
          <w:tcPr>
            <w:tcW w:w="1560" w:type="dxa"/>
          </w:tcPr>
          <w:p>
            <w:pPr>
              <w:pStyle w:val="TableText"/>
            </w:pPr>
            <w:r>
              <w:rPr>
                <w:i/>
              </w:rPr>
              <w:t xml:space="preserve">Escalating the War on SPAM Through Practical POW Exchange</w:t>
            </w:r>
            <w:r>
              <w:t xml:space="preserve"> (IEEE Conference on Networking, 2007), which accepts the Laurie/Clayton refutation of uniform-cost work and proposes Targeted-Cost Proof-of-Work instead: the receiving site's own filter decides which messages are challenged, tuned per receiver</w:t>
            </w:r>
          </w:p>
        </w:tc>
        <w:tc>
          <w:tcPr>
            <w:tcW w:w="1560" w:type="dxa"/>
          </w:tcPr>
          <w:p>
            <w:pPr>
              <w:pStyle w:val="TableText"/>
            </w:pPr>
            <w:r>
              <w:t xml:space="preserve">The closest published precedent for ESF's receiver-driven policy, argued from Laurie/Clayton's own distribution</w:t>
            </w:r>
          </w:p>
        </w:tc>
        <w:tc>
          <w:tcPr>
            <w:tcW w:w="1560" w:type="dxa"/>
          </w:tcPr>
          <w:p>
            <w:pPr>
              <w:pStyle w:val="TableText"/>
            </w:pPr>
            <w:r>
              <w:t xml:space="preserve">Effectiveness is proportional to filter accuracy, and filter accuracy varies from site to site; none of his cost figures are measured</w:t>
            </w:r>
          </w:p>
        </w:tc>
        <w:tc>
          <w:tcPr>
            <w:tcW w:w="1560" w:type="dxa"/>
          </w:tcPr>
          <w:p>
            <w:pPr>
              <w:pStyle w:val="TableText"/>
            </w:pPr>
            <w:r>
              <w:t xml:space="preserve">Research advisor, </w:t>
            </w:r>
            <w:r>
              <w:rPr>
                <w:b/>
              </w:rPr>
              <w:t xml:space="preserve">protocol critic</w:t>
            </w:r>
          </w:p>
        </w:tc>
        <w:tc>
          <w:tcPr>
            <w:tcW w:w="1560" w:type="dxa"/>
          </w:tcPr>
          <w:p>
            <w:pPr>
              <w:pStyle w:val="TableText"/>
            </w:pPr>
            <w:r>
              <w:t xml:space="preserve">Institutional contact</w:t>
            </w:r>
          </w:p>
        </w:tc>
      </w:tr>
      <w:tr>
        <w:tc>
          <w:tcPr>
            <w:tcW w:w="1560" w:type="dxa"/>
          </w:tcPr>
          <w:p>
            <w:pPr>
              <w:pStyle w:val="TableText"/>
            </w:pPr>
            <w:r>
              <w:rPr>
                <w:b/>
              </w:rPr>
              <w:t xml:space="preserve">Apache SpamAssassin</w:t>
            </w:r>
            <w:r>
              <w:t xml:space="preserve"> (the Hashcash plugin's history)</w:t>
            </w:r>
          </w:p>
        </w:tc>
        <w:tc>
          <w:tcPr>
            <w:tcW w:w="1560" w:type="dxa"/>
          </w:tcPr>
          <w:p>
            <w:pPr>
              <w:pStyle w:val="TableText"/>
            </w:pPr>
            <w:r>
              <w:t xml:space="preserve">The project shipped </w:t>
            </w:r>
            <w:r>
              <w:rPr>
                <w:rFonts w:ascii="Consolas" w:hAnsi="Consolas"/>
                <w:sz w:val="18"/>
              </w:rPr>
              <w:t xml:space="preserve">Plugin::Hashcash</w:t>
            </w:r>
            <w:r>
              <w:t xml:space="preserve"> from the 3.0 series: bonus-only scoring from −0.5 at 20 bits to −5.0 above 25, double spending scored at just +0.1 because legitimate mail can trip it, a per-user token database that was never expired, and no effect at all unless </w:t>
            </w:r>
            <w:r>
              <w:rPr>
                <w:rFonts w:ascii="Consolas" w:hAnsi="Consolas"/>
                <w:sz w:val="18"/>
              </w:rPr>
              <w:t xml:space="preserve">hashcash_accept</w:t>
            </w:r>
            <w:r>
              <w:t xml:space="preserve"> was configured — then removed the module completely in 4.0.0</w:t>
            </w:r>
          </w:p>
        </w:tc>
        <w:tc>
          <w:tcPr>
            <w:tcW w:w="1560" w:type="dxa"/>
          </w:tcPr>
          <w:p>
            <w:pPr>
              <w:pStyle w:val="TableText"/>
            </w:pPr>
            <w:r>
              <w:t xml:space="preserve">The closest existing ancestor of ESF's replay ledger, and the clearest documented evidence of what happens to a verifier nobody feeds</w:t>
            </w:r>
          </w:p>
        </w:tc>
        <w:tc>
          <w:tcPr>
            <w:tcW w:w="1560" w:type="dxa"/>
          </w:tcPr>
          <w:p>
            <w:pPr>
              <w:pStyle w:val="TableText"/>
            </w:pPr>
            <w:r>
              <w:t xml:space="preserve">"We shipped this; nobody sent tokens"</w:t>
            </w:r>
          </w:p>
        </w:tc>
        <w:tc>
          <w:tcPr>
            <w:tcW w:w="1560" w:type="dxa"/>
          </w:tcPr>
          <w:p>
            <w:pPr>
              <w:pStyle w:val="TableText"/>
            </w:pPr>
            <w:r>
              <w:rPr>
                <w:b/>
              </w:rPr>
              <w:t xml:space="preserve">Reviewer</w:t>
            </w:r>
            <w:r>
              <w:t xml:space="preserve">, integration partner</w:t>
            </w:r>
          </w:p>
        </w:tc>
        <w:tc>
          <w:tcPr>
            <w:tcW w:w="1560" w:type="dxa"/>
          </w:tcPr>
          <w:p>
            <w:pPr>
              <w:pStyle w:val="TableText"/>
            </w:pPr>
            <w:r>
              <w:t xml:space="preserve">Apache SpamAssassin lists / issue tracker</w:t>
            </w:r>
          </w:p>
        </w:tc>
      </w:tr>
      <w:tr>
        <w:tc>
          <w:tcPr>
            <w:tcW w:w="1560" w:type="dxa"/>
          </w:tcPr>
          <w:p>
            <w:pPr>
              <w:pStyle w:val="TableText"/>
            </w:pPr>
            <w:r>
              <w:rPr>
                <w:b/>
              </w:rPr>
              <w:t xml:space="preserve">Vsevolod Stakhov</w:t>
            </w:r>
            <w:r>
              <w:t xml:space="preserve"> / Rspamd</w:t>
            </w:r>
          </w:p>
        </w:tc>
        <w:tc>
          <w:tcPr>
            <w:tcW w:w="1560" w:type="dxa"/>
          </w:tcPr>
          <w:p>
            <w:pPr>
              <w:pStyle w:val="TableText"/>
            </w:pPr>
            <w:r>
              <w:t xml:space="preserve">Author and maintainer of the most widely deployed open-source filter. Rspamd has never had hashcash or proof-of-work support: neither term occurs in the 4.1 source tree or the module documentation, and its SpamAssassin compatibility layer implements only three </w:t>
            </w:r>
            <w:r>
              <w:rPr>
                <w:rFonts w:ascii="Consolas" w:hAnsi="Consolas"/>
                <w:sz w:val="18"/>
              </w:rPr>
              <w:t xml:space="preserve">eval:</w:t>
            </w:r>
            <w:r>
              <w:t xml:space="preserve"> functions, so the old </w:t>
            </w:r>
            <w:r>
              <w:rPr>
                <w:rFonts w:ascii="Consolas" w:hAnsi="Consolas"/>
                <w:sz w:val="18"/>
              </w:rPr>
              <w:t xml:space="preserve">25_hashcash.cf</w:t>
            </w:r>
            <w:r>
              <w:t xml:space="preserve"> rules cannot simply be imported</w:t>
            </w:r>
          </w:p>
        </w:tc>
        <w:tc>
          <w:tcPr>
            <w:tcW w:w="1560" w:type="dxa"/>
          </w:tcPr>
          <w:p>
            <w:pPr>
              <w:pStyle w:val="TableText"/>
            </w:pPr>
            <w:r>
              <w:t xml:space="preserve">Stage 5 lands here first; Rspamd's negative-weight symbol model is the natural home for a small ESF adjustment, but it has to be written as a Lua symbol with its own state, not ported</w:t>
            </w:r>
          </w:p>
        </w:tc>
        <w:tc>
          <w:tcPr>
            <w:tcW w:w="1560" w:type="dxa"/>
          </w:tcPr>
          <w:p>
            <w:pPr>
              <w:pStyle w:val="TableText"/>
            </w:pPr>
            <w:r>
              <w:t xml:space="preserve">Cost per message under load; another rarely-firing symbol</w:t>
            </w:r>
          </w:p>
        </w:tc>
        <w:tc>
          <w:tcPr>
            <w:tcW w:w="1560" w:type="dxa"/>
          </w:tcPr>
          <w:p>
            <w:pPr>
              <w:pStyle w:val="TableText"/>
            </w:pPr>
            <w:r>
              <w:rPr>
                <w:b/>
              </w:rPr>
              <w:t xml:space="preserve">Independent implementer</w:t>
            </w:r>
            <w:r>
              <w:t xml:space="preserve">, integration partner</w:t>
            </w:r>
          </w:p>
        </w:tc>
        <w:tc>
          <w:tcPr>
            <w:tcW w:w="1560" w:type="dxa"/>
          </w:tcPr>
          <w:p>
            <w:pPr>
              <w:pStyle w:val="TableText"/>
            </w:pPr>
            <w:r>
              <w:t xml:space="preserve">Rspamd GitHub / mailing list</w:t>
            </w:r>
          </w:p>
        </w:tc>
      </w:tr>
      <w:tr>
        <w:tc>
          <w:tcPr>
            <w:tcW w:w="1560" w:type="dxa"/>
          </w:tcPr>
          <w:p>
            <w:pPr>
              <w:pStyle w:val="TableText"/>
            </w:pPr>
            <w:r>
              <w:rPr>
                <w:b/>
              </w:rPr>
              <w:t xml:space="preserve">Eric S. Johansson</w:t>
            </w:r>
            <w:r>
              <w:t xml:space="preserve"> / Camram</w:t>
            </w:r>
          </w:p>
        </w:tc>
        <w:tc>
          <w:tcPr>
            <w:tcW w:w="1560" w:type="dxa"/>
          </w:tcPr>
          <w:p>
            <w:pPr>
              <w:pStyle w:val="TableText"/>
            </w:pPr>
            <w:r>
              <w:t xml:space="preserve">Built the hybrid sender-pays system that ran hashcash on first contact and opportunistic signatures plus a whitelist afterwards, layered over a Bayesian filter so a lone adopter was never worse off — the incremental-deployment argument this roadmap depends on. Code shipped (last release file 2004); project content disappears from the web after 2007; the one contemporaneous complaint on the record is installation complexity, which he conceded</w:t>
            </w:r>
          </w:p>
        </w:tc>
        <w:tc>
          <w:tcPr>
            <w:tcW w:w="1560" w:type="dxa"/>
          </w:tcPr>
          <w:p>
            <w:pPr>
              <w:pStyle w:val="TableText"/>
            </w:pPr>
            <w:r>
              <w:t xml:space="preserve">Camram made the "useful to the first adopter" case before ESF did, and its own objection list — hardware stamp accelerators, zombie stamp farms, stamp deflation, mailing lists unsolved — is a ready-made review of ESF</w:t>
            </w:r>
          </w:p>
        </w:tc>
        <w:tc>
          <w:tcPr>
            <w:tcW w:w="1560" w:type="dxa"/>
          </w:tcPr>
          <w:p>
            <w:pPr>
              <w:pStyle w:val="TableText"/>
            </w:pPr>
            <w:r>
              <w:t xml:space="preserve">Installation and operational complexity sink such systems long before the cryptography does</w:t>
            </w:r>
          </w:p>
        </w:tc>
        <w:tc>
          <w:tcPr>
            <w:tcW w:w="1560" w:type="dxa"/>
          </w:tcPr>
          <w:p>
            <w:pPr>
              <w:pStyle w:val="TableText"/>
            </w:pPr>
            <w:r>
              <w:rPr>
                <w:b/>
              </w:rPr>
              <w:t xml:space="preserve">Protocol critic</w:t>
            </w:r>
            <w:r>
              <w:t xml:space="preserve">, reviewer</w:t>
            </w:r>
          </w:p>
        </w:tc>
        <w:tc>
          <w:tcPr>
            <w:tcW w:w="1560" w:type="dxa"/>
          </w:tcPr>
          <w:p>
            <w:pPr>
              <w:pStyle w:val="TableText"/>
            </w:pPr>
            <w:r>
              <w:t xml:space="preserve">Public professional channels</w:t>
            </w:r>
          </w:p>
        </w:tc>
      </w:tr>
      <w:tr>
        <w:tc>
          <w:tcPr>
            <w:tcW w:w="1560" w:type="dxa"/>
          </w:tcPr>
          <w:p>
            <w:pPr>
              <w:pStyle w:val="TableText"/>
            </w:pPr>
            <w:r>
              <w:rPr>
                <w:b/>
              </w:rPr>
              <w:t xml:space="preserve">Aliasgar Lokhandwala</w:t>
            </w:r>
            <w:r>
              <w:t xml:space="preserve">, </w:t>
            </w:r>
            <w:r>
              <w:rPr>
                <w:b/>
              </w:rPr>
              <w:t xml:space="preserve">Jonas Oestman</w:t>
            </w:r>
            <w:r>
              <w:t xml:space="preserve"> / PennyPost</w:t>
            </w:r>
          </w:p>
        </w:tc>
        <w:tc>
          <w:tcPr>
            <w:tcW w:w="1560" w:type="dxa"/>
          </w:tcPr>
          <w:p>
            <w:pPr>
              <w:pStyle w:val="TableText"/>
            </w:pPr>
            <w:r>
              <w:t xml:space="preserve">Wrote and maintained the Thunderbird extension (2007–2016) that minted and verified per-recipient hashcash and MBound stamps and advertised accepted protocols and prices in an </w:t>
            </w:r>
            <w:r>
              <w:rPr>
                <w:rFonts w:ascii="Consolas" w:hAnsi="Consolas"/>
                <w:sz w:val="18"/>
              </w:rPr>
              <w:t xml:space="preserve">x-stampprotocols</w:t>
            </w:r>
            <w:r>
              <w:t xml:space="preserve"> header; declared compatibility ends at Thunderbird 38, and the 16 MB MBound table was held against it in Mozilla bug 229686</w:t>
            </w:r>
          </w:p>
        </w:tc>
        <w:tc>
          <w:tcPr>
            <w:tcW w:w="1560" w:type="dxa"/>
          </w:tcPr>
          <w:p>
            <w:pPr>
              <w:pStyle w:val="TableText"/>
            </w:pPr>
            <w:r>
              <w:t xml:space="preserve">The direct predecessor of ESF's Thunderbird client, in the same slot, and its capability header prefigures ESF's policy discovery (whitepaper 8). Its size and its external Java dependency are exactly what ESF must not repeat</w:t>
            </w:r>
          </w:p>
        </w:tc>
        <w:tc>
          <w:tcPr>
            <w:tcW w:w="1560" w:type="dxa"/>
          </w:tcPr>
          <w:p>
            <w:pPr>
              <w:pStyle w:val="TableText"/>
            </w:pPr>
            <w:r>
              <w:t xml:space="preserve">Client-side stamping is a maintenance treadmill against platform API churn</w:t>
            </w:r>
          </w:p>
        </w:tc>
        <w:tc>
          <w:tcPr>
            <w:tcW w:w="1560" w:type="dxa"/>
          </w:tcPr>
          <w:p>
            <w:pPr>
              <w:pStyle w:val="TableText"/>
            </w:pPr>
            <w:r>
              <w:t xml:space="preserve">Reviewers</w:t>
            </w:r>
          </w:p>
        </w:tc>
        <w:tc>
          <w:tcPr>
            <w:tcW w:w="1560" w:type="dxa"/>
          </w:tcPr>
          <w:p>
            <w:pPr>
              <w:pStyle w:val="TableText"/>
            </w:pPr>
            <w:r>
              <w:t xml:space="preserve">Public project channels</w:t>
            </w:r>
          </w:p>
        </w:tc>
      </w:tr>
      <w:tr>
        <w:tc>
          <w:tcPr>
            <w:tcW w:w="1560" w:type="dxa"/>
          </w:tcPr>
          <w:p>
            <w:pPr>
              <w:pStyle w:val="TableText"/>
            </w:pPr>
            <w:r>
              <w:rPr>
                <w:b/>
              </w:rPr>
              <w:t xml:space="preserve">Andrey Zholos</w:t>
            </w:r>
            <w:r>
              <w:t xml:space="preserve"> / Hashcash Milter</w:t>
            </w:r>
          </w:p>
        </w:tc>
        <w:tc>
          <w:tcPr>
            <w:tcW w:w="1560" w:type="dxa"/>
          </w:tcPr>
          <w:p>
            <w:pPr>
              <w:pStyle w:val="TableText"/>
            </w:pPr>
            <w:r>
              <w:t xml:space="preserve">Wrote a libmilter filter that both mints and verifies hashcash stamps in transit, with a distinct stamp per recipient, </w:t>
            </w:r>
            <w:r>
              <w:rPr>
                <w:rFonts w:ascii="Consolas" w:hAnsi="Consolas"/>
                <w:sz w:val="18"/>
              </w:rPr>
              <w:t xml:space="preserve">To</w:t>
            </w:r>
            <w:r>
              <w:t xml:space="preserve">/</w:t>
            </w:r>
            <w:r>
              <w:rPr>
                <w:rFonts w:ascii="Consolas" w:hAnsi="Consolas"/>
                <w:sz w:val="18"/>
              </w:rPr>
              <w:t xml:space="preserve">Cc</w:t>
            </w:r>
            <w:r>
              <w:t xml:space="preserve"> only so that a stamp cannot reveal a </w:t>
            </w:r>
            <w:r>
              <w:rPr>
                <w:rFonts w:ascii="Consolas" w:hAnsi="Consolas"/>
                <w:sz w:val="18"/>
              </w:rPr>
              <w:t xml:space="preserve">Bcc</w:t>
            </w:r>
            <w:r>
              <w:t xml:space="preserve">, a difficulty discount as recipient count doubles, and a minting-time cap set against the SMTP timeout</w:t>
            </w:r>
          </w:p>
        </w:tc>
        <w:tc>
          <w:tcPr>
            <w:tcW w:w="1560" w:type="dxa"/>
          </w:tcPr>
          <w:p>
            <w:pPr>
              <w:pStyle w:val="TableText"/>
            </w:pPr>
            <w:r>
              <w:t xml:space="preserve">A working precedent for Stage 5's server-side surface, including the two problems ESF also has: Bcc exposure and minting inside a timed transaction</w:t>
            </w:r>
          </w:p>
        </w:tc>
        <w:tc>
          <w:tcPr>
            <w:tcW w:w="1560" w:type="dxa"/>
          </w:tcPr>
          <w:p>
            <w:pPr>
              <w:pStyle w:val="TableText"/>
            </w:pPr>
            <w:r>
              <w:t xml:space="preserve">Minting in the SMTP path is the wrong place for work</w:t>
            </w:r>
          </w:p>
        </w:tc>
        <w:tc>
          <w:tcPr>
            <w:tcW w:w="1560" w:type="dxa"/>
          </w:tcPr>
          <w:p>
            <w:pPr>
              <w:pStyle w:val="TableText"/>
            </w:pPr>
            <w:r>
              <w:rPr>
                <w:b/>
              </w:rPr>
              <w:t xml:space="preserve">Independent implementer</w:t>
            </w:r>
            <w:r>
              <w:t xml:space="preserve">, reviewer</w:t>
            </w:r>
          </w:p>
        </w:tc>
        <w:tc>
          <w:tcPr>
            <w:tcW w:w="1560" w:type="dxa"/>
          </w:tcPr>
          <w:p>
            <w:pPr>
              <w:pStyle w:val="TableText"/>
            </w:pPr>
            <w:r>
              <w:t xml:space="preserve">Public project channels</w:t>
            </w:r>
          </w:p>
        </w:tc>
      </w:tr>
      <w:tr>
        <w:tc>
          <w:tcPr>
            <w:tcW w:w="1560" w:type="dxa"/>
          </w:tcPr>
          <w:p>
            <w:pPr>
              <w:pStyle w:val="TableText"/>
            </w:pPr>
            <w:r>
              <w:rPr>
                <w:b/>
              </w:rPr>
              <w:t xml:space="preserve">Wietse Venema</w:t>
            </w:r>
            <w:r>
              <w:t xml:space="preserve"> / Postfix</w:t>
            </w:r>
          </w:p>
        </w:tc>
        <w:tc>
          <w:tcPr>
            <w:tcW w:w="1560" w:type="dxa"/>
          </w:tcPr>
          <w:p>
            <w:pPr>
              <w:pStyle w:val="TableText"/>
            </w:pPr>
            <w:r>
              <w:t xml:space="preserve">Postfix author</w:t>
            </w:r>
          </w:p>
        </w:tc>
        <w:tc>
          <w:tcPr>
            <w:tcW w:w="1560" w:type="dxa"/>
          </w:tcPr>
          <w:p>
            <w:pPr>
              <w:pStyle w:val="TableText"/>
            </w:pPr>
            <w:r>
              <w:t xml:space="preserve">ESF-SMTP (whitepaper 9) cannot exist without MTA authors finding it acceptable</w:t>
            </w:r>
          </w:p>
        </w:tc>
        <w:tc>
          <w:tcPr>
            <w:tcW w:w="1560" w:type="dxa"/>
          </w:tcPr>
          <w:p>
            <w:pPr>
              <w:pStyle w:val="TableText"/>
            </w:pPr>
            <w:r>
              <w:t xml:space="preserve">Envelope-level work belongs nowhere near the SMTP path</w:t>
            </w:r>
          </w:p>
        </w:tc>
        <w:tc>
          <w:tcPr>
            <w:tcW w:w="1560" w:type="dxa"/>
          </w:tcPr>
          <w:p>
            <w:pPr>
              <w:pStyle w:val="TableText"/>
            </w:pPr>
            <w:r>
              <w:t xml:space="preserve">Protocol critic</w:t>
            </w:r>
          </w:p>
        </w:tc>
        <w:tc>
          <w:tcPr>
            <w:tcW w:w="1560" w:type="dxa"/>
          </w:tcPr>
          <w:p>
            <w:pPr>
              <w:pStyle w:val="TableText"/>
            </w:pPr>
            <w:r>
              <w:t xml:space="preserve">Postfix mailing list</w:t>
            </w:r>
          </w:p>
        </w:tc>
      </w:tr>
      <w:tr>
        <w:tc>
          <w:tcPr>
            <w:tcW w:w="1560" w:type="dxa"/>
          </w:tcPr>
          <w:p>
            <w:pPr>
              <w:pStyle w:val="TableText"/>
            </w:pPr>
            <w:r>
              <w:rPr>
                <w:b/>
              </w:rPr>
              <w:t xml:space="preserve">Stalwart, mailcow and comparable modern stacks</w:t>
            </w:r>
          </w:p>
        </w:tc>
        <w:tc>
          <w:tcPr>
            <w:tcW w:w="1560" w:type="dxa"/>
          </w:tcPr>
          <w:p>
            <w:pPr>
              <w:pStyle w:val="TableText"/>
            </w:pPr>
            <w:r>
              <w:t xml:space="preserve">Actively developed mail servers with room for new checks</w:t>
            </w:r>
          </w:p>
        </w:tc>
        <w:tc>
          <w:tcPr>
            <w:tcW w:w="1560" w:type="dxa"/>
          </w:tcPr>
          <w:p>
            <w:pPr>
              <w:pStyle w:val="TableText"/>
            </w:pPr>
            <w:r>
              <w:t xml:space="preserve">Small, fast-moving projects are the realistic first server-side implementers</w:t>
            </w:r>
          </w:p>
        </w:tc>
        <w:tc>
          <w:tcPr>
            <w:tcW w:w="1560" w:type="dxa"/>
          </w:tcPr>
          <w:p>
            <w:pPr>
              <w:pStyle w:val="TableText"/>
            </w:pPr>
            <w:r>
              <w:t xml:space="preserve">Maintenance burden for an unadopted protocol</w:t>
            </w:r>
          </w:p>
        </w:tc>
        <w:tc>
          <w:tcPr>
            <w:tcW w:w="1560" w:type="dxa"/>
          </w:tcPr>
          <w:p>
            <w:pPr>
              <w:pStyle w:val="TableText"/>
            </w:pPr>
            <w:r>
              <w:t xml:space="preserve">Independent implementers</w:t>
            </w:r>
          </w:p>
        </w:tc>
        <w:tc>
          <w:tcPr>
            <w:tcW w:w="1560" w:type="dxa"/>
          </w:tcPr>
          <w:p>
            <w:pPr>
              <w:pStyle w:val="TableText"/>
            </w:pPr>
            <w:r>
              <w:t xml:space="preserve">Project issue trackers</w:t>
            </w:r>
          </w:p>
        </w:tc>
      </w:tr>
      <w:tr>
        <w:tc>
          <w:tcPr>
            <w:tcW w:w="1560" w:type="dxa"/>
          </w:tcPr>
          <w:p>
            <w:pPr>
              <w:pStyle w:val="TableText"/>
            </w:pPr>
            <w:r>
              <w:rPr>
                <w:b/>
              </w:rPr>
              <w:t xml:space="preserve">Xe Iaso</w:t>
            </w:r>
            <w:r>
              <w:t xml:space="preserve"> / Anubis (https://en.wikipedia.org/wiki/Anubis_(software))</w:t>
            </w:r>
          </w:p>
        </w:tc>
        <w:tc>
          <w:tcPr>
            <w:tcW w:w="1560" w:type="dxa"/>
          </w:tcPr>
          <w:p>
            <w:pPr>
              <w:pStyle w:val="TableText"/>
            </w:pPr>
            <w:r>
              <w:t xml:space="preserve">Author of the SHA-256 proof-of-work gate now deployed across FOSS infrastructure (GNOME, FFmpeg, Wine, kernel archives)</w:t>
            </w:r>
          </w:p>
        </w:tc>
        <w:tc>
          <w:tcPr>
            <w:tcW w:w="1560" w:type="dxa"/>
          </w:tcPr>
          <w:p>
            <w:pPr>
              <w:pStyle w:val="TableText"/>
            </w:pPr>
            <w:r>
              <w:t xml:space="preserve">The strongest current evidence that PoW gating is operationally acceptable </w:t>
            </w:r>
            <w:r>
              <w:rPr>
                <w:i/>
              </w:rPr>
              <w:t xml:space="preserve">today</w:t>
            </w:r>
            <w:r>
              <w:t xml:space="preserve">, plus hard-won lessons about legitimate-client fallout</w:t>
            </w:r>
          </w:p>
        </w:tc>
        <w:tc>
          <w:tcPr>
            <w:tcW w:w="1560" w:type="dxa"/>
          </w:tcPr>
          <w:p>
            <w:pPr>
              <w:pStyle w:val="TableText"/>
            </w:pPr>
            <w:r>
              <w:t xml:space="preserve">Client diversity and accessibility fallout; PoW as an arms race</w:t>
            </w:r>
          </w:p>
        </w:tc>
        <w:tc>
          <w:tcPr>
            <w:tcW w:w="1560" w:type="dxa"/>
          </w:tcPr>
          <w:p>
            <w:pPr>
              <w:pStyle w:val="TableText"/>
            </w:pPr>
            <w:r>
              <w:rPr>
                <w:b/>
              </w:rPr>
              <w:t xml:space="preserve">Reviewer, amplifier</w:t>
            </w:r>
          </w:p>
        </w:tc>
        <w:tc>
          <w:tcPr>
            <w:tcW w:w="1560" w:type="dxa"/>
          </w:tcPr>
          <w:p>
            <w:pPr>
              <w:pStyle w:val="TableText"/>
            </w:pPr>
            <w:r>
              <w:t xml:space="preserve">Public project channels</w:t>
            </w:r>
          </w:p>
        </w:tc>
      </w:tr>
      <w:tr>
        <w:tc>
          <w:tcPr>
            <w:tcW w:w="1560" w:type="dxa"/>
          </w:tcPr>
          <w:p>
            <w:pPr>
              <w:pStyle w:val="TableText"/>
            </w:pPr>
            <w:r>
              <w:rPr>
                <w:b/>
              </w:rPr>
              <w:t xml:space="preserve">Aravinth Manivannan</w:t>
            </w:r>
            <w:r>
              <w:t xml:space="preserve"> / mCaptcha</w:t>
            </w:r>
          </w:p>
        </w:tc>
        <w:tc>
          <w:tcPr>
            <w:tcW w:w="1560" w:type="dxa"/>
          </w:tcPr>
          <w:p>
            <w:pPr>
              <w:pStyle w:val="TableText"/>
            </w:pPr>
            <w:r>
              <w:t xml:space="preserve">Load-adaptive proof-of-work difficulty</w:t>
            </w:r>
          </w:p>
        </w:tc>
        <w:tc>
          <w:tcPr>
            <w:tcW w:w="1560" w:type="dxa"/>
          </w:tcPr>
          <w:p>
            <w:pPr>
              <w:pStyle w:val="TableText"/>
            </w:pPr>
            <w:r>
              <w:t xml:space="preserve">Difficulty as a function of current load is a policy model ESF's </w:t>
            </w:r>
            <w:r>
              <w:rPr>
                <w:rFonts w:ascii="Consolas" w:hAnsi="Consolas"/>
                <w:sz w:val="18"/>
              </w:rPr>
              <w:t xml:space="preserve">policy.js</w:t>
            </w:r>
            <w:r>
              <w:t xml:space="preserve"> seam could adopt for receivers under attack</w:t>
            </w:r>
          </w:p>
        </w:tc>
        <w:tc>
          <w:tcPr>
            <w:tcW w:w="1560" w:type="dxa"/>
          </w:tcPr>
          <w:p>
            <w:pPr>
              <w:pStyle w:val="TableText"/>
            </w:pPr>
            <w:r>
              <w:t xml:space="preserve">Fixed difficulty is the wrong control</w:t>
            </w:r>
          </w:p>
        </w:tc>
        <w:tc>
          <w:tcPr>
            <w:tcW w:w="1560" w:type="dxa"/>
          </w:tcPr>
          <w:p>
            <w:pPr>
              <w:pStyle w:val="TableText"/>
            </w:pPr>
            <w:r>
              <w:t xml:space="preserve">Contributor, reviewer</w:t>
            </w:r>
          </w:p>
        </w:tc>
        <w:tc>
          <w:tcPr>
            <w:tcW w:w="1560" w:type="dxa"/>
          </w:tcPr>
          <w:p>
            <w:pPr>
              <w:pStyle w:val="TableText"/>
            </w:pPr>
            <w:r>
              <w:t xml:space="preserve">Project repository</w:t>
            </w:r>
          </w:p>
        </w:tc>
      </w:tr>
      <w:tr>
        <w:tc>
          <w:tcPr>
            <w:tcW w:w="1560" w:type="dxa"/>
          </w:tcPr>
          <w:p>
            <w:pPr>
              <w:pStyle w:val="TableText"/>
            </w:pPr>
            <w:r>
              <w:rPr>
                <w:b/>
              </w:rPr>
              <w:t xml:space="preserve">Thunderbird add-on reviewers</w:t>
            </w:r>
            <w:r>
              <w:t xml:space="preserve">; </w:t>
            </w:r>
            <w:r>
              <w:rPr>
                <w:b/>
              </w:rPr>
              <w:t xml:space="preserve">Betterbird</w:t>
            </w:r>
          </w:p>
        </w:tc>
        <w:tc>
          <w:tcPr>
            <w:tcW w:w="1560" w:type="dxa"/>
          </w:tcPr>
          <w:p>
            <w:pPr>
              <w:pStyle w:val="TableText"/>
            </w:pPr>
            <w:r>
              <w:t xml:space="preserve">Gatekeepers and close observers of the client platform — the same platform on which bug 229686 was argued and closed WONTFIX</w:t>
            </w:r>
          </w:p>
        </w:tc>
        <w:tc>
          <w:tcPr>
            <w:tcW w:w="1560" w:type="dxa"/>
          </w:tcPr>
          <w:p>
            <w:pPr>
              <w:pStyle w:val="TableText"/>
            </w:pPr>
            <w:r>
              <w:t xml:space="preserve">Stage 4 passes through them; they see what breaks for real users</w:t>
            </w:r>
          </w:p>
        </w:tc>
        <w:tc>
          <w:tcPr>
            <w:tcW w:w="1560" w:type="dxa"/>
          </w:tcPr>
          <w:p>
            <w:pPr>
              <w:pStyle w:val="TableText"/>
            </w:pPr>
            <w:r>
              <w:t xml:space="preserve">Send-path add-ons are risky; UI clutter</w:t>
            </w:r>
          </w:p>
        </w:tc>
        <w:tc>
          <w:tcPr>
            <w:tcW w:w="1560" w:type="dxa"/>
          </w:tcPr>
          <w:p>
            <w:pPr>
              <w:pStyle w:val="TableText"/>
            </w:pPr>
            <w:r>
              <w:t xml:space="preserve">Reviewers</w:t>
            </w:r>
          </w:p>
        </w:tc>
        <w:tc>
          <w:tcPr>
            <w:tcW w:w="1560" w:type="dxa"/>
          </w:tcPr>
          <w:p>
            <w:pPr>
              <w:pStyle w:val="TableText"/>
            </w:pPr>
            <w:r>
              <w:t xml:space="preserve">Add-on review process / project channels</w:t>
            </w:r>
          </w:p>
        </w:tc>
      </w:tr>
      <w:tr>
        <w:tc>
          <w:tcPr>
            <w:tcW w:w="1560" w:type="dxa"/>
          </w:tcPr>
          <w:p>
            <w:pPr>
              <w:pStyle w:val="TableText"/>
            </w:pPr>
            <w:r>
              <w:rPr>
                <w:b/>
              </w:rPr>
              <w:t xml:space="preserve">Mailop</w:t>
            </w:r>
            <w:r>
              <w:t xml:space="preserve">, </w:t>
            </w:r>
            <w:r>
              <w:rPr>
                <w:b/>
              </w:rPr>
              <w:t xml:space="preserve">M³AAWG</w:t>
            </w:r>
          </w:p>
        </w:tc>
        <w:tc>
          <w:tcPr>
            <w:tcW w:w="1560" w:type="dxa"/>
          </w:tcPr>
          <w:p>
            <w:pPr>
              <w:pStyle w:val="TableText"/>
            </w:pPr>
            <w:r>
              <w:t xml:space="preserve">Operator and anti-abuse communities</w:t>
            </w:r>
          </w:p>
        </w:tc>
        <w:tc>
          <w:tcPr>
            <w:tcW w:w="1560" w:type="dxa"/>
          </w:tcPr>
          <w:p>
            <w:pPr>
              <w:pStyle w:val="TableText"/>
            </w:pPr>
            <w:r>
              <w:t xml:space="preserve">The audience that decides whether a signal is worth acting on</w:t>
            </w:r>
          </w:p>
        </w:tc>
        <w:tc>
          <w:tcPr>
            <w:tcW w:w="1560" w:type="dxa"/>
          </w:tcPr>
          <w:p>
            <w:pPr>
              <w:pStyle w:val="TableText"/>
            </w:pPr>
            <w:r>
              <w:t xml:space="preserve">"Another header we have to ignore"; forwarding and list breakage</w:t>
            </w:r>
          </w:p>
        </w:tc>
        <w:tc>
          <w:tcPr>
            <w:tcW w:w="1560" w:type="dxa"/>
          </w:tcPr>
          <w:p>
            <w:pPr>
              <w:pStyle w:val="TableText"/>
            </w:pPr>
            <w:r>
              <w:t xml:space="preserve">Reviewers, </w:t>
            </w:r>
            <w:r>
              <w:rPr>
                <w:b/>
              </w:rPr>
              <w:t xml:space="preserve">amplifiers</w:t>
            </w:r>
          </w:p>
        </w:tc>
        <w:tc>
          <w:tcPr>
            <w:tcW w:w="1560" w:type="dxa"/>
          </w:tcPr>
          <w:p>
            <w:pPr>
              <w:pStyle w:val="TableText"/>
            </w:pPr>
            <w:r>
              <w:t xml:space="preserve">Community mailing lists / membership process</w:t>
            </w:r>
          </w:p>
        </w:tc>
      </w:tr>
    </w:tbl>
    <w:p>
      <w:pPr>
        <w:pStyle w:val="Spacer"/>
      </w:pPr>
    </w:p>
    <w:p>
      <w:pPr>
        <w:pStyle w:val="BodyText"/>
      </w:pPr>
      <w:r>
        <w:t xml:space="preserve">The table lists work that is on the public record and the channel </w:t>
      </w:r>
      <w:r>
        <w:rPr>
          <w:i/>
        </w:rPr>
        <w:t xml:space="preserve">kind</w:t>
      </w:r>
      <w:r>
        <w:t xml:space="preserve"> through which each project or author</w:t>
      </w:r>
    </w:p>
    <w:p>
      <w:pPr>
        <w:pStyle w:val="BodyText"/>
      </w:pPr>
      <w:r>
        <w:t xml:space="preserve">publishes. It records no contact details, and </w:t>
      </w:r>
      <w:r>
        <w:rPr>
          <w:b/>
        </w:rPr>
        <w:t xml:space="preserve">nobody in it has been contacted</w:t>
      </w:r>
      <w:r>
        <w:t xml:space="preserve">: this stage has not begun.</w:t>
      </w:r>
    </w:p>
    <w:p>
      <w:pPr>
        <w:pStyle w:val="Heading2"/>
      </w:pPr>
      <w:r>
        <w:t xml:space="preserve">Rules for this stage</w:t>
      </w:r>
    </w:p>
    <w:p>
      <w:pPr>
        <w:pStyle w:val="ListBullet"/>
      </w:pPr>
      <w:r>
        <w:t xml:space="preserve">• One message, technically specific, naming the objection the recipient is most likely to raise </w:t>
      </w:r>
      <w:r>
        <w:rPr>
          <w:b/>
        </w:rPr>
        <w:t xml:space="preserve">before</w:t>
      </w:r>
      <w:r>
        <w:t xml:space="preserve"> they raise</w:t>
      </w:r>
    </w:p>
    <w:p>
      <w:pPr>
        <w:pStyle w:val="BodyText"/>
      </w:pPr>
      <w:r>
        <w:t xml:space="preserve">it. No follow-up campaign.</w:t>
      </w:r>
    </w:p>
    <w:p>
      <w:pPr>
        <w:pStyle w:val="ListBullet"/>
      </w:pPr>
      <w:r>
        <w:t xml:space="preserve">• Every serious objection is recorded in the repository with its status: accepted, mitigated, disputed with reasons,</w:t>
      </w:r>
    </w:p>
    <w:p>
      <w:pPr>
        <w:pStyle w:val="BodyText"/>
      </w:pPr>
      <w:r>
        <w:t xml:space="preserve">or open. An objection list nobody can read is not review.</w:t>
      </w:r>
    </w:p>
    <w:p>
      <w:pPr>
        <w:pStyle w:val="ListBullet"/>
      </w:pPr>
      <w:r>
        <w:t xml:space="preserve">• Criticism that invalidates a design choice changes the design. If Stage 6 produces no change anywhere, it was</w:t>
      </w:r>
    </w:p>
    <w:p>
      <w:pPr>
        <w:pStyle w:val="BodyText"/>
      </w:pPr>
      <w:r>
        <w:t xml:space="preserve">performed as marketing and must be repeated properly.</w:t>
      </w:r>
    </w:p>
    <w:p>
      <w:pPr>
        <w:pStyle w:val="BodyText"/>
      </w:pPr>
      <w:r>
        <w:t xml:space="preserve">Exit criteria:</w:t>
      </w:r>
    </w:p>
    <w:p>
      <w:pPr>
        <w:pStyle w:val="Code"/>
      </w:pPr>
      <w:r>
        <w:rPr>
          <w:rFonts w:ascii="Consolas" w:hAnsi="Consolas"/>
          <w:sz w:val="18"/>
        </w:rPr>
        <w:t xml:space="preserve">Substantive technical responses received from more than one independent reviewer</w:t>
      </w:r>
    </w:p>
    <w:p>
      <w:pPr>
        <w:pStyle w:val="Code"/>
      </w:pPr>
      <w:r>
        <w:rPr>
          <w:rFonts w:ascii="Consolas" w:hAnsi="Consolas"/>
          <w:sz w:val="18"/>
        </w:rPr>
        <w:t xml:space="preserve">AND every objection recorded with a status</w:t>
      </w:r>
    </w:p>
    <w:p>
      <w:pPr>
        <w:pStyle w:val="Code"/>
      </w:pPr>
      <w:r>
        <w:rPr>
          <w:rFonts w:ascii="Consolas" w:hAnsi="Consolas"/>
          <w:sz w:val="18"/>
        </w:rPr>
        <w:t xml:space="preserve">AND at least one design decision changed, or explicitly defended in writing</w:t>
      </w:r>
    </w:p>
    <w:p>
      <w:pPr>
        <w:pStyle w:val="Divider"/>
      </w:pPr>
    </w:p>
    <w:p>
      <w:pPr>
        <w:pStyle w:val="Heading1"/>
      </w:pPr>
      <w:r>
        <w:t xml:space="preserve">Stage 7 — Independent implementations</w:t>
      </w:r>
    </w:p>
    <w:p>
      <w:pPr>
        <w:pStyle w:val="BodyText"/>
      </w:pPr>
      <w:r>
        <w:rPr>
          <w:b/>
        </w:rPr>
        <w:t xml:space="preserve">Prerequisite:</w:t>
      </w:r>
      <w:r>
        <w:t xml:space="preserve"> Stage 3 (adoptable package), reinforced by Stage 6 (people who might build one).</w:t>
      </w:r>
    </w:p>
    <w:p>
      <w:pPr>
        <w:pStyle w:val="BodyText"/>
      </w:pPr>
      <w:r>
        <w:t xml:space="preserve">A protocol only one project can implement is a product. Targets, in rough order of usefulness to adoption: a</w:t>
      </w:r>
    </w:p>
    <w:p>
      <w:pPr>
        <w:pStyle w:val="BodyText"/>
      </w:pPr>
      <w:r>
        <w:t xml:space="preserve">server-side verifier in the language of a filter ecosystem (Lua, C, Rust, Go), then library implementations (Python,</w:t>
      </w:r>
    </w:p>
    <w:p>
      <w:pPr>
        <w:pStyle w:val="BodyText"/>
      </w:pPr>
      <w:r>
        <w:t xml:space="preserve">Rust, Go, Java) for gateways and webmail.</w:t>
      </w:r>
    </w:p>
    <w:p>
      <w:pPr>
        <w:pStyle w:val="BodyText"/>
      </w:pPr>
      <w:r>
        <w:t xml:space="preserve">Exit criteria:</w:t>
      </w:r>
    </w:p>
    <w:p>
      <w:pPr>
        <w:pStyle w:val="Code"/>
      </w:pPr>
      <w:r>
        <w:rPr>
          <w:rFonts w:ascii="Consolas" w:hAnsi="Consolas"/>
          <w:sz w:val="18"/>
        </w:rPr>
        <w:t xml:space="preserve">At least one implementation written by people unconnected to this project</w:t>
      </w:r>
    </w:p>
    <w:p>
      <w:pPr>
        <w:pStyle w:val="Code"/>
      </w:pPr>
      <w:r>
        <w:rPr>
          <w:rFonts w:ascii="Consolas" w:hAnsi="Consolas"/>
          <w:sz w:val="18"/>
        </w:rPr>
        <w:t xml:space="preserve">passes the published vectors</w:t>
      </w:r>
    </w:p>
    <w:p>
      <w:pPr>
        <w:pStyle w:val="Code"/>
      </w:pPr>
      <w:r>
        <w:rPr>
          <w:rFonts w:ascii="Consolas" w:hAnsi="Consolas"/>
          <w:sz w:val="18"/>
        </w:rPr>
        <w:t xml:space="preserve">AND interoperates in both directions with the reference clients</w:t>
      </w:r>
    </w:p>
    <w:p>
      <w:pPr>
        <w:pStyle w:val="Code"/>
      </w:pPr>
      <w:r>
        <w:rPr>
          <w:rFonts w:ascii="Consolas" w:hAnsi="Consolas"/>
          <w:sz w:val="18"/>
        </w:rPr>
        <w:t xml:space="preserve">AND its author reports at least one specification ambiguity  ← this is the real deliverable</w:t>
      </w:r>
    </w:p>
    <w:p>
      <w:pPr>
        <w:pStyle w:val="BodyText"/>
      </w:pPr>
      <w:r>
        <w:t xml:space="preserve">The ambiguity report is the point. A specification that produces no questions on first external use has probably not</w:t>
      </w:r>
    </w:p>
    <w:p>
      <w:pPr>
        <w:pStyle w:val="BodyText"/>
      </w:pPr>
      <w:r>
        <w:t xml:space="preserve">been used.</w:t>
      </w:r>
    </w:p>
    <w:p>
      <w:pPr>
        <w:pStyle w:val="Divider"/>
      </w:pPr>
    </w:p>
    <w:p>
      <w:pPr>
        <w:pStyle w:val="Heading1"/>
      </w:pPr>
      <w:r>
        <w:t xml:space="preserve">Stage 8 — Independent security review</w:t>
      </w:r>
    </w:p>
    <w:p>
      <w:pPr>
        <w:pStyle w:val="BodyText"/>
      </w:pPr>
      <w:r>
        <w:rPr>
          <w:b/>
        </w:rPr>
        <w:t xml:space="preserve">Prerequisite:</w:t>
      </w:r>
      <w:r>
        <w:t xml:space="preserve"> Stage 2 (a specification to review) and Stage 5 (a server-side attack surface to review). Runs in</w:t>
      </w:r>
    </w:p>
    <w:p>
      <w:pPr>
        <w:pStyle w:val="BodyText"/>
      </w:pPr>
      <w:r>
        <w:t xml:space="preserve">parallel with Stage 7.</w:t>
      </w:r>
    </w:p>
    <w:p>
      <w:pPr>
        <w:pStyle w:val="BodyText"/>
      </w:pPr>
      <w:r>
        <w:t xml:space="preserve">Scope, stated as the questions the review must answer rather than as areas:</w:t>
      </w:r>
    </w:p>
    <w:tbl>
      <w:tblPr>
        <w:tblStyle w:val="TableGrid"/>
        <w:tblW w:w="5000" w:type="pct"/>
        <w:tblBorders>
          <w:top w:val="single" w:sz="4" w:space="0" w:color="D0D4DA"/>
          <w:left w:val="single" w:sz="4" w:space="0" w:color="D0D4DA"/>
          <w:bottom w:val="single" w:sz="4" w:space="0" w:color="D0D4DA"/>
          <w:right w:val="single" w:sz="4" w:space="0" w:color="D0D4DA"/>
          <w:insideH w:val="single" w:sz="4" w:space="0" w:color="D0D4DA"/>
          <w:insideV w:val="single" w:sz="4" w:space="0" w:color="D0D4DA"/>
        </w:tblBorders>
      </w:tblPr>
      <w:tblGrid>
        <w:gridCol w:w="4680"/>
        <w:gridCol w:w="4680"/>
      </w:tblGrid>
      <w:tr>
        <w:tc>
          <w:tcPr>
            <w:tcW w:w="4680" w:type="dxa"/>
            <w:shd w:val="clear" w:fill="F1F3F6"/>
          </w:tcPr>
          <w:p>
            <w:pPr>
              <w:pStyle w:val="TableText"/>
            </w:pPr>
            <w:r>
              <w:rPr>
                <w:b/>
              </w:rPr>
              <w:t xml:space="preserve">Area</w:t>
            </w:r>
          </w:p>
        </w:tc>
        <w:tc>
          <w:tcPr>
            <w:tcW w:w="4680" w:type="dxa"/>
            <w:shd w:val="clear" w:fill="F1F3F6"/>
          </w:tcPr>
          <w:p>
            <w:pPr>
              <w:pStyle w:val="TableText"/>
            </w:pPr>
            <w:r>
              <w:rPr>
                <w:b/>
              </w:rPr>
              <w:t xml:space="preserve">The question</w:t>
            </w:r>
          </w:p>
        </w:tc>
      </w:tr>
      <w:tr>
        <w:tc>
          <w:tcPr>
            <w:tcW w:w="4680" w:type="dxa"/>
          </w:tcPr>
          <w:p>
            <w:pPr>
              <w:pStyle w:val="TableText"/>
            </w:pPr>
            <w:r>
              <w:t xml:space="preserve">Replay</w:t>
            </w:r>
          </w:p>
        </w:tc>
        <w:tc>
          <w:tcPr>
            <w:tcW w:w="4680" w:type="dxa"/>
          </w:tcPr>
          <w:p>
            <w:pPr>
              <w:pStyle w:val="TableText"/>
            </w:pPr>
            <w:r>
              <w:t xml:space="preserve">Can one stamp gain credit twice anywhere in the ecosystem — across folders, devices, users, or domains?</w:t>
            </w:r>
          </w:p>
        </w:tc>
      </w:tr>
      <w:tr>
        <w:tc>
          <w:tcPr>
            <w:tcW w:w="4680" w:type="dxa"/>
          </w:tcPr>
          <w:p>
            <w:pPr>
              <w:pStyle w:val="TableText"/>
            </w:pPr>
            <w:r>
              <w:t xml:space="preserve">Proof reuse / stockpiling</w:t>
            </w:r>
          </w:p>
        </w:tc>
        <w:tc>
          <w:tcPr>
            <w:tcW w:w="4680" w:type="dxa"/>
          </w:tcPr>
          <w:p>
            <w:pPr>
              <w:pStyle w:val="TableText"/>
            </w:pPr>
            <w:r>
              <w:t xml:space="preserve">Does contemporaneity (6.7a) actually bind work to a message when the reference timestamp is missing or forged?</w:t>
            </w:r>
          </w:p>
        </w:tc>
      </w:tr>
      <w:tr>
        <w:tc>
          <w:tcPr>
            <w:tcW w:w="4680" w:type="dxa"/>
          </w:tcPr>
          <w:p>
            <w:pPr>
              <w:pStyle w:val="TableText"/>
            </w:pPr>
            <w:r>
              <w:t xml:space="preserve">Recipient substitution</w:t>
            </w:r>
          </w:p>
        </w:tc>
        <w:tc>
          <w:tcPr>
            <w:tcW w:w="4680" w:type="dxa"/>
          </w:tcPr>
          <w:p>
            <w:pPr>
              <w:pStyle w:val="TableText"/>
            </w:pPr>
            <w:r>
              <w:t xml:space="preserve">Can a stamp for one mailbox be made to verify for another, including aliases and plus-addressing?</w:t>
            </w:r>
          </w:p>
        </w:tc>
      </w:tr>
      <w:tr>
        <w:tc>
          <w:tcPr>
            <w:tcW w:w="4680" w:type="dxa"/>
          </w:tcPr>
          <w:p>
            <w:pPr>
              <w:pStyle w:val="TableText"/>
            </w:pPr>
            <w:r>
              <w:t xml:space="preserve">Forwarding and mailing lists</w:t>
            </w:r>
          </w:p>
        </w:tc>
        <w:tc>
          <w:tcPr>
            <w:tcW w:w="4680" w:type="dxa"/>
          </w:tcPr>
          <w:p>
            <w:pPr>
              <w:pStyle w:val="TableText"/>
            </w:pPr>
            <w:r>
              <w:t xml:space="preserve">What happens to a valid stamp through a forwarder, a list expander and a re-writer — and is the resulting state honest?</w:t>
            </w:r>
          </w:p>
        </w:tc>
      </w:tr>
      <w:tr>
        <w:tc>
          <w:tcPr>
            <w:tcW w:w="4680" w:type="dxa"/>
          </w:tcPr>
          <w:p>
            <w:pPr>
              <w:pStyle w:val="TableText"/>
            </w:pPr>
            <w:r>
              <w:t xml:space="preserve">Bcc</w:t>
            </w:r>
          </w:p>
        </w:tc>
        <w:tc>
          <w:tcPr>
            <w:tcW w:w="4680" w:type="dxa"/>
          </w:tcPr>
          <w:p>
            <w:pPr>
              <w:pStyle w:val="TableText"/>
            </w:pPr>
            <w:r>
              <w:t xml:space="preserve">Does </w:t>
            </w:r>
            <w:r>
              <w:rPr>
                <w:rFonts w:ascii="Consolas" w:hAnsi="Consolas"/>
                <w:sz w:val="18"/>
              </w:rPr>
              <w:t xml:space="preserve">token</w:t>
            </w:r>
            <w:r>
              <w:t xml:space="preserve"> mode leak more than the whitepaper claims, given a realistic guess list?</w:t>
            </w:r>
          </w:p>
        </w:tc>
      </w:tr>
      <w:tr>
        <w:tc>
          <w:tcPr>
            <w:tcW w:w="4680" w:type="dxa"/>
          </w:tcPr>
          <w:p>
            <w:pPr>
              <w:pStyle w:val="TableText"/>
            </w:pPr>
            <w:r>
              <w:t xml:space="preserve">Algorithm downgrade</w:t>
            </w:r>
          </w:p>
        </w:tc>
        <w:tc>
          <w:tcPr>
            <w:tcW w:w="4680" w:type="dxa"/>
          </w:tcPr>
          <w:p>
            <w:pPr>
              <w:pStyle w:val="TableText"/>
            </w:pPr>
            <w:r>
              <w:t xml:space="preserve">Can a sender force a weaker or unimplemented profile into a favourable outcome?</w:t>
            </w:r>
          </w:p>
        </w:tc>
      </w:tr>
      <w:tr>
        <w:tc>
          <w:tcPr>
            <w:tcW w:w="4680" w:type="dxa"/>
          </w:tcPr>
          <w:p>
            <w:pPr>
              <w:pStyle w:val="TableText"/>
            </w:pPr>
            <w:r>
              <w:t xml:space="preserve">Difficulty</w:t>
            </w:r>
          </w:p>
        </w:tc>
        <w:tc>
          <w:tcPr>
            <w:tcW w:w="4680" w:type="dxa"/>
          </w:tcPr>
          <w:p>
            <w:pPr>
              <w:pStyle w:val="TableText"/>
            </w:pPr>
            <w:r>
              <w:t xml:space="preserve">Can a declared value cause a verifier to spend unbounded work, memory or storage?</w:t>
            </w:r>
          </w:p>
        </w:tc>
      </w:tr>
      <w:tr>
        <w:tc>
          <w:tcPr>
            <w:tcW w:w="4680" w:type="dxa"/>
          </w:tcPr>
          <w:p>
            <w:pPr>
              <w:pStyle w:val="TableText"/>
            </w:pPr>
            <w:r>
              <w:t xml:space="preserve">Verifier DoS</w:t>
            </w:r>
          </w:p>
        </w:tc>
        <w:tc>
          <w:tcPr>
            <w:tcW w:w="4680" w:type="dxa"/>
          </w:tcPr>
          <w:p>
            <w:pPr>
              <w:pStyle w:val="TableText"/>
            </w:pPr>
            <w:r>
              <w:t xml:space="preserve">What does a message stuffed with maximal stamps cost the receiver, per profile, measured?</w:t>
            </w:r>
          </w:p>
        </w:tc>
      </w:tr>
      <w:tr>
        <w:tc>
          <w:tcPr>
            <w:tcW w:w="4680" w:type="dxa"/>
          </w:tcPr>
          <w:p>
            <w:pPr>
              <w:pStyle w:val="TableText"/>
            </w:pPr>
            <w:r>
              <w:t xml:space="preserve">Privacy</w:t>
            </w:r>
          </w:p>
        </w:tc>
        <w:tc>
          <w:tcPr>
            <w:tcW w:w="4680" w:type="dxa"/>
          </w:tcPr>
          <w:p>
            <w:pPr>
              <w:pStyle w:val="TableText"/>
            </w:pPr>
            <w:r>
              <w:t xml:space="preserve">What does a stamp disclose about sender, recipients and infrastructure that the message did not already?</w:t>
            </w:r>
          </w:p>
        </w:tc>
      </w:tr>
    </w:tbl>
    <w:p>
      <w:pPr>
        <w:pStyle w:val="Spacer"/>
      </w:pPr>
    </w:p>
    <w:p>
      <w:pPr>
        <w:pStyle w:val="BodyText"/>
      </w:pPr>
      <w:r>
        <w:t xml:space="preserve">Exit criteria:</w:t>
      </w:r>
    </w:p>
    <w:p>
      <w:pPr>
        <w:pStyle w:val="Code"/>
      </w:pPr>
      <w:r>
        <w:rPr>
          <w:rFonts w:ascii="Consolas" w:hAnsi="Consolas"/>
          <w:sz w:val="18"/>
        </w:rPr>
        <w:t xml:space="preserve">An independent reviewer, not the authors, publishes findings</w:t>
      </w:r>
    </w:p>
    <w:p>
      <w:pPr>
        <w:pStyle w:val="Code"/>
      </w:pPr>
      <w:r>
        <w:rPr>
          <w:rFonts w:ascii="Consolas" w:hAnsi="Consolas"/>
          <w:sz w:val="18"/>
        </w:rPr>
        <w:t xml:space="preserve">AND every finding is fixed, mitigated, or documented as accepted with rationale</w:t>
      </w:r>
    </w:p>
    <w:p>
      <w:pPr>
        <w:pStyle w:val="Code"/>
      </w:pPr>
      <w:r>
        <w:rPr>
          <w:rFonts w:ascii="Consolas" w:hAnsi="Consolas"/>
          <w:sz w:val="18"/>
        </w:rPr>
        <w:t xml:space="preserve">AND the threat model in the whitepaper is updated to match what the review found</w:t>
      </w:r>
    </w:p>
    <w:p>
      <w:pPr>
        <w:pStyle w:val="Divider"/>
      </w:pPr>
    </w:p>
    <w:p>
      <w:pPr>
        <w:pStyle w:val="Heading1"/>
      </w:pPr>
      <w:r>
        <w:t xml:space="preserve">Stage 9 — Mail operator engagement</w:t>
      </w:r>
    </w:p>
    <w:p>
      <w:pPr>
        <w:pStyle w:val="BodyText"/>
      </w:pPr>
      <w:r>
        <w:rPr>
          <w:b/>
        </w:rPr>
        <w:t xml:space="preserve">Prerequisite:</w:t>
      </w:r>
      <w:r>
        <w:t xml:space="preserve"> Stages 5, 7 and 8. Approaching operators before there is an independent implementation and a</w:t>
      </w:r>
    </w:p>
    <w:p>
      <w:pPr>
        <w:pStyle w:val="BodyText"/>
      </w:pPr>
      <w:r>
        <w:t xml:space="preserve">security review wastes the one chance to be taken seriously.</w:t>
      </w:r>
    </w:p>
    <w:p>
      <w:pPr>
        <w:pStyle w:val="BodyText"/>
      </w:pPr>
      <w:r>
        <w:t xml:space="preserve">Purpose: operational feedback, not promotion. What breaks at scale, what an operator would need before letting an</w:t>
      </w:r>
    </w:p>
    <w:p>
      <w:pPr>
        <w:pStyle w:val="BodyText"/>
      </w:pPr>
      <w:r>
        <w:t xml:space="preserve">ESF result touch placement, and what they will refuse outright.</w:t>
      </w:r>
    </w:p>
    <w:p>
      <w:pPr>
        <w:pStyle w:val="BodyText"/>
      </w:pPr>
      <w:r>
        <w:t xml:space="preserve">Exit criteria:</w:t>
      </w:r>
    </w:p>
    <w:p>
      <w:pPr>
        <w:pStyle w:val="Code"/>
      </w:pPr>
      <w:r>
        <w:rPr>
          <w:rFonts w:ascii="Consolas" w:hAnsi="Consolas"/>
          <w:sz w:val="18"/>
        </w:rPr>
        <w:t xml:space="preserve">At least one operator states the conditions under which they would evaluate ESF in production</w:t>
      </w:r>
    </w:p>
    <w:p>
      <w:pPr>
        <w:pStyle w:val="Code"/>
      </w:pPr>
      <w:r>
        <w:rPr>
          <w:rFonts w:ascii="Consolas" w:hAnsi="Consolas"/>
          <w:sz w:val="18"/>
        </w:rPr>
        <w:t xml:space="preserve">AND those conditions are documented as protocol or implementation requirements</w:t>
      </w:r>
    </w:p>
    <w:p>
      <w:pPr>
        <w:pStyle w:val="Divider"/>
      </w:pPr>
    </w:p>
    <w:p>
      <w:pPr>
        <w:pStyle w:val="Heading1"/>
      </w:pPr>
      <w:r>
        <w:t xml:space="preserve">Stage 10 — Real-world pilots: observe → verify → measure</w:t>
      </w:r>
    </w:p>
    <w:p>
      <w:pPr>
        <w:pStyle w:val="BodyText"/>
      </w:pPr>
      <w:r>
        <w:rPr>
          <w:b/>
        </w:rPr>
        <w:t xml:space="preserve">Prerequisite:</w:t>
      </w:r>
      <w:r>
        <w:t xml:space="preserve"> Stage 9.</w:t>
      </w:r>
    </w:p>
    <w:p>
      <w:pPr>
        <w:pStyle w:val="Code"/>
      </w:pPr>
      <w:r>
        <w:rPr>
          <w:rFonts w:ascii="Consolas" w:hAnsi="Consolas"/>
          <w:sz w:val="18"/>
        </w:rPr>
        <w:t xml:space="preserve">Observe        stamps are logged, nothing changes</w:t>
      </w:r>
    </w:p>
    <w:p>
      <w:pPr>
        <w:pStyle w:val="Code"/>
      </w:pPr>
      <w:r>
        <w:rPr>
          <w:rFonts w:ascii="Consolas" w:hAnsi="Consolas"/>
          <w:sz w:val="18"/>
        </w:rPr>
        <w:t xml:space="preserve">   ↓</w:t>
      </w:r>
    </w:p>
    <w:p>
      <w:pPr>
        <w:pStyle w:val="Code"/>
      </w:pPr>
      <w:r>
        <w:rPr>
          <w:rFonts w:ascii="Consolas" w:hAnsi="Consolas"/>
          <w:sz w:val="18"/>
        </w:rPr>
        <w:t xml:space="preserve">Verify         results are computed and reported, still nothing changes</w:t>
      </w:r>
    </w:p>
    <w:p>
      <w:pPr>
        <w:pStyle w:val="Code"/>
      </w:pPr>
      <w:r>
        <w:rPr>
          <w:rFonts w:ascii="Consolas" w:hAnsi="Consolas"/>
          <w:sz w:val="18"/>
        </w:rPr>
        <w:t xml:space="preserve">   ↓</w:t>
      </w:r>
    </w:p>
    <w:p>
      <w:pPr>
        <w:pStyle w:val="Code"/>
      </w:pPr>
      <w:r>
        <w:rPr>
          <w:rFonts w:ascii="Consolas" w:hAnsi="Consolas"/>
          <w:sz w:val="18"/>
        </w:rPr>
        <w:t xml:space="preserve">Measure        correlate with the filter verdicts the operator already trusts</w:t>
      </w:r>
    </w:p>
    <w:p>
      <w:pPr>
        <w:pStyle w:val="BodyText"/>
      </w:pPr>
      <w:r>
        <w:t xml:space="preserve">Never, at this stage: reject unstamped mail. The population of stamped mail is small and self-selected; enforcement</w:t>
      </w:r>
    </w:p>
    <w:p>
      <w:pPr>
        <w:pStyle w:val="BodyText"/>
      </w:pPr>
      <w:r>
        <w:t xml:space="preserve">on that basis measures nothing and breaks delivery.</w:t>
      </w:r>
    </w:p>
    <w:p>
      <w:pPr>
        <w:pStyle w:val="BodyText"/>
      </w:pPr>
      <w:r>
        <w:t xml:space="preserve">Measure, per profile and per platform: adoption share of stamped mail; generation latency; verification latency; CPU</w:t>
      </w:r>
    </w:p>
    <w:p>
      <w:pPr>
        <w:pStyle w:val="BodyText"/>
      </w:pPr>
      <w:r>
        <w:t xml:space="preserve">and memory cost; correlation with existing spam verdicts; false positives; false negatives; delivery impact;</w:t>
      </w:r>
    </w:p>
    <w:p>
      <w:pPr>
        <w:pStyle w:val="BodyText"/>
      </w:pPr>
      <w:r>
        <w:t xml:space="preserve">legitimate-sender fallout — **the last one is the Laurie/Clayton number, and producing it is the point of the whole</w:t>
      </w:r>
    </w:p>
    <w:p>
      <w:pPr>
        <w:pStyle w:val="BodyText"/>
      </w:pPr>
      <w:r>
        <w:t xml:space="preserve">stage.**</w:t>
      </w:r>
    </w:p>
    <w:p>
      <w:pPr>
        <w:pStyle w:val="BodyText"/>
      </w:pPr>
      <w:r>
        <w:t xml:space="preserve">Data discipline: aggregate and anonymised, published as methodology plus results. **No central telemetry may become</w:t>
      </w:r>
    </w:p>
    <w:p>
      <w:pPr>
        <w:pStyle w:val="BodyText"/>
      </w:pPr>
      <w:r>
        <w:t xml:space="preserve">a protocol dependency** — a receiver must be able to verify with no network access at all, which is already true of</w:t>
      </w:r>
    </w:p>
    <w:p>
      <w:pPr>
        <w:pStyle w:val="BodyText"/>
      </w:pPr>
      <w:r>
        <w:t xml:space="preserve">the reference implementation and must stay true.</w:t>
      </w:r>
    </w:p>
    <w:p>
      <w:pPr>
        <w:pStyle w:val="BodyText"/>
      </w:pPr>
      <w:r>
        <w:t xml:space="preserve">Exit criteria:</w:t>
      </w:r>
    </w:p>
    <w:p>
      <w:pPr>
        <w:pStyle w:val="Code"/>
      </w:pPr>
      <w:r>
        <w:rPr>
          <w:rFonts w:ascii="Consolas" w:hAnsi="Consolas"/>
          <w:sz w:val="18"/>
        </w:rPr>
        <w:t xml:space="preserve">Measured, published evidence of cost asymmetry in production traffic</w:t>
      </w:r>
    </w:p>
    <w:p>
      <w:pPr>
        <w:pStyle w:val="Code"/>
      </w:pPr>
      <w:r>
        <w:rPr>
          <w:rFonts w:ascii="Consolas" w:hAnsi="Consolas"/>
          <w:sz w:val="18"/>
        </w:rPr>
        <w:t xml:space="preserve">AND a measured legitimate-sender fallout figure</w:t>
      </w:r>
    </w:p>
    <w:p>
      <w:pPr>
        <w:pStyle w:val="Code"/>
      </w:pPr>
      <w:r>
        <w:rPr>
          <w:rFonts w:ascii="Consolas" w:hAnsi="Consolas"/>
          <w:sz w:val="18"/>
        </w:rPr>
        <w:t xml:space="preserve">AND at least one operator willing to let ESF contribute to scoring</w:t>
      </w:r>
    </w:p>
    <w:p>
      <w:pPr>
        <w:pStyle w:val="BodyText"/>
      </w:pPr>
      <w:r>
        <w:rPr>
          <w:b/>
        </w:rPr>
        <w:t xml:space="preserve">This is the stage that can end the project honestly.</w:t>
      </w:r>
      <w:r>
        <w:t xml:space="preserve"> If pilots show that stamped mail correlates with nothing</w:t>
      </w:r>
    </w:p>
    <w:p>
      <w:pPr>
        <w:pStyle w:val="BodyText"/>
      </w:pPr>
      <w:r>
        <w:t xml:space="preserve">useful, or that fallout matches the 2004 prediction, that is the answer and it should be published as such.</w:t>
      </w:r>
    </w:p>
    <w:p>
      <w:pPr>
        <w:pStyle w:val="Divider"/>
      </w:pPr>
    </w:p>
    <w:p>
      <w:pPr>
        <w:pStyle w:val="Heading1"/>
      </w:pPr>
      <w:r>
        <w:t xml:space="preserve">Stage 11 — Normative specification and Internet-Draft</w:t>
      </w:r>
    </w:p>
    <w:p>
      <w:pPr>
        <w:pStyle w:val="BodyText"/>
      </w:pPr>
      <w:r>
        <w:rPr>
          <w:b/>
        </w:rPr>
        <w:t xml:space="preserve">Prerequisite:</w:t>
      </w:r>
      <w:r>
        <w:t xml:space="preserve"> Stage 10. Standardising before deployment evidence exists inverts the order that makes standards</w:t>
      </w:r>
    </w:p>
    <w:p>
      <w:pPr>
        <w:pStyle w:val="BodyText"/>
      </w:pPr>
      <w:r>
        <w:t xml:space="preserve">useful.</w:t>
      </w:r>
    </w:p>
    <w:p>
      <w:pPr>
        <w:pStyle w:val="BodyText"/>
      </w:pPr>
      <w:r>
        <w:t xml:space="preserve">Work: an Internet-Draft for the ESF-Stamp header field in BCP 14 language, derived from the Stage 2 specification and</w:t>
      </w:r>
    </w:p>
    <w:p>
      <w:pPr>
        <w:pStyle w:val="BodyText"/>
      </w:pPr>
      <w:r>
        <w:t xml:space="preserve">corrected by Stages 7, 8 and 10; a work-profile registry with explicit parameter semantics and a retirement process;</w:t>
      </w:r>
    </w:p>
    <w:p>
      <w:pPr>
        <w:pStyle w:val="BodyText"/>
      </w:pPr>
      <w:r>
        <w:t xml:space="preserve">separate operational guidance for difficulty policy, allowlists, mailing lists, forwarding and constrained devices.</w:t>
      </w:r>
    </w:p>
    <w:p>
      <w:pPr>
        <w:pStyle w:val="BodyText"/>
      </w:pPr>
      <w:r>
        <w:t xml:space="preserve">Exit criteria:</w:t>
      </w:r>
    </w:p>
    <w:p>
      <w:pPr>
        <w:pStyle w:val="Code"/>
      </w:pPr>
      <w:r>
        <w:rPr>
          <w:rFonts w:ascii="Consolas" w:hAnsi="Consolas"/>
          <w:sz w:val="18"/>
        </w:rPr>
        <w:t xml:space="preserve">A draft exists that an implementer prefers over this repository's documentation</w:t>
      </w:r>
    </w:p>
    <w:p>
      <w:pPr>
        <w:pStyle w:val="Code"/>
      </w:pPr>
      <w:r>
        <w:rPr>
          <w:rFonts w:ascii="Consolas" w:hAnsi="Consolas"/>
          <w:sz w:val="18"/>
        </w:rPr>
        <w:t xml:space="preserve">AND it is submitted for independent review in the relevant IETF venue</w:t>
      </w:r>
    </w:p>
    <w:p>
      <w:pPr>
        <w:pStyle w:val="Code"/>
      </w:pPr>
      <w:r>
        <w:rPr>
          <w:rFonts w:ascii="Consolas" w:hAnsi="Consolas"/>
          <w:sz w:val="18"/>
        </w:rPr>
        <w:t xml:space="preserve">AND every deviation of the reference implementations from the draft is a filed issue</w:t>
      </w:r>
    </w:p>
    <w:p>
      <w:pPr>
        <w:pStyle w:val="Divider"/>
      </w:pPr>
    </w:p>
    <w:p>
      <w:pPr>
        <w:pStyle w:val="Heading1"/>
      </w:pPr>
      <w:r>
        <w:t xml:space="preserve">Stage 12 — Registration, provider adoption, ESF-SMTP</w:t>
      </w:r>
    </w:p>
    <w:p>
      <w:pPr>
        <w:pStyle w:val="BodyText"/>
      </w:pPr>
      <w:r>
        <w:rPr>
          <w:b/>
        </w:rPr>
        <w:t xml:space="preserve">Prerequisite:</w:t>
      </w:r>
      <w:r>
        <w:t xml:space="preserve"> Stage 11.</w:t>
      </w:r>
    </w:p>
    <w:p>
      <w:pPr>
        <w:pStyle w:val="ListBullet"/>
      </w:pPr>
      <w:r>
        <w:t xml:space="preserve">• Header field registration through the applicable IANA process, and the work-profile registry established.</w:t>
      </w:r>
    </w:p>
    <w:p>
      <w:pPr>
        <w:pStyle w:val="ListBullet"/>
      </w:pPr>
      <w:r>
        <w:t xml:space="preserve">• Provider adoption, which will be gated on operator economics rather than on protocol quality: the argument that</w:t>
      </w:r>
    </w:p>
    <w:p>
      <w:pPr>
        <w:pStyle w:val="BodyText"/>
      </w:pPr>
      <w:r>
        <w:t xml:space="preserve">reaches a large provider is measured spam reduction per unit of verification cost, from Stage 10.</w:t>
      </w:r>
    </w:p>
    <w:p>
      <w:pPr>
        <w:pStyle w:val="ListBullet"/>
      </w:pPr>
      <w:r>
        <w:t xml:space="preserve">• The ESF-SMTP profile (whitepaper 9) as an experimental extension. It is last for a reason: it is the strongest</w:t>
      </w:r>
    </w:p>
    <w:p>
      <w:pPr>
        <w:pStyle w:val="BodyText"/>
      </w:pPr>
      <w:r>
        <w:t xml:space="preserve">model — authoritative per-recipient accounting, no Bcc exposure, connection-bound challenges — and the one that</w:t>
      </w:r>
    </w:p>
    <w:p>
      <w:pPr>
        <w:pStyle w:val="BodyText"/>
      </w:pPr>
      <w:r>
        <w:t xml:space="preserve">cannot be adopted incrementally, because it needs both MTAs to move together. It becomes realistic only once</w:t>
      </w:r>
    </w:p>
    <w:p>
      <w:pPr>
        <w:pStyle w:val="BodyText"/>
      </w:pPr>
      <w:r>
        <w:t xml:space="preserve">message-level ESF is common enough that the envelope version is an optimisation rather than an introduction.</w:t>
      </w:r>
    </w:p>
    <w:p>
      <w:pPr>
        <w:pStyle w:val="BodyText"/>
      </w:pPr>
      <w:r>
        <w:t xml:space="preserve">Exit criteria:</w:t>
      </w:r>
    </w:p>
    <w:p>
      <w:pPr>
        <w:pStyle w:val="Code"/>
      </w:pPr>
      <w:r>
        <w:rPr>
          <w:rFonts w:ascii="Consolas" w:hAnsi="Consolas"/>
          <w:sz w:val="18"/>
        </w:rPr>
        <w:t xml:space="preserve">Registered field and profile registry</w:t>
      </w:r>
    </w:p>
    <w:p>
      <w:pPr>
        <w:pStyle w:val="Code"/>
      </w:pPr>
      <w:r>
        <w:rPr>
          <w:rFonts w:ascii="Consolas" w:hAnsi="Consolas"/>
          <w:sz w:val="18"/>
        </w:rPr>
        <w:t xml:space="preserve">AND at least one provider verifying at scale</w:t>
      </w:r>
    </w:p>
    <w:p>
      <w:pPr>
        <w:pStyle w:val="Code"/>
      </w:pPr>
      <w:r>
        <w:rPr>
          <w:rFonts w:ascii="Consolas" w:hAnsi="Consolas"/>
          <w:sz w:val="18"/>
        </w:rPr>
        <w:t xml:space="preserve">AND an experimental ESF-SMTP interoperating between independent MTAs</w:t>
      </w:r>
    </w:p>
    <w:p>
      <w:pPr>
        <w:pStyle w:val="Divider"/>
      </w:pPr>
    </w:p>
    <w:p>
      <w:pPr>
        <w:pStyle w:val="Heading1"/>
      </w:pPr>
      <w:r>
        <w:t xml:space="preserve">Guiding principles</w:t>
      </w:r>
    </w:p>
    <w:p>
      <w:pPr>
        <w:pStyle w:val="BodyText"/>
      </w:pPr>
      <w:r>
        <w:t xml:space="preserve">Applied as tie-breakers whenever a stage offers a choice.</w:t>
      </w:r>
    </w:p>
    <w:p>
      <w:pPr>
        <w:pStyle w:val="BodyText"/>
      </w:pPr>
      <w:r>
        <w:rPr>
          <w:b/>
        </w:rPr>
        <w:t xml:space="preserve">Integrability first.</w:t>
      </w:r>
      <w:r>
        <w:t xml:space="preserve"> Every stage must be adoptable at one point in the mail path, alone, and provide value while</w:t>
      </w:r>
    </w:p>
    <w:p>
      <w:pPr>
        <w:pStyle w:val="BodyText"/>
      </w:pPr>
      <w:r>
        <w:t xml:space="preserve">everything adjacent remains unaware of ESF. Anything requiring simultaneous adoption is deferred to Stage 12.</w:t>
      </w:r>
    </w:p>
    <w:p>
      <w:pPr>
        <w:pStyle w:val="BodyText"/>
      </w:pPr>
      <w:r>
        <w:rPr>
          <w:b/>
        </w:rPr>
        <w:t xml:space="preserve">Usability first.</w:t>
      </w:r>
      <w:r>
        <w:t xml:space="preserve"> The user-facing surface stays green / yellow / red. No user is required to know what a nonce,</w:t>
      </w:r>
    </w:p>
    <w:p>
      <w:pPr>
        <w:pStyle w:val="BodyText"/>
      </w:pPr>
      <w:r>
        <w:t xml:space="preserve">difficulty, memory parameter or hash target is. And the optimum remains no user interface at all: the result belongs</w:t>
      </w:r>
    </w:p>
    <w:p>
      <w:pPr>
        <w:pStyle w:val="BodyText"/>
      </w:pPr>
      <w:r>
        <w:t xml:space="preserve">in the filtering that already decides where mail lands (whitepaper 4.2).</w:t>
      </w:r>
    </w:p>
    <w:p>
      <w:pPr>
        <w:pStyle w:val="BodyText"/>
      </w:pPr>
      <w:r>
        <w:rPr>
          <w:b/>
        </w:rPr>
        <w:t xml:space="preserve">Open and neutral.</w:t>
      </w:r>
      <w:r>
        <w:t xml:space="preserve"> Open source, vendor-neutral, patent-free where possible, no dependency on any central ESF</w:t>
      </w:r>
    </w:p>
    <w:p>
      <w:pPr>
        <w:pStyle w:val="BodyText"/>
      </w:pPr>
      <w:r>
        <w:t xml:space="preserve">service, locally verifiable, interoperable, algorithm-agile. Concretely: no stage may introduce a component that only</w:t>
      </w:r>
    </w:p>
    <w:p>
      <w:pPr>
        <w:pStyle w:val="BodyText"/>
      </w:pPr>
      <w:r>
        <w:t xml:space="preserve">this project can operate. If a stage would require an ESF-run server to work, the stage is wrong.</w:t>
      </w:r>
    </w:p>
    <w:p>
      <w:pPr>
        <w:pStyle w:val="BodyText"/>
      </w:pPr>
      <w:r>
        <w:rPr>
          <w:b/>
        </w:rPr>
        <w:t xml:space="preserve">Absence stays neutral.</w:t>
      </w:r>
      <w:r>
        <w:t xml:space="preserve"> Through every stage up to and including 12, a missing stamp is a non-signal, not evidence</w:t>
      </w:r>
    </w:p>
    <w:p>
      <w:pPr>
        <w:pStyle w:val="BodyText"/>
      </w:pPr>
      <w:r>
        <w:t xml:space="preserve">of abuse. This is what makes incremental adoption possible at all, and the first stage that breaks it will end</w:t>
      </w:r>
    </w:p>
    <w:p>
      <w:pPr>
        <w:pStyle w:val="BodyText"/>
      </w:pPr>
      <w:r>
        <w:t xml:space="preserve">adoption.</w:t>
      </w:r>
    </w:p>
    <w:p>
      <w:pPr>
        <w:pStyle w:val="BodyText"/>
      </w:pPr>
      <w:r>
        <w:rPr>
          <w:b/>
        </w:rPr>
        <w:t xml:space="preserve">Evidence over advocacy.</w:t>
      </w:r>
      <w:r>
        <w:t xml:space="preserve"> Where this roadmap states a number, it is measured or marked as an estimate to be</w:t>
      </w:r>
    </w:p>
    <w:p>
      <w:pPr>
        <w:pStyle w:val="BodyText"/>
      </w:pPr>
      <w:r>
        <w:t xml:space="preserve">replaced. The pilots may falsify the premise; that outcome is published, not buried.</w:t>
      </w:r>
    </w:p>
    <w:p>
      <w:pPr>
        <w:pStyle w:val="Divider"/>
      </w:pPr>
    </w:p>
    <w:p>
      <w:pPr>
        <w:pStyle w:val="Heading1"/>
      </w:pPr>
      <w:r>
        <w:t xml:space="preserve">Cross-stage dependencies at a glance</w:t>
      </w:r>
    </w:p>
    <w:tbl>
      <w:tblPr>
        <w:tblStyle w:val="TableGrid"/>
        <w:tblW w:w="5000" w:type="pct"/>
        <w:tblBorders>
          <w:top w:val="single" w:sz="4" w:space="0" w:color="D0D4DA"/>
          <w:left w:val="single" w:sz="4" w:space="0" w:color="D0D4DA"/>
          <w:bottom w:val="single" w:sz="4" w:space="0" w:color="D0D4DA"/>
          <w:right w:val="single" w:sz="4" w:space="0" w:color="D0D4DA"/>
          <w:insideH w:val="single" w:sz="4" w:space="0" w:color="D0D4DA"/>
          <w:insideV w:val="single" w:sz="4" w:space="0" w:color="D0D4DA"/>
        </w:tblBorders>
      </w:tblPr>
      <w:tblGrid>
        <w:gridCol w:w="3120"/>
        <w:gridCol w:w="3120"/>
        <w:gridCol w:w="3120"/>
      </w:tblGrid>
      <w:tr>
        <w:tc>
          <w:tcPr>
            <w:tcW w:w="3120" w:type="dxa"/>
            <w:shd w:val="clear" w:fill="F1F3F6"/>
          </w:tcPr>
          <w:p>
            <w:pPr>
              <w:pStyle w:val="TableText"/>
            </w:pPr>
            <w:r>
              <w:rPr>
                <w:b/>
              </w:rPr>
              <w:t xml:space="preserve">Stage</w:t>
            </w:r>
          </w:p>
        </w:tc>
        <w:tc>
          <w:tcPr>
            <w:tcW w:w="3120" w:type="dxa"/>
            <w:shd w:val="clear" w:fill="F1F3F6"/>
          </w:tcPr>
          <w:p>
            <w:pPr>
              <w:pStyle w:val="TableText"/>
            </w:pPr>
            <w:r>
              <w:rPr>
                <w:b/>
              </w:rPr>
              <w:t xml:space="preserve">Cannot start without</w:t>
            </w:r>
          </w:p>
        </w:tc>
        <w:tc>
          <w:tcPr>
            <w:tcW w:w="3120" w:type="dxa"/>
            <w:shd w:val="clear" w:fill="F1F3F6"/>
          </w:tcPr>
          <w:p>
            <w:pPr>
              <w:pStyle w:val="TableText"/>
            </w:pPr>
            <w:r>
              <w:rPr>
                <w:b/>
              </w:rPr>
              <w:t xml:space="preserve">Delivers to</w:t>
            </w:r>
          </w:p>
        </w:tc>
      </w:tr>
      <w:tr>
        <w:tc>
          <w:tcPr>
            <w:tcW w:w="3120" w:type="dxa"/>
          </w:tcPr>
          <w:p>
            <w:pPr>
              <w:pStyle w:val="TableText"/>
            </w:pPr>
            <w:r>
              <w:t xml:space="preserve">1 Stability</w:t>
            </w:r>
          </w:p>
        </w:tc>
        <w:tc>
          <w:tcPr>
            <w:tcW w:w="3120" w:type="dxa"/>
          </w:tcPr>
          <w:p>
            <w:pPr>
              <w:pStyle w:val="TableText"/>
            </w:pPr>
            <w:r>
              <w:t xml:space="preserve">Stage 0</w:t>
            </w:r>
          </w:p>
        </w:tc>
        <w:tc>
          <w:tcPr>
            <w:tcW w:w="3120" w:type="dxa"/>
          </w:tcPr>
          <w:p>
            <w:pPr>
              <w:pStyle w:val="TableText"/>
            </w:pPr>
            <w:r>
              <w:t xml:space="preserve">vectors and behaviour others can trust</w:t>
            </w:r>
          </w:p>
        </w:tc>
      </w:tr>
      <w:tr>
        <w:tc>
          <w:tcPr>
            <w:tcW w:w="3120" w:type="dxa"/>
          </w:tcPr>
          <w:p>
            <w:pPr>
              <w:pStyle w:val="TableText"/>
            </w:pPr>
            <w:r>
              <w:t xml:space="preserve">2 Core + spec</w:t>
            </w:r>
          </w:p>
        </w:tc>
        <w:tc>
          <w:tcPr>
            <w:tcW w:w="3120" w:type="dxa"/>
          </w:tcPr>
          <w:p>
            <w:pPr>
              <w:pStyle w:val="TableText"/>
            </w:pPr>
            <w:r>
              <w:t xml:space="preserve">1</w:t>
            </w:r>
          </w:p>
        </w:tc>
        <w:tc>
          <w:tcPr>
            <w:tcW w:w="3120" w:type="dxa"/>
          </w:tcPr>
          <w:p>
            <w:pPr>
              <w:pStyle w:val="TableText"/>
            </w:pPr>
            <w:r>
              <w:t xml:space="preserve">something implementable without this repository</w:t>
            </w:r>
          </w:p>
        </w:tc>
      </w:tr>
      <w:tr>
        <w:tc>
          <w:tcPr>
            <w:tcW w:w="3120" w:type="dxa"/>
          </w:tcPr>
          <w:p>
            <w:pPr>
              <w:pStyle w:val="TableText"/>
            </w:pPr>
            <w:r>
              <w:t xml:space="preserve">3 Developer package</w:t>
            </w:r>
          </w:p>
        </w:tc>
        <w:tc>
          <w:tcPr>
            <w:tcW w:w="3120" w:type="dxa"/>
          </w:tcPr>
          <w:p>
            <w:pPr>
              <w:pStyle w:val="TableText"/>
            </w:pPr>
            <w:r>
              <w:t xml:space="preserve">2</w:t>
            </w:r>
          </w:p>
        </w:tc>
        <w:tc>
          <w:tcPr>
            <w:tcW w:w="3120" w:type="dxa"/>
          </w:tcPr>
          <w:p>
            <w:pPr>
              <w:pStyle w:val="TableText"/>
            </w:pPr>
            <w:r>
              <w:t xml:space="preserve">external implementers, filter authors</w:t>
            </w:r>
          </w:p>
        </w:tc>
      </w:tr>
      <w:tr>
        <w:tc>
          <w:tcPr>
            <w:tcW w:w="3120" w:type="dxa"/>
          </w:tcPr>
          <w:p>
            <w:pPr>
              <w:pStyle w:val="TableText"/>
            </w:pPr>
            <w:r>
              <w:t xml:space="preserve">4 Client distribution</w:t>
            </w:r>
          </w:p>
        </w:tc>
        <w:tc>
          <w:tcPr>
            <w:tcW w:w="3120" w:type="dxa"/>
          </w:tcPr>
          <w:p>
            <w:pPr>
              <w:pStyle w:val="TableText"/>
            </w:pPr>
            <w:r>
              <w:t xml:space="preserve">3</w:t>
            </w:r>
          </w:p>
        </w:tc>
        <w:tc>
          <w:tcPr>
            <w:tcW w:w="3120" w:type="dxa"/>
          </w:tcPr>
          <w:p>
            <w:pPr>
              <w:pStyle w:val="TableText"/>
            </w:pPr>
            <w:r>
              <w:t xml:space="preserve">transport evidence, real users</w:t>
            </w:r>
          </w:p>
        </w:tc>
      </w:tr>
      <w:tr>
        <w:tc>
          <w:tcPr>
            <w:tcW w:w="3120" w:type="dxa"/>
          </w:tcPr>
          <w:p>
            <w:pPr>
              <w:pStyle w:val="TableText"/>
            </w:pPr>
            <w:r>
              <w:t xml:space="preserve">5 Filter integration</w:t>
            </w:r>
          </w:p>
        </w:tc>
        <w:tc>
          <w:tcPr>
            <w:tcW w:w="3120" w:type="dxa"/>
          </w:tcPr>
          <w:p>
            <w:pPr>
              <w:pStyle w:val="TableText"/>
            </w:pPr>
            <w:r>
              <w:t xml:space="preserve">2, 4</w:t>
            </w:r>
          </w:p>
        </w:tc>
        <w:tc>
          <w:tcPr>
            <w:tcW w:w="3120" w:type="dxa"/>
          </w:tcPr>
          <w:p>
            <w:pPr>
              <w:pStyle w:val="TableText"/>
            </w:pPr>
            <w:r>
              <w:t xml:space="preserve">the receiver side of the deadlock</w:t>
            </w:r>
          </w:p>
        </w:tc>
      </w:tr>
      <w:tr>
        <w:tc>
          <w:tcPr>
            <w:tcW w:w="3120" w:type="dxa"/>
          </w:tcPr>
          <w:p>
            <w:pPr>
              <w:pStyle w:val="TableText"/>
            </w:pPr>
            <w:r>
              <w:t xml:space="preserve">6 Outreach</w:t>
            </w:r>
          </w:p>
        </w:tc>
        <w:tc>
          <w:tcPr>
            <w:tcW w:w="3120" w:type="dxa"/>
          </w:tcPr>
          <w:p>
            <w:pPr>
              <w:pStyle w:val="TableText"/>
            </w:pPr>
            <w:r>
              <w:t xml:space="preserve">3, 5</w:t>
            </w:r>
          </w:p>
        </w:tc>
        <w:tc>
          <w:tcPr>
            <w:tcW w:w="3120" w:type="dxa"/>
          </w:tcPr>
          <w:p>
            <w:pPr>
              <w:pStyle w:val="TableText"/>
            </w:pPr>
            <w:r>
              <w:t xml:space="preserve">criticism, reviewers, implementers</w:t>
            </w:r>
          </w:p>
        </w:tc>
      </w:tr>
      <w:tr>
        <w:tc>
          <w:tcPr>
            <w:tcW w:w="3120" w:type="dxa"/>
          </w:tcPr>
          <w:p>
            <w:pPr>
              <w:pStyle w:val="TableText"/>
            </w:pPr>
            <w:r>
              <w:t xml:space="preserve">7 Independent implementation</w:t>
            </w:r>
          </w:p>
        </w:tc>
        <w:tc>
          <w:tcPr>
            <w:tcW w:w="3120" w:type="dxa"/>
          </w:tcPr>
          <w:p>
            <w:pPr>
              <w:pStyle w:val="TableText"/>
            </w:pPr>
            <w:r>
              <w:t xml:space="preserve">3 (+6)</w:t>
            </w:r>
          </w:p>
        </w:tc>
        <w:tc>
          <w:tcPr>
            <w:tcW w:w="3120" w:type="dxa"/>
          </w:tcPr>
          <w:p>
            <w:pPr>
              <w:pStyle w:val="TableText"/>
            </w:pPr>
            <w:r>
              <w:t xml:space="preserve">proof it is a protocol, ambiguity reports</w:t>
            </w:r>
          </w:p>
        </w:tc>
      </w:tr>
      <w:tr>
        <w:tc>
          <w:tcPr>
            <w:tcW w:w="3120" w:type="dxa"/>
          </w:tcPr>
          <w:p>
            <w:pPr>
              <w:pStyle w:val="TableText"/>
            </w:pPr>
            <w:r>
              <w:t xml:space="preserve">8 Security review</w:t>
            </w:r>
          </w:p>
        </w:tc>
        <w:tc>
          <w:tcPr>
            <w:tcW w:w="3120" w:type="dxa"/>
          </w:tcPr>
          <w:p>
            <w:pPr>
              <w:pStyle w:val="TableText"/>
            </w:pPr>
            <w:r>
              <w:t xml:space="preserve">2, 5</w:t>
            </w:r>
          </w:p>
        </w:tc>
        <w:tc>
          <w:tcPr>
            <w:tcW w:w="3120" w:type="dxa"/>
          </w:tcPr>
          <w:p>
            <w:pPr>
              <w:pStyle w:val="TableText"/>
            </w:pPr>
            <w:r>
              <w:t xml:space="preserve">a threat model that survived contact</w:t>
            </w:r>
          </w:p>
        </w:tc>
      </w:tr>
      <w:tr>
        <w:tc>
          <w:tcPr>
            <w:tcW w:w="3120" w:type="dxa"/>
          </w:tcPr>
          <w:p>
            <w:pPr>
              <w:pStyle w:val="TableText"/>
            </w:pPr>
            <w:r>
              <w:t xml:space="preserve">9 Operator engagement</w:t>
            </w:r>
          </w:p>
        </w:tc>
        <w:tc>
          <w:tcPr>
            <w:tcW w:w="3120" w:type="dxa"/>
          </w:tcPr>
          <w:p>
            <w:pPr>
              <w:pStyle w:val="TableText"/>
            </w:pPr>
            <w:r>
              <w:t xml:space="preserve">5, 7, 8</w:t>
            </w:r>
          </w:p>
        </w:tc>
        <w:tc>
          <w:tcPr>
            <w:tcW w:w="3120" w:type="dxa"/>
          </w:tcPr>
          <w:p>
            <w:pPr>
              <w:pStyle w:val="TableText"/>
            </w:pPr>
            <w:r>
              <w:t xml:space="preserve">deployment conditions</w:t>
            </w:r>
          </w:p>
        </w:tc>
      </w:tr>
      <w:tr>
        <w:tc>
          <w:tcPr>
            <w:tcW w:w="3120" w:type="dxa"/>
          </w:tcPr>
          <w:p>
            <w:pPr>
              <w:pStyle w:val="TableText"/>
            </w:pPr>
            <w:r>
              <w:t xml:space="preserve">10 Pilots</w:t>
            </w:r>
          </w:p>
        </w:tc>
        <w:tc>
          <w:tcPr>
            <w:tcW w:w="3120" w:type="dxa"/>
          </w:tcPr>
          <w:p>
            <w:pPr>
              <w:pStyle w:val="TableText"/>
            </w:pPr>
            <w:r>
              <w:t xml:space="preserve">9</w:t>
            </w:r>
          </w:p>
        </w:tc>
        <w:tc>
          <w:tcPr>
            <w:tcW w:w="3120" w:type="dxa"/>
          </w:tcPr>
          <w:p>
            <w:pPr>
              <w:pStyle w:val="TableText"/>
            </w:pPr>
            <w:r>
              <w:t xml:space="preserve">the numbers everything after depends on</w:t>
            </w:r>
          </w:p>
        </w:tc>
      </w:tr>
      <w:tr>
        <w:tc>
          <w:tcPr>
            <w:tcW w:w="3120" w:type="dxa"/>
          </w:tcPr>
          <w:p>
            <w:pPr>
              <w:pStyle w:val="TableText"/>
            </w:pPr>
            <w:r>
              <w:t xml:space="preserve">11 Internet-Draft</w:t>
            </w:r>
          </w:p>
        </w:tc>
        <w:tc>
          <w:tcPr>
            <w:tcW w:w="3120" w:type="dxa"/>
          </w:tcPr>
          <w:p>
            <w:pPr>
              <w:pStyle w:val="TableText"/>
            </w:pPr>
            <w:r>
              <w:t xml:space="preserve">10</w:t>
            </w:r>
          </w:p>
        </w:tc>
        <w:tc>
          <w:tcPr>
            <w:tcW w:w="3120" w:type="dxa"/>
          </w:tcPr>
          <w:p>
            <w:pPr>
              <w:pStyle w:val="TableText"/>
            </w:pPr>
            <w:r>
              <w:t xml:space="preserve">normative text</w:t>
            </w:r>
          </w:p>
        </w:tc>
      </w:tr>
      <w:tr>
        <w:tc>
          <w:tcPr>
            <w:tcW w:w="3120" w:type="dxa"/>
          </w:tcPr>
          <w:p>
            <w:pPr>
              <w:pStyle w:val="TableText"/>
            </w:pPr>
            <w:r>
              <w:t xml:space="preserve">12 Registration, providers, SMTP</w:t>
            </w:r>
          </w:p>
        </w:tc>
        <w:tc>
          <w:tcPr>
            <w:tcW w:w="3120" w:type="dxa"/>
          </w:tcPr>
          <w:p>
            <w:pPr>
              <w:pStyle w:val="TableText"/>
            </w:pPr>
            <w:r>
              <w:t xml:space="preserve">11</w:t>
            </w:r>
          </w:p>
        </w:tc>
        <w:tc>
          <w:tcPr>
            <w:tcW w:w="3120" w:type="dxa"/>
          </w:tcPr>
          <w:p>
            <w:pPr>
              <w:pStyle w:val="TableText"/>
            </w:pPr>
            <w:r>
              <w:t xml:space="preserve">ecosystem adoption</w:t>
            </w:r>
          </w:p>
        </w:tc>
      </w:tr>
    </w:tbl>
    <w:p>
      <w:pPr>
        <w:pStyle w:val="Spacer"/>
      </w:pPr>
    </w:p>
    <w:p>
      <w:pPr>
        <w:pStyle w:val="Heading1"/>
      </w:pPr>
      <w:r>
        <w:t xml:space="preserve">Immediate next actions, in order</w:t>
      </w:r>
    </w:p>
    <w:p>
      <w:pPr>
        <w:pStyle w:val="BodyText"/>
      </w:pPr>
      <w:r>
        <w:t xml:space="preserve">Derived from Stage 0 and Stage 1 only — everything further out depends on their outcome.</w:t>
      </w:r>
    </w:p>
    <w:p>
      <w:pPr>
        <w:pStyle w:val="ListBullet"/>
      </w:pPr>
      <w:r>
        <w:t xml:space="preserve">1. Continuous integration over both client suites and the shared vectors.</w:t>
      </w:r>
    </w:p>
    <w:p>
      <w:pPr>
        <w:pStyle w:val="ListBullet"/>
      </w:pPr>
      <w:r>
        <w:t xml:space="preserve">2. </w:t>
      </w:r>
      <w:r>
        <w:rPr>
          <w:rFonts w:ascii="Consolas" w:hAnsi="Consolas"/>
          <w:sz w:val="18"/>
        </w:rPr>
        <w:t xml:space="preserve">CONTRIBUTING.md</w:t>
      </w:r>
      <w:r>
        <w:t xml:space="preserve"> and </w:t>
      </w:r>
      <w:r>
        <w:rPr>
          <w:rFonts w:ascii="Consolas" w:hAnsi="Consolas"/>
          <w:sz w:val="18"/>
        </w:rPr>
        <w:t xml:space="preserve">SECURITY.md</w:t>
      </w:r>
      <w:r>
        <w:t xml:space="preserve">, including how to report a protocol flaw.</w:t>
      </w:r>
    </w:p>
    <w:p>
      <w:pPr>
        <w:pStyle w:val="ListBullet"/>
      </w:pPr>
      <w:r>
        <w:t xml:space="preserve">3. Extract </w:t>
      </w:r>
      <w:r>
        <w:rPr>
          <w:rFonts w:ascii="Consolas" w:hAnsi="Consolas"/>
          <w:sz w:val="18"/>
        </w:rPr>
        <w:t xml:space="preserve">packages/esf-core</w:t>
      </w:r>
      <w:r>
        <w:t xml:space="preserve">; both clients consume it; no client-to-client imports remain.</w:t>
      </w:r>
    </w:p>
    <w:p>
      <w:pPr>
        <w:pStyle w:val="ListBullet"/>
      </w:pPr>
      <w:r>
        <w:t xml:space="preserve">4. Implement the Argon2id profile, or state in the whitepaper that ESF v1 is single-profile until it exists.</w:t>
      </w:r>
    </w:p>
    <w:p>
      <w:pPr>
        <w:pStyle w:val="ListBullet"/>
      </w:pPr>
      <w:r>
        <w:t xml:space="preserve">5. Publish the benchmark harness that replaces the estimated figures in whitepaper 7.4 and D.10.</w:t>
      </w:r>
    </w:p>
    <w:p>
      <w:pPr>
        <w:pStyle w:val="ListBullet"/>
      </w:pPr>
      <w:r>
        <w:t xml:space="preserve">6. Split the normative wire format out of the whitepaper into its own specification document.</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styleId="Normal">
    <w:name w:val="Normal"/>
    <w:pPr>
      <w:spacing w:after="120" w:line="276" w:lineRule="auto"/>
    </w:pPr>
  </w:style>
  <w:style w:type="paragraph" w:styleId="BodyText">
    <w:name w:val="Body Text"/>
    <w:basedOn w:val="Normal"/>
  </w:style>
  <w:style w:type="paragraph" w:styleId="Title">
    <w:name w:val="Title"/>
    <w:basedOn w:val="Normal"/>
    <w:pPr>
      <w:spacing w:before="240" w:after="180"/>
    </w:pPr>
    <w:rPr>
      <w:b/>
      <w:sz w:val="52"/>
      <w:color w:val="122F6E"/>
    </w:rPr>
  </w:style>
  <w:style w:type="paragraph" w:styleId="Heading1">
    <w:name w:val="heading 1"/>
    <w:basedOn w:val="Normal"/>
    <w:pPr>
      <w:outlineLvl w:val="0"/>
      <w:spacing w:before="360" w:after="120"/>
      <w:pBdr>
        <w:bottom w:val="single" w:sz="4" w:space="2" w:color="D0D4DA"/>
      </w:pBdr>
    </w:pPr>
    <w:rPr>
      <w:b/>
      <w:sz w:val="34"/>
      <w:color w:val="1A4A9C"/>
    </w:rPr>
  </w:style>
  <w:style w:type="paragraph" w:styleId="Heading2">
    <w:name w:val="heading 2"/>
    <w:basedOn w:val="Normal"/>
    <w:pPr>
      <w:outlineLvl w:val="1"/>
      <w:spacing w:before="280" w:after="100"/>
    </w:pPr>
    <w:rPr>
      <w:b/>
      <w:sz w:val="26"/>
      <w:color w:val="1A4A9C"/>
    </w:rPr>
  </w:style>
  <w:style w:type="paragraph" w:styleId="Heading3">
    <w:name w:val="heading 3"/>
    <w:basedOn w:val="Normal"/>
    <w:pPr>
      <w:outlineLvl w:val="2"/>
      <w:spacing w:before="220" w:after="80"/>
    </w:pPr>
    <w:rPr>
      <w:b/>
      <w:sz w:val="23"/>
    </w:rPr>
  </w:style>
  <w:style w:type="paragraph" w:styleId="Code">
    <w:name w:val="Code"/>
    <w:basedOn w:val="Normal"/>
    <w:pPr>
      <w:spacing w:after="0" w:line="240" w:lineRule="auto"/>
      <w:ind w:left="240"/>
      <w:shd w:val="clear" w:fill="F2F4F7"/>
    </w:pPr>
    <w:rPr>
      <w:rFonts w:ascii="Consolas" w:hAnsi="Consolas"/>
      <w:sz w:val="18"/>
    </w:rPr>
  </w:style>
  <w:style w:type="paragraph" w:styleId="Quote">
    <w:name w:val="Quote"/>
    <w:basedOn w:val="Normal"/>
    <w:pPr>
      <w:ind w:left="280"/>
      <w:pBdr>
        <w:left w:val="single" w:sz="12" w:space="8" w:color="3F9C35"/>
      </w:pBdr>
      <w:shd w:val="clear" w:fill="F6F7F9"/>
      <w:spacing w:before="120" w:after="160"/>
    </w:pPr>
  </w:style>
  <w:style w:type="paragraph" w:styleId="ListBullet">
    <w:name w:val="List Bullet"/>
    <w:basedOn w:val="Normal"/>
    <w:pPr>
      <w:ind w:left="360" w:hanging="220"/>
      <w:spacing w:after="60"/>
    </w:pPr>
  </w:style>
  <w:style w:type="paragraph" w:styleId="TableText">
    <w:name w:val="Table Text"/>
    <w:basedOn w:val="Normal"/>
    <w:pPr>
      <w:spacing w:before="40" w:after="40"/>
    </w:pPr>
    <w:rPr>
      <w:sz w:val="20"/>
    </w:rPr>
  </w:style>
  <w:style w:type="paragraph" w:styleId="Spacer">
    <w:name w:val="Spacer"/>
    <w:basedOn w:val="Normal"/>
    <w:pPr>
      <w:spacing w:after="0"/>
    </w:pPr>
  </w:style>
  <w:style w:type="paragraph" w:styleId="Divider">
    <w:name w:val="Divider"/>
    <w:basedOn w:val="Normal"/>
    <w:pPr>
      <w:pBdr>
        <w:bottom w:val="single" w:sz="6" w:space="1" w:color="D0D4DA"/>
      </w:pBdr>
    </w:pPr>
  </w:style>
  <w:style w:type="table" w:styleId="TableGrid">
    <w:name w:val="Table Grid"/>
  </w:style>
</w:styles>
</file>

<file path=word/_rels/document.xml.rels><?xml version="1.0" encoding="UTF-8" standalone="yes"?>
<Relationships xmlns="http://schemas.openxmlformats.org/package/2006/relationships">
<Relationship Id="rId1" Target="styles.xml"
  Type="http://schemas.openxmlformats.org/officeDocument/2006/relationships/styles"/>
</Relationships>
</file>

<file path=docProps/core.xml><?xml version="1.0" encoding="utf-8"?>
<cp:coreProperties xmlns:cp="http://schemas.openxmlformats.org/package/2006/metadata/core-properties" xmlns:dc="http://purl.org/dc/elements/1.1/">
  <dc:title>ESF — Adoption Roadmap — Technical Whitepaper 1.0</dc:title>
  <dc:subject>A Proof-of-Work Framework for Email Abuse Resistance</dc:subject>
  <dc:creator>ESF — End Spam Forever</dc:creator>
</cp:coreProperties>
</file>