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December 7, 2016</w:t>
      </w:r>
    </w:p>
    <w:p>
      <w:r>
        <w:t>BY FAX</w:t>
      </w:r>
    </w:p>
    <w:p>
      <w:r>
        <w:t>Herbert S. Subin, Esq. Brookdale University Hospital and Medical Center 1 Brookdale Plaza Brooklyn, New York 11212</w:t>
      </w:r>
    </w:p>
    <w:p>
      <w:r>
        <w:t>Re: Personal Injury Claim regarding incident at Bolla Management Corp</w:t>
      </w:r>
    </w:p>
    <w:p>
      <w:r>
        <w:t>Dear Mr. Subin,</w:t>
      </w:r>
    </w:p>
    <w:p>
      <w:r>
        <w:t>Please be advised that our firm represents Charkima S. Edwards, an independent dancer, in connection with her personal injury claims against Mobil Corporation, Bolla Management Corp, Rockaway Avenue LLC, and Etano.</w:t>
      </w:r>
    </w:p>
    <w:p>
      <w:r>
        <w:t>The Mandatory Insurer Reporting Law (section 111 of Public Law 110-173) requires insurance companies to report payments or obligations to pay bodily injury liability to Medicare-eligible persons. Additionally, the release of medical information and the protection of an injured party's rights are strictly governed by New York State Law, NY Public Health Law §18(1)(g), and the Privacy Rule of the Health Insurance Portability and Accountability Act of 1996 (HIPAA). When individuals sustain severe injuries due to the negligence of corporate entities and property owners, the need for vigorous enforcement of personal injury laws and strict adherence to statutory privacy and reporting mandates remains vital.</w:t>
      </w:r>
    </w:p>
    <w:p>
      <w:r>
        <w:t>This letter outlines the factual circumstances surrounding the accident that transpired on November 16, 2016.</w:t>
      </w:r>
    </w:p>
    <w:p>
      <w:r>
        <w:t>Timeline of the Incident</w:t>
      </w:r>
    </w:p>
    <w:p>
      <w:r>
        <w:t>Background:  Ms. Charkima S. Edwards is a single female, born April 9, 1991, whose primary language is English. At the time of the incident, Ms. Edwards was actively employed as an independent dancer. For the purpose of a complete medical background, Ms. Edwards has a history of a motor vehicle accident occurring approximately five to ten years prior to the incident in question, which resulted in previous injuries to her neck, back, and the right side of her body.</w:t>
      </w:r>
    </w:p>
    <w:p>
      <w:r>
        <w:t>Wednesday, November 16, 2016:  At approximately 12:00 A.M., Ms. Edwards was lawfully present at the Mobil Gas Station located at 1022 Rockaway Avenue, Brooklyn, New York 11236. The premises in question were owned, operated, maintained, and/or managed by Mobil Corporation, Bolla Management Corp, Rockaway Avenue LLC, Etano, and Renaissance Realty Group, LLC. While traversing the property, Ms. Edwards tripped and fell violently due to a hazardous, defective, and improperly maintained drainage system located on the premises.</w:t>
      </w:r>
    </w:p>
    <w:p>
      <w:r>
        <w:t>Immediate Aftermath: As a direct result of the fall caused by the dangerous condition of the drainage system, Ms. Edwards sustained severe personal injuries. Emergency medical services were immediately contacted, and an ambulance responded to the scene of the accident. Due to the nature and severity of the injuries sustained, Ms. Edwards was transported by ambulance directly to Brookdale University Hospital and Medical Center for emergency medical evaluation and treatment.</w:t>
      </w:r>
    </w:p>
    <w:p>
      <w:r>
        <w:t>Associated Industries Insurance Company / Renaissance Realty Group, LLC's Conduct Violates the Law</w:t>
      </w:r>
    </w:p>
    <w:p>
      <w:r>
        <w:t>This incident illustrates Associated Industries Insurance Company and Renaissance Realty Group, LLC's continuing disregard for the law and their duty to protect Charkima S. Edwards. The lack of protection from the hazardous conditions perpetuated by Rockaway Avenue LLC, Etano, and Mobil Corporation, and the subsequent conduct toward Ms. Edwards, violate New York State Law, NY Public Health Law §18(1)(g), and the Health Insurance Portability and Accountability Act of 1996 (HIPAA).</w:t>
      </w:r>
    </w:p>
    <w:p>
      <w:r>
        <w:t>Conclusion</w:t>
      </w:r>
    </w:p>
    <w:p>
      <w:r>
        <w:t>Our client is genuinely devastated by the opposing parties' complete lack of regard for premises safety and protective measures, which caused her to sustain severe injuries in the accident. Ms. Edwards is committed to achieving complete vindication for the egregious negligence to which she was subjected. To that end, we are prepared to commence personal injury litigation immediately, and we are certain that a jury would render a large award in our client's favor, including any applicable punitive damages permitted under New York State Law.</w:t>
      </w:r>
    </w:p>
    <w:p>
      <w:r>
        <w:t>We have nonetheless sent this letter in a good faith effort to present an opportunity to resolve this matter amicably out of court, thereby avoiding costly and protracted litigation that is likely to result in substantial liability.</w:t>
      </w:r>
    </w:p>
    <w:p>
      <w:r>
        <w:t>We also remind you of Associated Industries Insurance Company and Renaissance Realty Group, LLC's obligations to take immediate steps to preserve any material, including, but not limited to, all emails, instant messages, voicemails, text messages, and any other communications, documents, or electronically stored information related to this matter, whether in electronic or paper form.</w:t>
      </w:r>
    </w:p>
    <w:p>
      <w:r>
        <w:t>Additionally, please take immediate steps to preserve the personal and business hard drives, back-up storage tapes, cellular telephones, computers, laptops, and/or other devices of all individuals potentially having knowledge related to this action.</w:t>
      </w:r>
    </w:p>
    <w:p>
      <w:r>
        <w:t>Please contact us no later than the end of the day, within 20 days of the first notice (First Notice Date: January 4, 2017), if you are interested in discussing an amicable resolution of this matter short of litigation. Otherwise, we will move forward without further notice.</w:t>
      </w:r>
    </w:p>
    <w:p>
      <w:r>
        <w:t>Yours truly,</w:t>
      </w:r>
    </w:p>
    <w:p>
      <w:r>
        <w:t>Subin Associates,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