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DEMAND LETTER – REQUIRES RESPONSE January 5, 2017</w:t>
      </w:r>
    </w:p>
    <w:p>
      <w:r>
        <w:t>Philadelphia Insurance Companies P.O. Box 950 Bala Cynwyd, Pennsylvania 19004-0950</w:t>
      </w:r>
    </w:p>
    <w:p>
      <w:r>
        <w:t>Attention: Scott Pass</w:t>
      </w:r>
    </w:p>
    <w:p>
      <w:r>
        <w:t>RE: CHARKIMA S. EDWARDS v. ROCKAWAY AVENUE LLC, and MOBIL CORPORATION Claim No.: 1038207 Policy No.: PHPK1532158 Date of Loss: 11/16/2016 Our File No.: 25355; 6225.1348</w:t>
      </w:r>
    </w:p>
    <w:p>
      <w:r>
        <w:t>Dear Scott Pass:</w:t>
      </w:r>
    </w:p>
    <w:p>
      <w:r>
        <w:t>Plaintiff demands an amount that exceeds the jurisdictional limits of the lower Courts to settle this matter. Please provide a full and final release of all claims in exchange for payment of your insured's policy limit. Plaintiff is responsible for the repayment, reimbursement, and satisfaction of all liens. Please respond to our demand within twenty (20) days. We believe a prompt settlement is prudent and reasonable.</w:t>
      </w:r>
    </w:p>
    <w:p>
      <w:r>
        <w:t>You are obligated to notify your insured of this demand before rejecting it and to communicate to your insured any settlement offer that could affect your insured's interests. Please contact us should you require additional time to evaluate this matter. State v. County of Rensselaer, 26 N.Y.3d 649, 657 (2016).</w:t>
      </w:r>
    </w:p>
    <w:p>
      <w:r>
        <w:t>Liability: On November 16, 2016, Plaintiff Charkima S. Edwards sustained severe personal injuries after tripping and falling on a defective drainage system, which created an unsafe and dangerous condition at the Mobil Gas Station premises located at 1022 Rockaway Avenue, Brooklyn, New York. Defendants deny negligence, asserting affirmative defenses including Plaintiff's comparative negligence, collateral source offsets, and that injuries were caused by parties over which Defendants exercised no control.</w:t>
      </w:r>
    </w:p>
    <w:p>
      <w:r>
        <w:t>Damages and Medical Summary: Plaintiff sustained severe personal injuries as a result of the incident. Notable findings include trauma and damage to the left foot, left hand, left side of the body, back, and left knee. All procedures and treatments align with the injuries resulting from this accident.</w:t>
      </w:r>
    </w:p>
    <w:p>
      <w:r>
        <w:t>Imaging Results: Diagnostic imaging was conducted to evaluate Plaintiff's condition. The MRI and CT scan results reveal an MRI of the neck and back, which is documented as being related to a previous injury.</w:t>
      </w:r>
    </w:p>
    <w:p>
      <w:r>
        <w:t>Cervical Spine MRI: [cervical_spine_mri_findings]</w:t>
      </w:r>
    </w:p>
    <w:p>
      <w:r>
        <w:t>Lumbar Spine MRI: [lumbar_spine_mri_findings]</w:t>
      </w:r>
    </w:p>
    <w:p>
      <w:r>
        <w:t>Thoracic Spine MRI: [thoracic_spine_mri_findings]</w:t>
      </w:r>
    </w:p>
    <w:p>
      <w:r>
        <w:t>Procedures, Injections, and Surgeries: [surgical_procedures] [procedures_and_surgeries_details] [injections] [injection_details]</w:t>
      </w:r>
    </w:p>
    <w:p>
      <w:r>
        <w:t>Chiropractic and Physical Therapy Treatments: Plaintiff received conservative care and rehabilitation to address the injuries sustained. The chiropractic and physical therapy treatments consisted of physical therapy for a period of two to three months, which is noted in the medical records as being related to a previous injury.</w:t>
      </w:r>
    </w:p>
    <w:p>
      <w:r>
        <w:t>Range of Motion (ROM) Test Results and Deficits: [range_of_motion_deficits]</w:t>
      </w:r>
    </w:p>
    <w:p>
      <w:r>
        <w:t>Cervical Spine: [cervical_spine_rom]</w:t>
      </w:r>
    </w:p>
    <w:p>
      <w:r>
        <w:t>Lumbar Spine: [lumbar_spine_rom]</w:t>
      </w:r>
    </w:p>
    <w:p>
      <w:r>
        <w:t>Thoracic Spine: [thoracic_spine_rom]</w:t>
      </w:r>
    </w:p>
    <w:p>
      <w:r>
        <w:t>Thoracolumbar Spine Examination: [thoracolumbar_spine_exam_findings]</w:t>
      </w:r>
    </w:p>
    <w:p>
      <w:r>
        <w:t>Neurological Findings: [neurological_findings]</w:t>
      </w:r>
    </w:p>
    <w:p>
      <w:r>
        <w:t>Should you fail to tender the policy limits in this matter, we recommend that your insured hire independent third-party bad-faith counsel, as your interests conflict with your insured. Please contact our office to discuss settlement or request additional information.</w:t>
      </w:r>
    </w:p>
    <w:p>
      <w:r>
        <w:t>Very truly yours,</w:t>
      </w:r>
    </w:p>
    <w:p>
      <w:r>
        <w:t>SUBIN ASSOCIATES, LLP; FRENCH &amp; CASEY, LLP</w:t>
      </w:r>
    </w:p>
    <w:p>
      <w:r>
        <w:t>HERBERT S. SUBIN, WILLIAM R. HAMEL, JOSEPH A. FRENCH, MICHAEL J. SCHACHER</w:t>
      </w:r>
    </w:p>
    <w:p>
      <w:r>
        <w:t>Enclosures: EXHIBIT A EXHIBIT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