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DEMAND LETTER – REQUIRES RESPONSE Date: December 7, 2016</w:t>
      </w:r>
    </w:p>
    <w:p>
      <w:r>
        <w:t>Via Fax</w:t>
      </w:r>
    </w:p>
    <w:p>
      <w:r>
        <w:t>Philadelphia Insurance Companies P.O. Box 950, Bala Cynwyd, Pennsylvania 19004-0950</w:t>
      </w:r>
    </w:p>
    <w:p>
      <w:r>
        <w:t>Attention: Scott Pass</w:t>
      </w:r>
    </w:p>
    <w:p>
      <w:r>
        <w:t>BILL HAMEL, ESQ. SUBIN ASSOCIATES, LLP 150 Broadway - 23rd Fl, New York, New York 10038 Phone: 212-285-3800 Fax: 347-771-8204</w:t>
      </w:r>
    </w:p>
    <w:p>
      <w:r>
        <w:t>Re: CHARKIMA S. EDWARDS v. ROCKAWAY AVENUE LLC, and MOBIL CORPORATION Claim No.: 1038207 Policy No.: PHPK1532158 Our File No.: 25355</w:t>
      </w:r>
    </w:p>
    <w:p>
      <w:r>
        <w:t>Dear Scott Pass:</w:t>
      </w:r>
    </w:p>
    <w:p>
      <w:r>
        <w:t>Plaintiff demands [settlement_demand_amount] to settle this matter. Please provide a full and final release of all claims for our execution in exchange for payment of your insureds' policy limit. Plaintiff is responsible for the repayment, reimbursement, and satisfaction of all liens. Please respond to our demand within twenty (20) days. We believe a prompt settlement is prudent and reasonable.</w:t>
      </w:r>
    </w:p>
    <w:p>
      <w:r>
        <w:t>Liability:  On or about 11/16/2016, while Plaintiff, CHARKIMA S. EDWARDS, was on the premises of the Mobil Gas Station located at 1022 Rockaway Avenue, Brooklyn, New York, owned and operated by your insureds, ROCKAWAY AVENUE LLC and MOBIL CORPORATION, Plaintiff fell and was caused to be injured due to a defective, unsafe, and dangerous condition. See Lasek v. Nachtigall, 189 A.D.2d 749 (2d Dept. 1993); Hudson v. MBSTOA, 188 A.D.2d 355 (1st Dept. 1992); Corning v. Carlin, 178 A.D.2d 576 (2d Dept. 1991); Simpson v. Bellew, 161 A.D.2d 693 (2d Dept. 1990).</w:t>
      </w:r>
    </w:p>
    <w:p>
      <w:r>
        <w:t>Legal/Bad Faith Warning: You are obligated to notify your insureds of this demand before rejecting it and to communicate to your insureds any settlement offer that could affect their interests. Should you fail to tender the policy limits in this matter, we recommend that your insureds hire independent third-party bad-faith counsel, as your interests conflict with those of your insureds. Please contact our office should you require additional time to evaluate this matter, to discuss settlement, or to request additional information.</w:t>
      </w:r>
    </w:p>
    <w:p>
      <w:r>
        <w:t>Very truly yours, Subin Associates, LLP</w:t>
      </w:r>
    </w:p>
    <w:p>
      <w:r>
        <w:t>BILL HAMEL, ESQ.</w:t>
      </w:r>
    </w:p>
    <w:p>
      <w:r>
        <w:t>Attached hereto as exhibits in support of this demand are the following:  EXHIBIT A (Summons and Complaint) EXHIBIT B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