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Session ID: acf47345-724d-4b08-84c4-c86f9c1c7b74</w:t>
      </w:r>
    </w:p>
    <w:p>
      <w:r>
        <w:t>Dialogue Mode: critical</w:t>
      </w:r>
    </w:p>
    <w:p>
      <w:r>
        <w:t>Prolific ID: 60c0fa09ef735c52ada64d23</w:t>
      </w:r>
    </w:p>
    <w:p>
      <w:r>
        <w:t>URL: https://apollolytics-dialogue.vercel.app/dialogue/positive3</w:t>
      </w:r>
    </w:p>
    <w:p>
      <w:r>
        <w:t>--------------------------------------------------</w:t>
      </w:r>
    </w:p>
    <w:p/>
    <w:p>
      <w:r>
        <w:t>assistant: Certainly. Let’s dive into a critical look at European migration policies as discussed in this article.</w:t>
      </w:r>
    </w:p>
    <w:p/>
    <w:p>
      <w:r>
        <w:t>A lot of what’s presented claims that Europe is moving towards a dark future of human rights violations due to tougher migration policies. But let’s ask ourselves: Are stricter migration measures always anti-human rights or is it possible to balance both humanitarian concerns and border security?</w:t>
      </w:r>
    </w:p>
    <w:p/>
    <w:p>
      <w:r>
        <w:t>What do you think?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