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11a3dc35-3003-43b6-9b88-23e6ac2b393d</w:t>
      </w:r>
    </w:p>
    <w:p>
      <w:r>
        <w:t>Dialogue Mode: critical</w:t>
      </w:r>
    </w:p>
    <w:p>
      <w:r>
        <w:t>Prolific ID: 65c113a22ace1dacd58ce108</w:t>
      </w:r>
    </w:p>
    <w:p>
      <w:r>
        <w:t>URL: https://apollolytics-dialogue.vercel.app/dialogue/positive1</w:t>
      </w:r>
    </w:p>
    <w:p>
      <w:r>
        <w:t>--------------------------------------------------</w:t>
      </w:r>
    </w:p>
    <w:p/>
    <w:p>
      <w:r>
        <w:t>assistant: Sure! Let's dive into the topic. The article claims that Germany’s recent military actions are driven by political foolishness and economic dysfunction rather than security needs. But is it really that simple? What do you think might be some legitimate reasons for Germany to station troops abroad right now?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