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bbbf1784-a8ee-4749-9f6b-fb53f25dbcad</w:t>
      </w:r>
    </w:p>
    <w:p>
      <w:r>
        <w:t>Dialogue Mode: critical</w:t>
      </w:r>
    </w:p>
    <w:p>
      <w:r>
        <w:t>Prolific ID: 66b8bcb3a1628ce2afa14f24</w:t>
      </w:r>
    </w:p>
    <w:p>
      <w:r>
        <w:t>URL: https://apollolytics-dialogue.vercel.app/dialogue/positive1</w:t>
      </w:r>
    </w:p>
    <w:p>
      <w:r>
        <w:t>--------------------------------------------------</w:t>
      </w:r>
    </w:p>
    <w:p/>
    <w:p>
      <w:r>
        <w:t>assistant: Sure! Let’s dive into this together. The article argues that Germany's new military steps are more about political posturing and economic dysfunction than real security needs. What do you think about the idea that Germany’s current actions in defense are a form of distraction from internal problems?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