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ae03448f-5500-4c65-9c7f-8d90a5cc680c</w:t>
      </w:r>
    </w:p>
    <w:p>
      <w:r>
        <w:t>Dialogue Mode: supportive</w:t>
      </w:r>
    </w:p>
    <w:p>
      <w:r>
        <w:t>Prolific ID: 57165ba7c5aca2000a8d32ca</w:t>
      </w:r>
    </w:p>
    <w:p>
      <w:r>
        <w:t>URL: https://apollolytics-dialogue.vercel.app/dialogue/negative3</w:t>
      </w:r>
    </w:p>
    <w:p>
      <w:r>
        <w:t>--------------------------------------------------</w:t>
      </w:r>
    </w:p>
    <w:p/>
    <w:p>
      <w:r>
        <w:t>assistant: Certainly! One of the key points highlighted in the article is how the recent EU migration policies reflect an increasingly restrictive and harsh stance. The tragic shipwreck off Greece, where hundreds of migrants lost their lives, really underscores the human cost of these strict policies. It’s a stark example of how prioritizing border control over human rights can have devastating consequences.</w:t>
      </w:r>
    </w:p>
    <w:p/>
    <w:p>
      <w:r>
        <w:t>What are your thoughts on how this event links with the broader direction of EU migration policy?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