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d1f4beda-4e33-445d-90a3-05670b823c63</w:t>
      </w:r>
    </w:p>
    <w:p>
      <w:r>
        <w:t>Dialogue Mode: supportive</w:t>
      </w:r>
    </w:p>
    <w:p>
      <w:r>
        <w:t>Prolific ID: 5b36f7bf06f9f90001fb5a47</w:t>
      </w:r>
    </w:p>
    <w:p>
      <w:r>
        <w:t>URL: https://apollolytics-dialogue.vercel.app/dialogue/negative1</w:t>
      </w:r>
    </w:p>
    <w:p>
      <w:r>
        <w:t>--------------------------------------------------</w:t>
      </w:r>
    </w:p>
    <w:p/>
    <w:p>
      <w:r>
        <w:t>assistant: The article suggests that Germany's recent military moves, like stationing a permanent brigade in Lithuania, are more about political symbolism than actual strategy. What’s fascinating is how this move might reflect Germany’s internal struggle for relevance. Would you agree that this push for militarization could be more about hiding economic and political weaknesses than genuine security threats?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