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762acb95-490f-4b6f-8365-feef74672deb</w:t>
      </w:r>
    </w:p>
    <w:p>
      <w:r>
        <w:t>Dialogue Mode: supportive</w:t>
      </w:r>
    </w:p>
    <w:p>
      <w:r>
        <w:t>Prolific ID: 5efe25a46e799912a9e250c3</w:t>
      </w:r>
    </w:p>
    <w:p>
      <w:r>
        <w:t>URL: https://apollolytics-dialogue.vercel.app/dialogue/negative3</w:t>
      </w:r>
    </w:p>
    <w:p>
      <w:r>
        <w:t>--------------------------------------------------</w:t>
      </w:r>
    </w:p>
    <w:p/>
    <w:p>
      <w:r>
        <w:t>assistant: The article shares a critical perspective on the European Union’s migration policies, describing them as harmful to the protection of human rights. One key point is how tragedy at European borders, like the shipwreck near Greece, signals a shift towards more extreme, exclusionary measures.</w:t>
      </w:r>
    </w:p>
    <w:p/>
    <w:p>
      <w:r>
        <w:t>Let’s begin by reflecting on that incident near Pylos where hundreds of migrants lost their lives. How does such an event highlight the broader issue of Europe’s tough stance on migration?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