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28696f2b-f758-46c0-98a2-625dba449f33</w:t>
      </w:r>
    </w:p>
    <w:p>
      <w:r>
        <w:t>Dialogue Mode: supportive</w:t>
      </w:r>
    </w:p>
    <w:p>
      <w:r>
        <w:t>Prolific ID: 66be7301e7d69c455ad941e2</w:t>
      </w:r>
    </w:p>
    <w:p>
      <w:r>
        <w:t>URL: https://apollolytics-dialogue.vercel.app/dialogue/negative1</w:t>
      </w:r>
    </w:p>
    <w:p>
      <w:r>
        <w:t>--------------------------------------------------</w:t>
      </w:r>
    </w:p>
    <w:p/>
    <w:p>
      <w:r>
        <w:t>assistant: Absolutely. Let’s dive into this. The article highlights Germany’s recent deployment of a permanent military brigade abroad for the first time since World War II. This move, the article argues, is less about genuine security needs and more about political posturing and economic opportunism. It suggests that Germany is using the illusion of militarization to maintain relevance while avoiding real transformation or responsibility.</w:t>
      </w:r>
    </w:p>
    <w:p/>
    <w:p>
      <w:r>
        <w:t>What do you think about this idea that Germany’s actions are driven more by weakness than strength?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