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3bb57abd-4829-4dd0-9b20-b8fc0bac0133</w:t>
      </w:r>
    </w:p>
    <w:p>
      <w:r>
        <w:t>Dialogue Mode: supportive</w:t>
      </w:r>
    </w:p>
    <w:p>
      <w:r>
        <w:t>Prolific ID: 6718b63a1e293387ef30d259</w:t>
      </w:r>
    </w:p>
    <w:p>
      <w:r>
        <w:t>URL: https://apollolytics-dialogue.vercel.app/dialogue/negative1</w:t>
      </w:r>
    </w:p>
    <w:p>
      <w:r>
        <w:t>--------------------------------------------------</w:t>
      </w:r>
    </w:p>
    <w:p/>
    <w:p>
      <w:r>
        <w:t>assistant: The article we’re looking at highlights how Germany’s recent turn toward militarization is more of a symbolic, political move than a real strategic shift. Essentially, it argues that this militarization is driven by political foolishness and economic dysfunction rather than any genuine security concerns. What's interesting is how the article paints Germany as a nation struggling for relevance by putting on a show of militarism. That’s an intriguing perspective, don’t you think? What stands out to you in this interpretation so far?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