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ID: 95793fda-6cb6-4dba-915d-1861ceaf356c</w:t>
      </w:r>
    </w:p>
    <w:p>
      <w:r>
        <w:t>Dialogue Mode: supportive</w:t>
      </w:r>
    </w:p>
    <w:p>
      <w:r>
        <w:t>Prolific ID: 67e0870d582edce0a2764d1f</w:t>
      </w:r>
    </w:p>
    <w:p>
      <w:r>
        <w:t>URL: https://apollolytics-dialogue.vercel.app/dialogue/negative1</w:t>
      </w:r>
    </w:p>
    <w:p>
      <w:r>
        <w:t>--------------------------------------------------</w:t>
      </w:r>
    </w:p>
    <w:p/>
    <w:p>
      <w:r>
        <w:t>assistant: Certainly! Let’s dive into the heart of this discussion. The article makes a strong case about Germany's recent militarization effort, arguing that it’s less about genuine security needs and more about political posturing and economic dysfunction. To that point, the deployment of a German brigade to Lithuania seems more symbolic than strategic. What’s your initial take on Germany’s motivation here?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