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000000"/>
          <w:sz w:val="32"/>
        </w:rPr>
        <w:t>IBM TriGuard AI</w:t>
      </w:r>
    </w:p>
    <w:p>
      <w:r>
        <w:rPr>
          <w:rFonts w:ascii="맑은 고딕" w:hAnsi="맑은 고딕" w:eastAsia="맑은 고딕"/>
          <w:b w:val="0"/>
          <w:color w:val="000000"/>
          <w:sz w:val="18"/>
        </w:rPr>
        <w:t>Integrated Automated Vulnerability Assessment &amp; Reporting Suite (Korea Delivery)</w:t>
      </w:r>
    </w:p>
    <w:p>
      <w:pPr>
        <w:pStyle w:val="Title"/>
      </w:pPr>
      <w:r>
        <w:rPr>
          <w:rFonts w:ascii="맑은 고딕" w:hAnsi="맑은 고딕" w:eastAsia="맑은 고딕"/>
          <w:b/>
          <w:color w:val="000000"/>
          <w:sz w:val="54"/>
        </w:rPr>
        <w:t>고객사명 인프라 서버 및 네트워크 점검 결과 보고서</w:t>
      </w:r>
    </w:p>
    <w:p>
      <w:pPr>
        <w:pStyle w:val="Subtitle"/>
      </w:pPr>
      <w:r>
        <w:rPr>
          <w:rFonts w:ascii="맑은 고딕" w:hAnsi="맑은 고딕" w:eastAsia="맑은 고딕"/>
          <w:b w:val="0"/>
          <w:color w:val="000000"/>
          <w:sz w:val="28"/>
        </w:rPr>
        <w:t>검토용 서식</w:t>
      </w:r>
    </w:p>
    <w:p>
      <w:r>
        <w:rPr>
          <w:rFonts w:ascii="맑은 고딕" w:hAnsi="맑은 고딕" w:eastAsia="맑은 고딕"/>
          <w:b w:val="0"/>
          <w:color w:val="000000"/>
          <w:sz w:val="21"/>
        </w:rPr>
        <w:t>작성일  2026년 10월 14일</w:t>
      </w:r>
    </w:p>
    <w:p>
      <w:r>
        <w:rPr>
          <w:rFonts w:ascii="맑은 고딕" w:hAnsi="맑은 고딕" w:eastAsia="맑은 고딕"/>
          <w:b w:val="0"/>
          <w:color w:val="000000"/>
          <w:sz w:val="21"/>
        </w:rPr>
        <w:t>고객사  고객사명</w:t>
      </w:r>
    </w:p>
    <w:p>
      <w:r>
        <w:rPr>
          <w:rFonts w:ascii="맑은 고딕" w:hAnsi="맑은 고딕" w:eastAsia="맑은 고딕"/>
          <w:b w:val="0"/>
          <w:color w:val="000000"/>
          <w:sz w:val="21"/>
        </w:rPr>
        <w:t>점검 기간  실제 점검 기간 입력</w:t>
      </w:r>
    </w:p>
    <w:p>
      <w:r>
        <w:rPr>
          <w:rFonts w:ascii="맑은 고딕" w:hAnsi="맑은 고딕" w:eastAsia="맑은 고딕"/>
          <w:b w:val="0"/>
          <w:color w:val="000000"/>
          <w:sz w:val="21"/>
        </w:rPr>
        <w:t>작성 및 검토 담당  담당자 입력</w:t>
      </w:r>
    </w:p>
    <w:p>
      <w:r>
        <w:rPr>
          <w:rFonts w:ascii="맑은 고딕" w:hAnsi="맑은 고딕" w:eastAsia="맑은 고딕"/>
          <w:b w:val="0"/>
          <w:color w:val="000000"/>
          <w:sz w:val="21"/>
        </w:rPr>
        <w:t>본 보고서는 전체 인프라 점검 판정과 서버별 수행 현황을 표로 정리한 결과 보고서입니다. 경영진은 전체 통계와 미완료 범위를 확인하고 운영 담당자는 서버별 항목 결과표에서 후속 확인 대상을 조회합니다. 개별 취약점의 상세 증적은 원본 자료를 참조합니다.</w:t>
      </w:r>
    </w:p>
    <w:p>
      <w:r>
        <w:rPr>
          <w:rFonts w:ascii="맑은 고딕" w:hAnsi="맑은 고딕" w:eastAsia="맑은 고딕"/>
          <w:b/>
          <w:color w:val="000000"/>
          <w:sz w:val="21"/>
        </w:rPr>
        <w:t>실제 결과가 입력되지 않은 보고서 서식입니다. 빈 통계와 빈 결과표는 양호 판정을 의미하지 않습니다.</w:t>
      </w:r>
    </w:p>
    <w:p>
      <w:pPr>
        <w:pStyle w:val="Heading1"/>
        <w:pageBreakBefore/>
      </w:pPr>
      <w:r>
        <w:rPr>
          <w:rFonts w:ascii="맑은 고딕" w:hAnsi="맑은 고딕" w:eastAsia="맑은 고딕"/>
          <w:b/>
          <w:color w:val="000000"/>
          <w:sz w:val="34"/>
        </w:rPr>
        <w:t>전체 점검 결과 요약 Executive Summary</w:t>
      </w:r>
    </w:p>
    <w:p>
      <w:r>
        <w:rPr>
          <w:rFonts w:ascii="맑은 고딕" w:hAnsi="맑은 고딕" w:eastAsia="맑은 고딕"/>
          <w:b w:val="0"/>
          <w:color w:val="000000"/>
          <w:sz w:val="21"/>
        </w:rPr>
        <w:t>실제 점검 결과의 총 서버 수, 전체 판정 합계와 수행 실패 범위를 입력합니다. 판정이 수집되지 않은 서버를 양호로 계산하지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0"/>
        <w:gridCol w:w="2835"/>
      </w:tblGrid>
      <w:tr>
        <w:trPr>
          <w:tblHeader/>
          <w:cantSplit/>
        </w:trPr>
        <w:tc>
          <w:tcPr>
            <w:tcW w:type="dxa" w:w="6690"/>
            <w:vAlign w:val="center"/>
            <w:shd w:fill="24374B"/>
            <w:tcMar>
              <w:top w:w="80" w:type="dxa"/>
              <w:bottom w:w="80" w:type="dxa"/>
              <w:left w:w="100" w:type="dxa"/>
              <w:right w:w="100" w:type="dxa"/>
            </w:tcMar>
          </w:tcPr>
          <w:p>
            <w:pPr>
              <w:spacing w:after="0" w:line="276" w:lineRule="auto"/>
              <w:jc w:val="left"/>
            </w:pPr>
            <w:r>
              <w:rPr>
                <w:rFonts w:ascii="맑은 고딕" w:hAnsi="맑은 고딕" w:eastAsia="맑은 고딕"/>
                <w:b/>
                <w:color w:val="FFFFFF"/>
                <w:sz w:val="18"/>
              </w:rPr>
              <w:t>지표</w:t>
            </w:r>
          </w:p>
        </w:tc>
        <w:tc>
          <w:tcPr>
            <w:tcW w:type="dxa" w:w="2835"/>
            <w:vAlign w:val="center"/>
            <w:shd w:fill="24374B"/>
            <w:tcMar>
              <w:top w:w="80" w:type="dxa"/>
              <w:bottom w:w="80" w:type="dxa"/>
              <w:left w:w="100" w:type="dxa"/>
              <w:right w:w="100" w:type="dxa"/>
            </w:tcMar>
          </w:tcPr>
          <w:p>
            <w:pPr>
              <w:spacing w:after="0" w:line="276" w:lineRule="auto"/>
              <w:jc w:val="left"/>
            </w:pPr>
            <w:r>
              <w:rPr>
                <w:rFonts w:ascii="맑은 고딕" w:hAnsi="맑은 고딕" w:eastAsia="맑은 고딕"/>
                <w:b/>
                <w:color w:val="FFFFFF"/>
                <w:sz w:val="18"/>
              </w:rPr>
              <w:t>집계 값</w:t>
            </w:r>
          </w:p>
        </w:tc>
      </w:tr>
      <w:tr>
        <w:trPr>
          <w:cantSplit/>
        </w:trPr>
        <w:tc>
          <w:tcPr>
            <w:tcW w:type="dxa" w:w="6690"/>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물리 서버</w:t>
            </w:r>
          </w:p>
        </w:tc>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6690"/>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OS / 서비스 점검 대상</w:t>
            </w:r>
          </w:p>
        </w:tc>
        <w:tc>
          <w:tcPr>
            <w:tcW w:type="dxa" w:w="283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6690"/>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취약 판정 물리 서버</w:t>
            </w:r>
          </w:p>
        </w:tc>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6690"/>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수행 실패 대상</w:t>
            </w:r>
          </w:p>
        </w:tc>
        <w:tc>
          <w:tcPr>
            <w:tcW w:type="dxa" w:w="283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6690"/>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요약과 상세 일치 대상</w:t>
            </w:r>
          </w:p>
        </w:tc>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bl>
    <w:p>
      <w:pPr>
        <w:spacing w:after="0"/>
      </w:pPr>
      <w:r>
        <w:rPr>
          <w:rFonts w:ascii="맑은 고딕" w:hAnsi="맑은 고딕" w:eastAsia="맑은 고딕"/>
          <w:b w:val="0"/>
          <w:color w:val="000000"/>
          <w:sz w:val="21"/>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835"/>
        <w:gridCol w:w="3855"/>
      </w:tblGrid>
      <w:tr>
        <w:trPr>
          <w:tblHeader/>
          <w:cantSplit/>
        </w:trPr>
        <w:tc>
          <w:tcPr>
            <w:tcW w:type="dxa" w:w="2835"/>
            <w:vAlign w:val="center"/>
            <w:shd w:fill="24374B"/>
            <w:tcMar>
              <w:top w:w="80" w:type="dxa"/>
              <w:bottom w:w="80" w:type="dxa"/>
              <w:left w:w="100" w:type="dxa"/>
              <w:right w:w="100" w:type="dxa"/>
            </w:tcMar>
          </w:tcPr>
          <w:p>
            <w:pPr>
              <w:spacing w:after="0" w:line="276" w:lineRule="auto"/>
              <w:jc w:val="left"/>
            </w:pPr>
            <w:r>
              <w:rPr>
                <w:rFonts w:ascii="맑은 고딕" w:hAnsi="맑은 고딕" w:eastAsia="맑은 고딕"/>
                <w:b/>
                <w:color w:val="FFFFFF"/>
                <w:sz w:val="18"/>
              </w:rPr>
              <w:t>판정</w:t>
            </w:r>
          </w:p>
        </w:tc>
        <w:tc>
          <w:tcPr>
            <w:tcW w:type="dxa" w:w="2835"/>
            <w:vAlign w:val="center"/>
            <w:shd w:fill="24374B"/>
            <w:tcMar>
              <w:top w:w="80" w:type="dxa"/>
              <w:bottom w:w="80" w:type="dxa"/>
              <w:left w:w="100" w:type="dxa"/>
              <w:right w:w="100" w:type="dxa"/>
            </w:tcMar>
          </w:tcPr>
          <w:p>
            <w:pPr>
              <w:spacing w:after="0" w:line="276" w:lineRule="auto"/>
              <w:jc w:val="left"/>
            </w:pPr>
            <w:r>
              <w:rPr>
                <w:rFonts w:ascii="맑은 고딕" w:hAnsi="맑은 고딕" w:eastAsia="맑은 고딕"/>
                <w:b/>
                <w:color w:val="FFFFFF"/>
                <w:sz w:val="18"/>
              </w:rPr>
              <w:t>건수</w:t>
            </w:r>
          </w:p>
        </w:tc>
        <w:tc>
          <w:tcPr>
            <w:tcW w:type="dxa" w:w="3855"/>
            <w:vAlign w:val="center"/>
            <w:shd w:fill="24374B"/>
            <w:tcMar>
              <w:top w:w="80" w:type="dxa"/>
              <w:bottom w:w="80" w:type="dxa"/>
              <w:left w:w="100" w:type="dxa"/>
              <w:right w:w="100" w:type="dxa"/>
            </w:tcMar>
          </w:tcPr>
          <w:p>
            <w:pPr>
              <w:spacing w:after="0" w:line="276" w:lineRule="auto"/>
              <w:jc w:val="left"/>
            </w:pPr>
            <w:r>
              <w:rPr>
                <w:rFonts w:ascii="맑은 고딕" w:hAnsi="맑은 고딕" w:eastAsia="맑은 고딕"/>
                <w:b/>
                <w:color w:val="FFFFFF"/>
                <w:sz w:val="18"/>
              </w:rPr>
              <w:t>전체 판정 중 비율</w:t>
            </w:r>
          </w:p>
        </w:tc>
      </w:tr>
      <w:tr>
        <w:trPr>
          <w:cantSplit/>
        </w:trPr>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양호</w:t>
            </w:r>
          </w:p>
        </w:tc>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c>
          <w:tcPr>
            <w:tcW w:type="dxa" w:w="385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283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취약</w:t>
            </w:r>
          </w:p>
        </w:tc>
        <w:tc>
          <w:tcPr>
            <w:tcW w:type="dxa" w:w="283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c>
          <w:tcPr>
            <w:tcW w:type="dxa" w:w="385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수동 확인</w:t>
            </w:r>
          </w:p>
        </w:tc>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c>
          <w:tcPr>
            <w:tcW w:type="dxa" w:w="385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283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해당 없음</w:t>
            </w:r>
          </w:p>
        </w:tc>
        <w:tc>
          <w:tcPr>
            <w:tcW w:type="dxa" w:w="283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c>
          <w:tcPr>
            <w:tcW w:type="dxa" w:w="3855"/>
            <w:vAlign w:val="center"/>
            <w:shd w:fill="F2F5F8"/>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r>
        <w:trPr>
          <w:cantSplit/>
        </w:trPr>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판정 합계</w:t>
            </w:r>
          </w:p>
        </w:tc>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c>
          <w:tcPr>
            <w:tcW w:type="dxa" w:w="385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r>
    </w:tbl>
    <w:p>
      <w:pPr>
        <w:spacing w:after="0"/>
      </w:pPr>
      <w:r>
        <w:rPr>
          <w:rFonts w:ascii="맑은 고딕" w:hAnsi="맑은 고딕" w:eastAsia="맑은 고딕"/>
          <w:b w:val="0"/>
          <w:color w:val="000000"/>
          <w:sz w:val="21"/>
        </w:rPr>
      </w:r>
    </w:p>
    <w:p>
      <w:r>
        <w:rPr>
          <w:rFonts w:ascii="맑은 고딕" w:hAnsi="맑은 고딕" w:eastAsia="맑은 고딕"/>
          <w:b w:val="0"/>
          <w:color w:val="000000"/>
          <w:sz w:val="18"/>
        </w:rPr>
        <w:t>양호율  미입력  · 양호 ÷ (양호 + 취약). 수동 확인과 해당 없음은 양호율의 분모에서 제외합니다. 위 판정 비율의 분모는 모든 판정 합계입니다.</w:t>
      </w:r>
    </w:p>
    <w:p>
      <w:pPr>
        <w:pStyle w:val="Heading1"/>
        <w:pageBreakBefore/>
      </w:pPr>
      <w:r>
        <w:rPr>
          <w:rFonts w:ascii="맑은 고딕" w:hAnsi="맑은 고딕" w:eastAsia="맑은 고딕"/>
          <w:b/>
          <w:color w:val="000000"/>
          <w:sz w:val="34"/>
        </w:rPr>
        <w:t>점검 범위와 집계 기준</w:t>
      </w:r>
    </w:p>
    <w:p>
      <w:r>
        <w:rPr>
          <w:rFonts w:ascii="맑은 고딕" w:hAnsi="맑은 고딕" w:eastAsia="맑은 고딕"/>
          <w:b w:val="0"/>
          <w:color w:val="000000"/>
          <w:sz w:val="21"/>
        </w:rPr>
        <w:t>실제 점검한 서버 및 네트워크 장비와 제외 범위를 입력합니다.</w:t>
      </w:r>
    </w:p>
    <w:p>
      <w:r>
        <w:rPr>
          <w:rFonts w:ascii="맑은 고딕" w:hAnsi="맑은 고딕" w:eastAsia="맑은 고딕"/>
          <w:b w:val="0"/>
          <w:color w:val="000000"/>
          <w:sz w:val="21"/>
        </w:rPr>
        <w:t>전체 판정과 서버별 합계는 원본 요약을 사용합니다. 점검 항목별 통계와 서버별 항목 결과표는 실제 수집된 상세 판정만 사용합니다. 요약과 상세가 일치하지 않으면 두 표의 합계가 다를 수 있으며, 이를 미완전 결과로 표시합니다. 접속 확인만 수행한 작업은 포함하지 않습니다.</w:t>
      </w:r>
    </w:p>
    <w:p>
      <w:r>
        <w:rPr>
          <w:rFonts w:ascii="맑은 고딕" w:hAnsi="맑은 고딕" w:eastAsia="맑은 고딕"/>
          <w:b w:val="0"/>
          <w:color w:val="000000"/>
          <w:sz w:val="21"/>
        </w:rPr>
        <w:t>Excel 결과표는 서버별 OS·서비스 인스턴스가 행, 점검 종류별 항목이 열입니다. 서버명과 헤더를 고정하고 판정을 색상으로 구분합니다. 결과 없음은 상세 판정이 수집되지 않았거나 해당 서버의 점검 범위 밖인 경우이며, 해당 없음 판정을 대신하지 않습니다. 전체 결과 CSV와 원본 증적에서 판정 근거를 확인할 수 있습니다.</w:t>
      </w:r>
    </w:p>
    <w:p>
      <w:pPr>
        <w:pStyle w:val="Heading1"/>
        <w:pageBreakBefore/>
      </w:pPr>
      <w:r>
        <w:rPr>
          <w:rFonts w:ascii="맑은 고딕" w:hAnsi="맑은 고딕" w:eastAsia="맑은 고딕"/>
          <w:b/>
          <w:color w:val="000000"/>
          <w:sz w:val="34"/>
        </w:rPr>
        <w:t>점검 항목별 판정 통계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020"/>
        <w:gridCol w:w="2721"/>
        <w:gridCol w:w="794"/>
        <w:gridCol w:w="794"/>
        <w:gridCol w:w="907"/>
        <w:gridCol w:w="1020"/>
        <w:gridCol w:w="1020"/>
      </w:tblGrid>
      <w:tr>
        <w:trPr>
          <w:tblHeader/>
          <w:cantSplit/>
        </w:trPr>
        <w:tc>
          <w:tcPr>
            <w:tcW w:type="dxa" w:w="1247"/>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점검 종류</w:t>
            </w:r>
          </w:p>
        </w:tc>
        <w:tc>
          <w:tcPr>
            <w:tcW w:type="dxa" w:w="1020"/>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항목 ID</w:t>
            </w:r>
          </w:p>
        </w:tc>
        <w:tc>
          <w:tcPr>
            <w:tcW w:type="dxa" w:w="2721"/>
            <w:vAlign w:val="center"/>
            <w:shd w:fill="24374B"/>
            <w:tcMar>
              <w:top w:w="80" w:type="dxa"/>
              <w:bottom w:w="80" w:type="dxa"/>
              <w:left w:w="100" w:type="dxa"/>
              <w:right w:w="100" w:type="dxa"/>
            </w:tcMar>
          </w:tcPr>
          <w:p>
            <w:pPr>
              <w:spacing w:after="0" w:line="276" w:lineRule="auto"/>
              <w:jc w:val="left"/>
            </w:pPr>
            <w:r>
              <w:rPr>
                <w:rFonts w:ascii="맑은 고딕" w:hAnsi="맑은 고딕" w:eastAsia="맑은 고딕"/>
                <w:b/>
                <w:color w:val="FFFFFF"/>
                <w:sz w:val="18"/>
              </w:rPr>
              <w:t>점검 항목</w:t>
            </w:r>
          </w:p>
        </w:tc>
        <w:tc>
          <w:tcPr>
            <w:tcW w:type="dxa" w:w="794"/>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양호</w:t>
            </w:r>
          </w:p>
        </w:tc>
        <w:tc>
          <w:tcPr>
            <w:tcW w:type="dxa" w:w="794"/>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취약</w:t>
            </w:r>
          </w:p>
        </w:tc>
        <w:tc>
          <w:tcPr>
            <w:tcW w:type="dxa" w:w="907"/>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수동</w:t>
            </w:r>
          </w:p>
        </w:tc>
        <w:tc>
          <w:tcPr>
            <w:tcW w:type="dxa" w:w="1020"/>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해당 없음</w:t>
            </w:r>
          </w:p>
        </w:tc>
        <w:tc>
          <w:tcPr>
            <w:tcW w:type="dxa" w:w="1020"/>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합계</w:t>
            </w:r>
          </w:p>
        </w:tc>
      </w:tr>
      <w:tr>
        <w:trPr>
          <w:cantSplit/>
        </w:trPr>
        <w:tc>
          <w:tcPr>
            <w:tcW w:type="dxa" w:w="1247"/>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1020"/>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2721"/>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실제 점검 항목</w:t>
            </w:r>
          </w:p>
        </w:tc>
        <w:tc>
          <w:tcPr>
            <w:tcW w:type="dxa" w:w="794"/>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794"/>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907"/>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1020"/>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1020"/>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r>
    </w:tbl>
    <w:p>
      <w:pPr>
        <w:spacing w:after="0"/>
      </w:pPr>
      <w:r>
        <w:rPr>
          <w:rFonts w:ascii="맑은 고딕" w:hAnsi="맑은 고딕" w:eastAsia="맑은 고딕"/>
          <w:b w:val="0"/>
          <w:color w:val="000000"/>
          <w:sz w:val="21"/>
        </w:rPr>
      </w:r>
    </w:p>
    <w:p>
      <w:r>
        <w:rPr>
          <w:rFonts w:ascii="맑은 고딕" w:hAnsi="맑은 고딕" w:eastAsia="맑은 고딕"/>
          <w:b w:val="0"/>
          <w:color w:val="000000"/>
          <w:sz w:val="18"/>
        </w:rPr>
        <w:t>각 행은 동일 점검 종류와 항목의 인스턴스별 판정 합계입니다. DBMS나 WAS 제품이 다르면 항목 ID가 같아도 분리합니다. 상세 결과가 없는 항목은 임의로 생성하지 않습니다.</w:t>
      </w:r>
    </w:p>
    <w:p>
      <w:pPr>
        <w:pStyle w:val="Heading1"/>
        <w:pageBreakBefore/>
      </w:pPr>
      <w:r>
        <w:rPr>
          <w:rFonts w:ascii="맑은 고딕" w:hAnsi="맑은 고딕" w:eastAsia="맑은 고딕"/>
          <w:b/>
          <w:color w:val="000000"/>
          <w:sz w:val="34"/>
        </w:rPr>
        <w:t>서버별 점검 결과 현황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134"/>
        <w:gridCol w:w="1020"/>
        <w:gridCol w:w="794"/>
        <w:gridCol w:w="794"/>
        <w:gridCol w:w="907"/>
        <w:gridCol w:w="1020"/>
        <w:gridCol w:w="1020"/>
      </w:tblGrid>
      <w:tr>
        <w:trPr>
          <w:tblHeader/>
          <w:cantSplit/>
        </w:trPr>
        <w:tc>
          <w:tcPr>
            <w:tcW w:type="dxa" w:w="2835"/>
            <w:vAlign w:val="center"/>
            <w:shd w:fill="24374B"/>
            <w:tcMar>
              <w:top w:w="80" w:type="dxa"/>
              <w:bottom w:w="80" w:type="dxa"/>
              <w:left w:w="100" w:type="dxa"/>
              <w:right w:w="100" w:type="dxa"/>
            </w:tcMar>
          </w:tcPr>
          <w:p>
            <w:pPr>
              <w:spacing w:after="0" w:line="276" w:lineRule="auto"/>
              <w:jc w:val="left"/>
            </w:pPr>
            <w:r>
              <w:rPr>
                <w:rFonts w:ascii="맑은 고딕" w:hAnsi="맑은 고딕" w:eastAsia="맑은 고딕"/>
                <w:b/>
                <w:color w:val="FFFFFF"/>
                <w:sz w:val="18"/>
              </w:rPr>
              <w:t>서버 / 인스턴스</w:t>
            </w:r>
          </w:p>
        </w:tc>
        <w:tc>
          <w:tcPr>
            <w:tcW w:type="dxa" w:w="1134"/>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유형</w:t>
            </w:r>
          </w:p>
        </w:tc>
        <w:tc>
          <w:tcPr>
            <w:tcW w:type="dxa" w:w="1020"/>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수행</w:t>
            </w:r>
          </w:p>
        </w:tc>
        <w:tc>
          <w:tcPr>
            <w:tcW w:type="dxa" w:w="794"/>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양호</w:t>
            </w:r>
          </w:p>
        </w:tc>
        <w:tc>
          <w:tcPr>
            <w:tcW w:type="dxa" w:w="794"/>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취약</w:t>
            </w:r>
          </w:p>
        </w:tc>
        <w:tc>
          <w:tcPr>
            <w:tcW w:type="dxa" w:w="907"/>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수동</w:t>
            </w:r>
          </w:p>
        </w:tc>
        <w:tc>
          <w:tcPr>
            <w:tcW w:type="dxa" w:w="1020"/>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해당 없음</w:t>
            </w:r>
          </w:p>
        </w:tc>
        <w:tc>
          <w:tcPr>
            <w:tcW w:type="dxa" w:w="1020"/>
            <w:vAlign w:val="center"/>
            <w:shd w:fill="24374B"/>
            <w:tcMar>
              <w:top w:w="80" w:type="dxa"/>
              <w:bottom w:w="80" w:type="dxa"/>
              <w:left w:w="100" w:type="dxa"/>
              <w:right w:w="100" w:type="dxa"/>
            </w:tcMar>
          </w:tcPr>
          <w:p>
            <w:pPr>
              <w:spacing w:after="0" w:line="276" w:lineRule="auto"/>
              <w:jc w:val="center"/>
            </w:pPr>
            <w:r>
              <w:rPr>
                <w:rFonts w:ascii="맑은 고딕" w:hAnsi="맑은 고딕" w:eastAsia="맑은 고딕"/>
                <w:b/>
                <w:color w:val="FFFFFF"/>
                <w:sz w:val="18"/>
              </w:rPr>
              <w:t>합계</w:t>
            </w:r>
          </w:p>
        </w:tc>
      </w:tr>
      <w:tr>
        <w:trPr>
          <w:cantSplit/>
        </w:trPr>
        <w:tc>
          <w:tcPr>
            <w:tcW w:type="dxa" w:w="2835"/>
            <w:vAlign w:val="center"/>
            <w:shd w:fill="FFFFFF"/>
            <w:tcMar>
              <w:top w:w="80" w:type="dxa"/>
              <w:bottom w:w="80" w:type="dxa"/>
              <w:left w:w="100" w:type="dxa"/>
              <w:right w:w="100" w:type="dxa"/>
            </w:tcMar>
          </w:tcPr>
          <w:p>
            <w:pPr>
              <w:spacing w:after="0" w:line="276" w:lineRule="auto"/>
              <w:jc w:val="left"/>
            </w:pPr>
            <w:r>
              <w:rPr>
                <w:rFonts w:ascii="맑은 고딕" w:hAnsi="맑은 고딕" w:eastAsia="맑은 고딕"/>
                <w:b w:val="0"/>
                <w:color w:val="000000"/>
                <w:sz w:val="18"/>
              </w:rPr>
              <w:t>미입력</w:t>
            </w:r>
          </w:p>
        </w:tc>
        <w:tc>
          <w:tcPr>
            <w:tcW w:type="dxa" w:w="1134"/>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1020"/>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794"/>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794"/>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907"/>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1020"/>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c>
          <w:tcPr>
            <w:tcW w:type="dxa" w:w="1020"/>
            <w:vAlign w:val="center"/>
            <w:shd w:fill="FFFFFF"/>
            <w:tcMar>
              <w:top w:w="80" w:type="dxa"/>
              <w:bottom w:w="80" w:type="dxa"/>
              <w:left w:w="100" w:type="dxa"/>
              <w:right w:w="100" w:type="dxa"/>
            </w:tcMar>
          </w:tcPr>
          <w:p>
            <w:pPr>
              <w:spacing w:after="0" w:line="276" w:lineRule="auto"/>
              <w:jc w:val="center"/>
            </w:pPr>
            <w:r>
              <w:rPr>
                <w:rFonts w:ascii="맑은 고딕" w:hAnsi="맑은 고딕" w:eastAsia="맑은 고딕"/>
                <w:b w:val="0"/>
                <w:color w:val="000000"/>
                <w:sz w:val="18"/>
              </w:rPr>
              <w:t>미입력</w:t>
            </w:r>
          </w:p>
        </w:tc>
      </w:tr>
    </w:tbl>
    <w:p>
      <w:pPr>
        <w:spacing w:after="0"/>
      </w:pPr>
      <w:r>
        <w:rPr>
          <w:rFonts w:ascii="맑은 고딕" w:hAnsi="맑은 고딕" w:eastAsia="맑은 고딕"/>
          <w:b w:val="0"/>
          <w:color w:val="000000"/>
          <w:sz w:val="21"/>
        </w:rPr>
      </w:r>
    </w:p>
    <w:p>
      <w:r>
        <w:rPr>
          <w:rFonts w:ascii="맑은 고딕" w:hAnsi="맑은 고딕" w:eastAsia="맑은 고딕"/>
          <w:b w:val="0"/>
          <w:color w:val="000000"/>
          <w:sz w:val="18"/>
        </w:rPr>
        <w:t>이 표는 모든 OS·서비스 점검 대상을 포함하며 같은 서버의 인스턴스는 별도 행으로 표시합니다. 서버별 항목 판정 전체는 함께 추출한 Excel 결과표에서 조회합니다. 개별 증적이나 항목별 장문의 설명을 본문에 반복하지 않습니다.</w:t>
      </w:r>
    </w:p>
    <w:sectPr w:rsidR="00FC693F" w:rsidRPr="0006063C" w:rsidSect="00034616">
      <w:headerReference w:type="default" r:id="rId9"/>
      <w:footerReference w:type="default" r:id="rId10"/>
      <w:pgSz w:w="12240" w:h="15840"/>
      <w:pgMar w:top="1134" w:right="1358" w:bottom="1134" w:left="1358"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rPr>
        <w:rFonts w:ascii="맑은 고딕" w:hAnsi="맑은 고딕" w:eastAsia="맑은 고딕"/>
        <w:b w:val="0"/>
        <w:color w:val="000000"/>
        <w:sz w:val="16"/>
      </w:rPr>
      <w:t>고객사명</w:t>
    </w:r>
    <w:r>
      <w:rPr>
        <w:rFonts w:ascii="맑은 고딕" w:hAnsi="맑은 고딕" w:eastAsia="맑은 고딕"/>
        <w:b w:val="0"/>
        <w:color w:val="000000"/>
        <w:sz w:val="16"/>
      </w:rPr>
      <w:tab/>
      <w:t xml:space="preserve">대외비  |  </w:t>
    </w:r>
    <w:fldSimple w:instr="PAGE">
      <w:r>
        <w:t>1</w:t>
      </w:r>
    </w:fldSimple>
    <w:r>
      <w:rPr>
        <w:rFonts w:ascii="맑은 고딕" w:hAnsi="맑은 고딕" w:eastAsia="맑은 고딕"/>
        <w:b w:val="0"/>
        <w:color w:val="000000"/>
        <w:sz w:val="16"/>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val="0"/>
        <w:color w:val="000000"/>
        <w:sz w:val="16"/>
      </w:rPr>
      <w:t>IBM TriGuard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8" w:lineRule="auto"/>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288" w:lineRule="auto"/>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88" w:lineRule="auto"/>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8" w:lineRule="auto"/>
      <w:contextualSpacing/>
    </w:pPr>
    <w:rPr>
      <w:rFonts w:asciiTheme="majorHAnsi" w:eastAsiaTheme="majorEastAsia" w:hAnsiTheme="majorHAnsi" w:cstheme="majorBidi" w:ascii="맑은 고딕" w:hAnsi="맑은 고딕" w:eastAsia="맑은 고딕"/>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8" w:lineRule="auto"/>
    </w:pPr>
    <w:rPr>
      <w:rFonts w:asciiTheme="majorHAnsi" w:eastAsiaTheme="majorEastAsia" w:hAnsiTheme="majorHAnsi" w:cstheme="majorBidi" w:ascii="맑은 고딕" w:hAnsi="맑은 고딕" w:eastAsia="맑은 고딕"/>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고객사명 인프라 서버 및 네트워크 점검 결과 보고서</dc:title>
  <dc:subject/>
  <dc:creator>IBM TriGuard AI</dc:creator>
  <cp:keywords/>
  <dc:description>generated by python-docx</dc:description>
  <cp:lastModifiedBy/>
  <cp:revision>1</cp:revision>
  <dcterms:created xsi:type="dcterms:W3CDTF">2013-12-23T23:15:00Z</dcterms:created>
  <dcterms:modified xsi:type="dcterms:W3CDTF">2013-12-23T23:15:00Z</dcterms:modified>
  <cp:category/>
</cp:coreProperties>
</file>