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00000"/>
          <w:sz w:val="22"/>
        </w:rPr>
        <w:t>보안 점검 보고서</w:t>
      </w:r>
    </w:p>
    <w:p>
      <w:r>
        <w:rPr>
          <w:rFonts w:ascii="맑은 고딕" w:hAnsi="맑은 고딕" w:eastAsia="맑은 고딕"/>
          <w:b/>
          <w:color w:val="000000"/>
          <w:sz w:val="32"/>
        </w:rPr>
        <w:t>IBM TriGuard AI</w:t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Integrated Automated Vulnerability Assessment &amp; Reporting Suite (Korea Delivery)</w:t>
      </w:r>
    </w:p>
    <w:p>
      <w:pPr>
        <w:pStyle w:val="Title"/>
      </w:pPr>
      <w:r>
        <w:rPr>
          <w:rFonts w:ascii="맑은 고딕" w:hAnsi="맑은 고딕" w:eastAsia="맑은 고딕"/>
          <w:b/>
          <w:color w:val="000000"/>
          <w:sz w:val="54"/>
        </w:rPr>
        <w:t>고객사명 웹서버 취약점 점검 보고서</w:t>
      </w:r>
    </w:p>
    <w:p>
      <w:pPr>
        <w:pStyle w:val="Subtitle"/>
      </w:pPr>
      <w:r>
        <w:rPr>
          <w:rFonts w:ascii="맑은 고딕" w:hAnsi="맑은 고딕" w:eastAsia="맑은 고딕"/>
          <w:b w:val="0"/>
          <w:color w:val="000000"/>
          <w:sz w:val="28"/>
        </w:rPr>
        <w:t>검토용 서식</w:t>
      </w:r>
    </w:p>
    <w:p>
      <w:r>
        <w:rPr>
          <w:rFonts w:ascii="맑은 고딕" w:hAnsi="맑은 고딕" w:eastAsia="맑은 고딕"/>
          <w:b w:val="0"/>
          <w:color w:val="000000"/>
          <w:sz w:val="26"/>
        </w:rPr>
        <w:t>웹서버 취약점 점검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작성일  2026년 10월 13일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점검 기간  실제 점검 기간 입력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작성 및 검토 담당  담당자 입력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문서 버전  1.0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본 문서는 승인된 점검 범위의 결과를 경영진과 운영 담당자가 함께 검토하고 개선 우선순위를 결정하기 위한 자료입니다. 상세 증적에는 내부 구성 정보가 포함될 수 있으므로 고객사의 문서 관리 정책에 따라 취급하십시오.</w:t>
      </w:r>
    </w:p>
    <w:p>
      <w:r>
        <w:rPr>
          <w:rFonts w:ascii="맑은 고딕" w:hAnsi="맑은 고딕" w:eastAsia="맑은 고딕"/>
          <w:b/>
          <w:color w:val="000000"/>
          <w:sz w:val="21"/>
        </w:rPr>
        <w:t>이 문서는 보고서 서식입니다. 실측 점검 결과와 담당자 검토 내용을 입력한 뒤 고객 제출본으로 확정하십시오. 아래 빈 통계는 양호 또는 취약 여부를 의미하지 않습니다.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경영진 요약 Executive Summary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핵심 결론과 사업 영향을 작성합니다. 실제 점검 결과에 근거하여 우선 조치할 위험, 운영상 제약, 경영진이 결정해야 할 사항을 설명하십시오. 미확인 영역은 판단이 유보되어 있음을 명시합니다.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1701"/>
        <w:gridCol w:w="3061"/>
        <w:gridCol w:w="1701"/>
      </w:tblGrid>
      <w:tr>
        <w:trPr>
          <w:tblHeader/>
        </w:trPr>
        <w:tc>
          <w:tcPr>
            <w:tcW w:type="dxa" w:w="306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70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집계 값</w:t>
            </w:r>
          </w:p>
        </w:tc>
        <w:tc>
          <w:tcPr>
            <w:tcW w:type="dxa" w:w="306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70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집계 값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점검 대상 자산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수행 실패 자산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취약 자산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항목 결과 합계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양호 판정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취약 판정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수동 확인 판정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해당 없음 판정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항목 결과 합계는 자산별 점검 결과의 합입니다. 양호율은 양호 ÷ 양호와 취약의 합으로 계산하며 수동 확인과 해당 없음은 분모에서 제외합니다. 수행 실패와 상세 증적 누락은 별도 표시합니다.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우선 의사결정과 권고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우선 조치 항목의 담당 조직과 목표 일정을 지정하십시오. 시스템 변경 전 백업과 복구 방법을 확인하고, 변경 후 재점검에서 동일 항목의 개선 여부와 서비스 정상 동작을 확인해야 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점검 개요와 결과 분석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대상과 수행 범위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점검한 서비스 주소와 역할 및 제외 범위를 입력합니다.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결과는 제공된 원본과 수집된 증적 범위에서 작성합니다. 계정 권한 부족, 연결 실패, 수동 판단 필요 항목과 제외 범위를 기록하고 추가 확인 결과에 따라 결론을 갱신합니다.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위험도별 취약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tblHeader/>
        </w:trPr>
        <w:tc>
          <w:tcPr>
            <w:tcW w:type="dxa" w:w="2835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위험도</w:t>
            </w:r>
          </w:p>
        </w:tc>
        <w:tc>
          <w:tcPr>
            <w:tcW w:type="dxa" w:w="6690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증적에서 확인된 건수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높음</w:t>
            </w:r>
          </w:p>
        </w:tc>
        <w:tc>
          <w:tcPr>
            <w:tcW w:type="dxa" w:w="6690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중간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낮음</w:t>
            </w:r>
          </w:p>
        </w:tc>
        <w:tc>
          <w:tcPr>
            <w:tcW w:type="dxa" w:w="6690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정보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미분류</w:t>
            </w:r>
          </w:p>
        </w:tc>
        <w:tc>
          <w:tcPr>
            <w:tcW w:type="dxa" w:w="6690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위험도는 원본 결과의 값을 사용합니다. 위험도가 없으면 미분류로 표시하며 자동으로 CVSS 점수나 위험도를 만들어 넣지 않습니다. 상세 증적이 부족하면 위 위험도 합계가 전체 취약 판정 합계와 다를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주요 취약점 상세와 개선 계획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취약점 사례 작성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확인된 결과가 없으면 취약점 사례를 작성하지 않습니다. 아래 항목은 실측 결과를 검토할 때 채워야 하는 구성입니다.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항목 식별자와 취약점명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영향받는 자산과 위험도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관찰 내용과 재현 조건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기술적 영향과 사업 영향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증적과 판정 근거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권고 조치와 검증 방법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개선 추진과 재점검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2721"/>
      </w:tblGrid>
      <w:tr>
        <w:trPr>
          <w:tblHeader/>
        </w:trPr>
        <w:tc>
          <w:tcPr>
            <w:tcW w:type="dxa" w:w="170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5102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실행 내용</w:t>
            </w:r>
          </w:p>
        </w:tc>
        <w:tc>
          <w:tcPr>
            <w:tcW w:type="dxa" w:w="272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 및 일정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우선 조치</w:t>
            </w:r>
          </w:p>
        </w:tc>
        <w:tc>
          <w:tcPr>
            <w:tcW w:type="dxa" w:w="51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 및 높은 위험과 미분류 취약점을 검토하고 임시 완화 여부 결정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담당자와 목표일 입력</w:t>
            </w:r>
          </w:p>
        </w:tc>
      </w:tr>
      <w:tr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개선 실행</w:t>
            </w:r>
          </w:p>
        </w:tc>
        <w:tc>
          <w:tcPr>
            <w:tcW w:type="dxa" w:w="5102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승인된 변경 계획에 따라 설정 수정 패치 권한 정비 수행</w:t>
            </w:r>
          </w:p>
        </w:tc>
        <w:tc>
          <w:tcPr>
            <w:tcW w:type="dxa" w:w="272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담당자와 목표일 입력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재점검</w:t>
            </w:r>
          </w:p>
        </w:tc>
        <w:tc>
          <w:tcPr>
            <w:tcW w:type="dxa" w:w="51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항목의 개선 증적과 서비스 정상 동작 확인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담당자와 목표일 입력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부록과 증적 관리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본문 상세 사례는 최대 30건으로 제한합니다. 전체 결과 CSV 부록은 이 제한과 관계없이 검증 가능한 모든 항목을 포함합니다. 원본 ZIP 또는 TAR 증적은 별도로 보존하고 항목 식별자와 원본 위치로 추적합니다.</w:t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민감정보는 문서와 CSV에서 마스킹합니다. 자동 마스킹이 모든 형태의 비밀정보를 찾아내는 것은 아니므로 제출 전에 증적과 첨부 자료를 검토하십시오.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58" w:bottom="1134" w:left="1358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rFonts w:ascii="맑은 고딕" w:hAnsi="맑은 고딕" w:eastAsia="맑은 고딕"/>
        <w:b w:val="0"/>
        <w:color w:val="000000"/>
        <w:sz w:val="16"/>
      </w:rPr>
      <w:t>고객사명</w:t>
    </w:r>
    <w:r>
      <w:rPr>
        <w:rFonts w:ascii="맑은 고딕" w:hAnsi="맑은 고딕" w:eastAsia="맑은 고딕"/>
        <w:b w:val="0"/>
        <w:color w:val="000000"/>
        <w:sz w:val="16"/>
      </w:rPr>
      <w:tab/>
      <w:t xml:space="preserve">대외비  |  </w:t>
    </w:r>
    <w:fldSimple w:instr="PAGE">
      <w:r>
        <w:t>1</w:t>
      </w:r>
    </w:fldSimple>
    <w:r>
      <w:rPr>
        <w:rFonts w:ascii="맑은 고딕" w:hAnsi="맑은 고딕" w:eastAsia="맑은 고딕"/>
        <w:b w:val="0"/>
        <w:color w:val="000000"/>
        <w:sz w:val="16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6"/>
      </w:rPr>
      <w:t>IBM TriGuard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8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고객사명 웹서버 취약점 점검 보고서</dc:title>
  <dc:subject/>
  <dc:creator>IBM TriGuard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