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w:spacing w:before="0" w:after="0" w:line="360" w:lineRule="auto"/>
        <w:ind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МИНИСТЕРСТВО НАУКИ И ВЫСШЕГО ОБРАЗОВАНИЯ РОССИЙСКОЙ ФЕДЕРАЦИИ</w:t>
      </w:r>
    </w:p>
    <w:p>
      <w:pPr>
        <w:pStyle w:val="Основной текст"/>
        <w:spacing w:before="0" w:after="0" w:line="360" w:lineRule="auto"/>
        <w:ind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Федеральное государственное автономное образовательное учреждение высшего образования</w:t>
      </w:r>
    </w:p>
    <w:p>
      <w:pPr>
        <w:pStyle w:val="Основной текст"/>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«ЮЖНЫЙ ФЕДЕРАЛЬНЫЙ УНИВЕРСИТЕТ»</w:t>
      </w:r>
    </w:p>
    <w:p>
      <w:pPr>
        <w:pStyle w:val="Основной текст"/>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Институт филологии, журналистики и межкультурной коммуникации</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Спринчан Ирина Андреевна</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ВЫПУСКНАЯ КВАЛИФИКАЦИОННАЯ РАБОТА БАКАЛАВРА</w:t>
      </w:r>
    </w:p>
    <w:p>
      <w:pPr>
        <w:pStyle w:val="Основной текст"/>
        <w:spacing w:before="0" w:after="0" w:line="360" w:lineRule="auto"/>
        <w:ind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по направлению подготовки</w:t>
      </w:r>
    </w:p>
    <w:p>
      <w:pPr>
        <w:pStyle w:val="Основной текст"/>
        <w:spacing w:before="0" w:after="0" w:line="360" w:lineRule="auto"/>
        <w:ind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45.03.04 Интеллектуальные системы в гуманитарной сфере</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ЦИФРОВАЯ ТРАНСФОРМАЦИЯ МОДНОГО ДИСКУРСА: ИССЛЕДОВАНИЕ С ПРИМЕНЕНИЕМ МЕТОДОВ ОБРАБОТКИ ЕСТЕСТВЕННОГО ЯЗЫКА</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jc w:val="right"/>
        <w:rPr>
          <w:rFonts w:ascii="Times New Roman" w:hAnsi="Times New Roman" w:cs="Times New Roman"/>
          <w:sz w:val="28"/>
          <w:szCs w:val="28"/>
        </w:rPr>
      </w:pPr>
      <w:r>
        <w:rPr>
          <w:rFonts w:ascii="Times New Roman" w:hAnsi="Times New Roman" w:cs="Times New Roman"/>
          <w:sz w:val="28"/>
          <w:szCs w:val="28"/>
          <w:lang w:val="ru-RU"/>
        </w:rPr>
        <w:t xml:space="preserve">Научный руководитель: канд. филол. наук, ст. преподаватель</w:t>
      </w:r>
    </w:p>
    <w:p>
      <w:pPr>
        <w:pStyle w:val="Основной текст"/>
        <w:spacing w:before="0" w:after="0" w:line="360" w:lineRule="auto"/>
        <w:ind w:firstLine="0"/>
        <w:jc w:val="right"/>
        <w:rPr>
          <w:rFonts w:ascii="Times New Roman" w:hAnsi="Times New Roman" w:cs="Times New Roman"/>
          <w:sz w:val="28"/>
          <w:szCs w:val="28"/>
        </w:rPr>
      </w:pPr>
      <w:r>
        <w:rPr>
          <w:rFonts w:ascii="Times New Roman" w:hAnsi="Times New Roman" w:cs="Times New Roman"/>
          <w:sz w:val="28"/>
          <w:szCs w:val="28"/>
          <w:lang w:val="ru-RU"/>
        </w:rPr>
        <w:t xml:space="preserve">Полоян Анна Васильевна</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Ростов-на-Дону — 2026</w:t>
      </w:r>
    </w:p>
    <w:p>
      <w:pPr>
        <w:pStyle w:val="Основной текст"/>
        <w:pageBreakBefore/>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ОГЛАВЛЕНИЕ</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ВВЕДЕНИЕ</w:t>
        <w:tab/>
        <w:t>3</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ГЛАВА 1. ТЕОРЕТИЧЕСКИЕ ОСНОВЫ ИССЛЕДОВАНИЯ МОДНОГО ДИСКУРСА В ЦИФРОВОЙ СРЕДЕ</w:t>
        <w:tab/>
        <w:t>8</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1.1 Модный дискурс как социокультурный и коммуникативный феномен</w:t>
        <w:tab/>
        <w:t>8</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1.2 Цифровая коммуникация и платформенная организация модной индустрии</w:t>
        <w:tab/>
        <w:t>11</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1.3 Жанрово-стилистические особенности цифрового модного дискурса</w:t>
        <w:tab/>
        <w:t>15</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1.4 Методы обработки естественного языка в исследованиях дискурса</w:t>
        <w:tab/>
        <w:t>19</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Выводы по главе 1</w:t>
        <w:tab/>
        <w:t>25</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ГЛАВА 2. ЭМПИРИЧЕСКОЕ ИССЛЕДОВАНИЕ ЦИФРОВОГО МОДНОГО ДИСКУРСА МЕТОДАМИ NLP</w:t>
        <w:tab/>
        <w:t>28</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2.1 Принципы формирования и аннотирования корпуса</w:t>
        <w:tab/>
        <w:t>28</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2.2 Частотный, коллокационный и тематический анализ корпуса</w:t>
        <w:tab/>
        <w:t>36</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2.3 Тональность и жанрово-стилистическая специфика цифрового модного дискурса</w:t>
        <w:tab/>
        <w:t>47</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2.4 Влияние платформенных алгоритмов на формирование цифрового модного дискурса</w:t>
        <w:tab/>
        <w:t>50</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2.5 Лексика цифровой сферы в корпусе</w:t>
        <w:tab/>
        <w:t>52</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2.6 Ограничения, проверка устойчивости и воспроизводимость</w:t>
        <w:tab/>
        <w:t>55</w:t>
      </w:r>
    </w:p>
    <w:p>
      <w:pPr>
        <w:pStyle w:val="Основной текст"/>
        <w:tabs>
          <w:tab w:val="right" w:leader="dot" w:pos="9071"/>
        </w:tabs>
        <w:spacing w:before="0" w:after="0" w:line="300" w:lineRule="auto"/>
        <w:ind w:firstLine="0"/>
        <w:rPr>
          <w:rFonts w:ascii="Times New Roman" w:hAnsi="Times New Roman" w:cs="Times New Roman"/>
          <w:sz w:val="28"/>
          <w:szCs w:val="28"/>
        </w:rPr>
      </w:pPr>
      <w:r>
        <w:rPr>
          <w:rFonts w:ascii="Times New Roman" w:hAnsi="Times New Roman" w:cs="Times New Roman"/>
          <w:sz w:val="28"/>
          <w:szCs w:val="28"/>
          <w:lang w:val="ru-RU"/>
        </w:rPr>
        <w:t xml:space="preserve">Выводы по главе 2</w:t>
        <w:tab/>
        <w:t>57</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ЗАКЛЮЧЕНИЕ</w:t>
        <w:tab/>
        <w:t>61</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СПИСОК ЛИТЕРАТУРЫ</w:t>
        <w:tab/>
        <w:t>64</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ПРИЛОЖЕНИЕ А. Программный код сбора корпуса</w:t>
        <w:tab/>
        <w:t>70</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ПРИЛОЖЕНИЕ Б. Паспорт корпуса</w:t>
        <w:tab/>
        <w:t>72</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ПРИЛОЖЕНИЕ В. Результаты частотного и коллокационного анализа</w:t>
        <w:tab/>
        <w:t>78</w:t>
      </w:r>
    </w:p>
    <w:p>
      <w:pPr>
        <w:pStyle w:val="Основной текст"/>
        <w:tabs>
          <w:tab w:val="right" w:leader="dot" w:pos="9071"/>
        </w:tabs>
        <w:spacing w:before="0" w:after="0" w:line="300" w:lineRule="auto"/>
        <w:ind w:firstLine="0"/>
        <w:rPr>
          <w:rFonts w:ascii="Times New Roman" w:hAnsi="Times New Roman" w:cs="Times New Roman"/>
          <w:sz w:val="28"/>
          <w:szCs w:val="28"/>
          <w:b/>
          <w:bCs/>
        </w:rPr>
      </w:pPr>
      <w:r>
        <w:rPr>
          <w:rFonts w:ascii="Times New Roman" w:hAnsi="Times New Roman" w:cs="Times New Roman"/>
          <w:sz w:val="28"/>
          <w:szCs w:val="28"/>
          <w:b/>
          <w:bCs/>
          <w:lang w:val="ru-RU"/>
        </w:rPr>
        <w:t xml:space="preserve">ПРИЛОЖЕНИЕ Г. Контексты цифровой лексики; темы по источникам</w:t>
        <w:tab/>
        <w:t>81</w:t>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ВВЕДЕНИЕ</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Цифровая трансформация затронула практически все сферы человеческой деятельности, и индустрия моды не стала исключением. Показы переезжают на специализированные онлайн-платформы, модные дома выстраивают коммуникацию с аудиторией через социальные сети и метавселенные, а традиционные глянцевые издания уступают место цифровым медиа нового поколения. Эти изменения не остаются без языкового следа: цифровой модный дискурс формирует собственную терминологию, порождает гибридные жанровые формы и демонстрирует системную неологизацию лексики, отражающую как предметные изменения индустрии, так и более широкие ценностные сдвиги в обществе.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Актуальность настоящего исследования определяется несколькими факторами. Во-первых, существующая лингвистическая литература о модном дискурсе преимущественно опирается на материал печатных изданий или ранних этапов цифровизации индустрии, тогда как за последние годы модная индустрия претерпела качественные изменения — распространение метавселенной, цифровой одежды, платформенной организации показов, — которые пока не получили системного лингвистического осмысления. Во-вторых, методы автоматической обработки естественного языка, успешно применяемые к анализу медиадискурса в целом, крайне редко используются на материале именно модного дискурса, а тем более — русскоязычного. В-третьих, сама цифровая инфраструктура модных медиа (технические ограничения доступа к данным, трансформация состава изданий) представляет самостоятельный интерес как объект исследования, отражающий реальное состояние цифрового модного дискурса, а не только его языковое содержание.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Степень научной разработанности темы неоднородна. Достаточно полно освещены отдельные аспекты модного дискурса как институционального типа дискурса (Е. А. Никитина, Е. П. Гаран), его терминологической базы (И. З. Борисова, В. А. Федорова; А. Г. Дедюхина, А. А. Дедюхин) и неологизации (Е. И. Ерпилова). Значительный корпус работ посвящён отдельным аспектам цифровой трансформации модной индустрии — метавселенной (Н. А. Коробцева, М. В. Романов), цифровой одежде и геймификации (Ю. С. Конарева, Э. А. Осипова; К. А. Панькина и др.), платформенной организации коммуникации (И. Б. Долженко; А. С. Календжян). Отдельное направление составляют методические работы по автоматической обработке текста и дискурс-анализу (Е. И. Большакова и др.; М. И. Солнышкина и др.; О. В. Нагога). При этом работы, объединяющие эмпирическое исследование именно цифрового модного дискурса с применением методов NLP на русскоязычном материале, единичны, что и определяет научную новизну настоящего исследования.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Объектом исследования выступает цифровой модный дискурс как совокупность текстов, функционирующих в цифровых медиа модной индустрии.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Предметом исследования являются лексические, жанрово-стилистические и тональностные характеристики цифрового модного дискурса, а также возможности их выявления методами автоматической обработки естественного языка.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Цель исследования — изучить цифровую трансформацию модного дискурса и возможности применения к нему методов обработки естественного языка.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Для достижения поставленной цели решались следующие задачи: рассмотреть модный дискурс как социокультурный и коммуникативный феномен, определить его институциональный статус, терминологическую базу и функциональную структуру; охарактеризовать цифровую трансформацию модной индустрии на организационно-экономическом, маркетингово-коммуникативном и технологическом уровнях; выявить жанрово-стилистические особенности цифрового модного дискурса и описать методы обработки естественного языка, применимые к его исследованию; сформировать и аннотировать корпус текстов цифрового модного дискурса, зафиксировав методологические ограничения его формирования; провести частотный, коллокационный и тематический анализ корпуса, а также стилометрическое сравнение текстов по жанровому принципу; исследовать тональность текстов корпуса и её связь с жанровой и источниковой принадлежностью; интерпретировать выявленные закономерности в контексте влияния платформенных алгоритмов на формирование цифрового дискурса; оценить представленность в корпусе лексики цифровой сферы (искусственный интеллект, социальные платформы, блогеры); проверить устойчивость полученных результатов и обозначить границы их интерпретации.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Гипотезы исследования. Рабочие гипотезы сформулированы на основе положений Главы 1. Первая: тематическая организация цифрового модного дискурса в значительной мере обусловлена жанром текста. Вторая: тональность текстов определяется не только жанром, но и редакционной политикой издания. Третья: цифровая трансформация индустрии находит отражение в лексике медиатекстов в виде заметных слоёв заимствованной, платформенной и технологической лексики. Проверка показала, что первая и вторая гипотезы подтверждаются с оговорками, а третья — лишь частично (§2.2, §2.5, §2.6).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Материалом исследования послужил специально сформированный корпус из 202 текстов девяти цифровых изданий (The Blueprint, SYMBOL, The Voice, Posta-Magazine, Snob, MarieClaire, Moskvichka, FRWF, «Мнение редакции»), опубликованных в 2026 году.</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Методы исследования включают дискурс-анализ, метод сплошной выборки при формировании корпуса, а также методы автоматической обработки естественного языка: лексико-статистический анализ, расчёт меры точечной взаимной информации (PMI) для выявления коллокаций, вероятностное тематическое моделирование (LDA), автоматический анализ тональности на основе нейросетевой модели, элементы стилометрического анализа, расчёт скользящего индекса лексического разнообразия (MATTR), меры ключевости на основе логарифмического отношения правдоподобия (G²) и точный тест Фишера.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Теоретическая значимость работы состоит в том, что она соединяет лингвистическое описание модного дискурса (Глава 1) с корпусной проверкой его свойств на русскоязычном материале и показывает, какие результаты, интуитивно ожидаемые от простых показателей, не выдерживают контроля. В частности, продемонстрирована зависимость индекса лексического разнообразия от объёма выборки, меняющая интерпретацию стилометрических различий между жанрами (§2.2).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Практическая значимость работы состоит в разработке воспроизводимой методологии сбора данных для исследований цифрового дискурса, включая явную фиксацию технических ограничений источников. Собранный корпус фиксирует синхронный срез состояния цифрового модного дискурса 2026 года и может служить точкой отсчёта для последующих диахронических исследований.</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Структура работы. ВКР состоит из введения, двух глав, заключения, списка литературы и четырёх приложений. В первой главе рассматриваются теоретические основы исследования модного дискурса в цифровой среде, включая методологический аппарат обработки естественного языка. Вторая глава посвящена эмпирическому исследованию: формированию корпуса (§2.1), частотному, коллокационному, тематическому и стилометрическому анализу (§2.2), анализу тональности (§2.3), интерпретации результатов в контексте платформенных алгоритмов (§2.4), анализу лексики цифровой сферы (§2.5) и обсуждению ограничений, устойчивости и воспроизводимости результатов (§2.6). В приложениях приведены код сбора данных, паспорт корпуса, таблицы результатов анализа и контексты употребления лексики цифровой сферы.</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pageBreakBefore/>
        <w:spacing w:before="0" w:after="0" w:line="360" w:lineRule="auto"/>
        <w:ind w:firstLine="0"/>
        <w:jc w:val="center"/>
        <w:rPr>
          <w:rFonts w:ascii="Times New Roman" w:hAnsi="Times New Roman" w:cs="Times New Roman"/>
          <w:sz w:val="28"/>
          <w:szCs w:val="28"/>
          <w:b/>
          <w:bCs/>
        </w:rPr>
      </w:pPr>
      <w:r>
        <w:rPr>
          <w:rFonts w:ascii="Times New Roman" w:hAnsi="Times New Roman" w:cs="Times New Roman"/>
          <w:sz w:val="28"/>
          <w:szCs w:val="28"/>
          <w:b/>
          <w:bCs/>
          <w:lang w:val="ru-RU"/>
        </w:rPr>
        <w:t xml:space="preserve">ГЛАВА 1. ТЕОРЕТИЧЕСКИЕ ОСНОВЫ ИССЛЕДОВАНИЯ МОДНОГО ДИСКУРСА В ЦИФРОВОЙ СРЕДЕ</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1.1 Модный дискурс как социокультурный и коммуникативный феномен</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В социолингвистике принято делить дискурс на два вида: персональный, то есть личностно-ориентированный, и институциональный. Во втором случае говорящий действует не от себя, а как представитель определённого социального института, и общение идёт в жёстких рамках статусно-ролевых отношений [Никитина, 2015, с. 108]. Модный дискурс исследователи логично относят именно к институциональному подтипу. Он строится на основе устойчивых институтов — модных домов, изданий, организаторов показов — и обеспечивает их коммуникацию с аудиторией [Никитина, 2015, с. 104–105].</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Один из распространённых подходов к определению модного дискурса опирается на понятие вестиментарного кода (от лат. vestimentum — одежда, облачение; системы значений, которую формирует одежда как знаковый объект). Вслед за Ф. Л. Косицкой дискурс моды описывают как «продукт сознательного творчества людей из мира моды, включающий совокупность значимых оппозиций и правил сочетания элементов одежды» [цит. по: Гаран, 2018, с. 113]. При этом исследователи разводят широкое и узкое понимание. В широком смысле это сложное коммуникативное событие между производителями и потребителями моды, где задействованы и вербальные, и невербальные средства. В узком смысле — когерентность текстов, объединённых тематически вокруг концепта «Мода» [Гаран, 2018, с. 114]. Близкое по духу определение даёт В. В. Кузнецова, характеризуя дискурс моды как «вербализованную речемыслительную деятельность, тематически организованную вокруг концепта МОДА» [цит. по: Дедюхина, Дедюхин, 2023, с. 3157].</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Функциональная структура модного дискурса у разных авторов тоже описывается схожим образом. Выделяют рекламную (маркетинг-ориентированную), информирующую, инструктирующую и имидж-определяющую функции [Гаран, 2018, с. 114]. Та же логика просматривается в более ранней трёхчастной типологии: информирующий, инструктирующий и маркетинг-ориентированный подвиды дискурса моды [цит. по: Дедюхина, Дедюхин, 2023, с. 3157].</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Терминология модного дискурса пополняется из двух источников. Первый — устойчивый пласт французских по происхождению терминов индустрии (haute couture — высокая мода, prêt-à-porter — готовая одежда серийного производства, couturier — модельер, и другие). Их классифицируют по семи функциональным группам: от обозначений участников индустрии до терминов тканей и аксессуаров [Борисова, Федорова, 2024, с. 1–2]. Второй источник — активная экспансия англицизмов. Среди них доминирует лексема fashion: на материале блогов, рекламы и глянцевых изданий 2020–2022 годов зафиксировано 144 заимствованные единицы с этим компонентом, распределённые по 14 тематическим подгруппам [Дедюхина, Дедюхин, 2023, с. 3156, 3159]. При этом заимствования не остаются чужеродными: значительная их часть ассимилируется словообразовательными средствами русского языка — суффиксами -к-, -овк-, -ник, приставкой под-. Это подтверждается и на материале исконной лексики модного словаря, например в журналах «Elle», «Voice», «Symbol» [Уренкова, 2023, с. 1–2].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Закономерности, которые Дедюхина выявила непосредственно на материале модной лексики, перекликаются с более широкими наблюдениями над англоязычными заимствованиями в русском языке XXI века. Гальцева указывает, что на нынешнем этапе самыми продуктивными среди заимствований оказываются именно англицизмы: они проникают практически во все сферы деятельности человека, тогда как заимствования из французского и немецкого количественно им уступают и пополняют лишь отдельные тематические области [Гальцева, 2014]. Примечательно, что в перечне англицизмов, который исследователь фиксирует в рекламной сфере и в моде, обнаруживаются единицы тренд и бренд, причём обе принадлежат к самым частотным и в корпусе, собранном для данной работы (см. §2.2). Гальцева называет и формальные приметы — фонетические и грамматические, — по которым носители, как правило, узнают английское заимствование: это сочетания дж, -инг, -мент(-мен), -ер, -(т)ч, -ция [Гальцева, 2014]. В модной терминологии такие приметы дают о себе знать регулярно — достаточно вспомнить брендинг, шопинг, кастинг, стайлинг. Отсюда следует, что англизация модной лексики носит не случайный, а структурно закреплённый характер: речь идёт не об отдельных вкраплениях, а о воспроизводимой модели.</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Ещё одно системное свойство модного дискурса — высокая продуктивность неологизации. Она объясняется самой природой моды, которая ориентирована на постоянное обновление [Ерпилова, 2022, с. 76]. Показательно, что неологизация здесь не сводится к называнию новых предметов гардероба. Она фиксирует и более глубокие сдвиги в ценностных ориентирах. Так, анализ выпусков Vogue Russia за 2008–2010 и 2017–2022 годы показывает: такие неологизмы, как «плюс-сайз», «бодипозитив», «лукизм», «инклюзивность», «осознанность», «sustainable», отражают переход элитарного глянца от трансляции ценностей роскоши к ценностям телесного разнообразия, экологичности и гендерной нейтральности [Ерпилова, 2023, с. 62–66].</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Таким образом, модный дискурс можно определить как институциональный тип дискурса. Для него характерны устойчивый набор коммуникативных функций, гибридная терминологическая база — французская и англоязычная одновременно — и системная ориентация на неологизацию. Последняя отражает динамику не только модных тенденций, но и более широких социальных ценностей.</w:t>
      </w:r>
    </w:p>
    <w:p>
      <w:pPr>
        <w:pStyle w:val="Основной текст"/>
        <w:spacing w:before="0" w:after="0" w:line="360" w:lineRule="auto"/>
        <w:ind w:left="0" w:right="0" w:firstLine="0"/>
        <w:rPr>
          <w:rFonts w:ascii="Times New Roman" w:cs="Times New Roman" w:hAnsi="Times New Roman" w:eastAsia="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1.2 Цифровая коммуникация и платформенная организация модной индустрии</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Цифровую трансформацию модной индустрии удобно описывать через три переплетающихся направления: оцифровку самих товаров и услуг, оцифровку коммуникации с клиентами и, наконец, оцифровку производства, логистики и внутренних операций компании [Долженко, 2020, с. 68]. Важно, что речь не идёт о простой технической модернизации отдельных участков. Долженко описывает цифровую трансформацию не как точечное обновление процессов, а как согласование корпоративной стратегии с цифровой — с прицелом на организационную перестройку и качественно иной уровень работы с клиентом [Долженко, 2020, с. 70]. На практике это оборачивается тем, что большие данные используются не для пассивного анализа, а для вовлечения потребителя прямо в создание стиля и моды. Сама модель отношений между брендом и аудиторией при этом меняется [Долженко, 2020, с. 69].</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Если посмотреть на ситуацию шире, международное сопоставление показывает: траектории этой трансформации заметно расходятся от страны к стране. Сравнение России, Китая и государств Западной Африки демонстрирует, что цифровизация рынков моды идёт с разной скоростью и с разными приоритетными направлениями — это связано с неодинаковой инфраструктурой, различиями в потребительском поведении и несовпадающей государственной политикой [Астратова и др., 2025]. Иными словами, цифровизация модной индустрии — не единый сценарий, обязательный для всех, а набор национально обусловленных траекторий, которые, однако, опираются на общую технологическую основу.</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На уровне маркетинга та же трансформация проявляется как сдвиг от «реального» потребления моды к «виртуальному». На первый план выходят присутствие бренда в интернете и наличие узнаваемой цифровой «идентичности» на разных платформах [Календжян, 2023, с. 629, 631]. Показателен кейс бренда Hanifa: в пандемийных ограничениях 2020 года дизайнер провела полностью цифровой показ — без подиума и живых моделей, с 3D-анимацией одежды. Трансляция собрала более 10 тысяч одновременных зрителей и дала рост выручки компании [Календжян, 2023, с. 632]. Похожую логику демонстрируют «цифровые модели». Созданный в 2017 году 3D-персонаж Шуду участвовал в рекламных кампаниях Louis Vuitton и Balmain, снимался для Harper's Bazaar и Elle — и таким образом конкурировал с моделями из плоти и крови [Календжян, 2023, с. 633].</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Самое разветвлённое направление цифровизации — цифровая одежда. Исследование поколений X, Y и Z в США зафиксировало устойчивый интерес к цифровым благам: скинам, аватарам, виртуальной одежде. Крупные игроки рынка — Ralph Lauren и Louis Vuitton — выстраивали коллаборации со Snapchat и League of Legends именно ради отношений с поколением Z как будущими основными покупателями [Календжян, 2023, с. 633–634]. Мотивация здесь не только маркетинговая, но и ценностная. Цифровая одежда позиционируется как ответ на проблему избыточного потребления и на экологическую повестку: для её производства не нужны материальные ресурсы [Календжян, 2023, с. 634].</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Экономический размах этого направления виден по данным смежных исследований игровой индустрии. Панькина с соавторами оценивают годовой оборот внутриигровых покупок только на российском рынке Dota 2 и CS:GO примерно в 450 миллионов долларов, а мировой — около 3 миллиардов [Панькина и др., 2022]. Интерес к подобным образам возник и у модных брендов: несколько лет подряд Gucci выпускал коллаборации с Animal Crossing, Roblox, The Sims 4 и Pokémon Go. Такие проекты работают сразу в трёх направлениях — повышают узнаваемость бренда, приносят разработчикам игр дополнительный доход и позволяют потребителям недорого купить дизайнерскую одежду для аватара [Панькина и др., 2022].</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Точкой сборки этих направлений становится метавселенная. Речь о среде, где на одной платформе сходятся 3D-проектирование, виртуальная и дополненная реальность; за счёт этого дизайнеры, конструкторы и потребители взаимодействуют с меньшими издержками [Коробцева, Романов, 2023, с. 1–2]. Свою роль в ускорении сыграл и ковидный период, когда коммуникацию пришлось срочно переносить в цифру [Коробцева, Романов, 2023, с. 2–3]. Среди конкретных инструментов такой интеграции называют искусственный интеллект для анализа потребительских предпочтений, 3D-проектирование и прототипирование, виртуальные коллекции и примерочные, а также монетизацию цифровой одежды в формате игровых скинов (альтернативных вариантов внешнего вида игрового персонажа) [Конарева, Осипова, 2024, с. 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Коммерческим и технологическим измерением значимость цифровой моды не ограничивается — она попадает и в поле теоретической рефлексии, прежде всего в рамках постгуманистической парадигмы. Пертель демонстрирует, что цифровое модное тело принципиально не привязано ни к человеку, ни к его физической телесности: оно существует вне человеческого тела и формируется техническими средствами. Такой взгляд перекликается с концепцией киборга у Д. Харауэй, а также с представлениями о «сборках» у Ж. Делёза и Ф. Гваттари [Пертель, 2023]. Эта теоретическая рамка напоминает, что цифровая трансформация модной индустрии задевает не только производство и маркетинг, но и более глубокие категории — телесность и идентичность.</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На коммуникативном уровне смена каналов означает отход от традиционной триады — показов, публикаций в печати и офлайн-точек продаж — в пользу цифровых площадок и лидеров мнений. Аудитория последних нередко на порядок превышает аудиторию профильных изданий [Шумский, 2021, с. 63, 65]. Общий рост интернет-аудитории, к началу 2021 года превысившей 4,66 млрд пользователей, закрепляет цифровые каналы как основное пространство взаимодействия, а не дополнительное [Шумский, 2021, с. 64–65]. Пример скоординированной платформенной стратегии даёт Aurora Fashion Week Russia: официальный сайт, аккаунты в нескольких соцсетях, видеоканал и отдельный проект по разработке мобильных приложений [Никитина, 2015, с. 105–106].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Технологический уровень цифровизации не ограничивается метавселенной. По описанию В. Гульчеева, искусственный интеллект применяется на всех звеньях цепочки создания стоимости в моде — от дизайна и разработки продукции до управления поставками, маркетинга и розничной торговли, причём его внедрение порождает и этические, и экологические проблемы [Гульчеев, 2020]. Цифровое проектирование — создание изделий с помощью компьютерных технологий и систем автоматизированного проектирования — рассматривается и на материале лёгкой промышленности: при разработке кожгалантерейных мотоаксессуаров использованы 3D-сканирование, отечественная САПР и VR-система CLO3D [Коваль и др., 2024, с. 2, 16–17].</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Для лингвистического исследования эти работы значимы косвенно: они показывают, в каких сферах — проектирование, производство, управление, продвижение — применяются новые технологии и, следовательно, может возникать новая терминология. Именно поэтому в эмпирической части (§2.5) проверяется, насколько лексика искусственного интеллекта и цифровых технологий представлена в реальном корпусе, а не только в теоретической литературе.</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Итак, платформенная организация модной индустрии в цифровой среде затрагивает сразу несколько уровней. Организационно-экономический связан с перестройкой цепочки создания ценности. Маркетингово-коммуникативный проявляется в кейсах Hanifa, Шуду и коллабораций с игровыми платформами. Технологический опирается на метавселенную как интегрирующую среду. Эти уровни системно усиливают друг друга, а цифровой образ становится равноправным модусом существования модного продукта.</w:t>
      </w:r>
    </w:p>
    <w:p>
      <w:pPr>
        <w:pStyle w:val="Основной текст"/>
        <w:spacing w:before="0" w:after="0" w:line="360" w:lineRule="auto"/>
        <w:ind w:left="0" w:right="0" w:firstLine="0"/>
        <w:rPr>
          <w:rFonts w:ascii="Times New Roman" w:cs="Times New Roman" w:hAnsi="Times New Roman" w:eastAsia="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1.3 Жанрово-стилистические особенности цифрового модного дискурса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Прежде чем переходить к жанровым сдвигам в цифровом модном дискурсе, нужно разобраться с самим понятием речевого жанра. Его истоки — у М. М. Бахтина, который понимал под жанром относительно устойчивый тип высказывания, обладающий единством тематики, композиции и стиля [Бахтин, цит. по: Сыресина, Медведева, 2026]. Бахтин разграничивал жанры первичные (простые, наподобие бытового диалога) и вторичные, сложные — роман, научную статью, законодательный акт. Применительно к современному медиадискурсу Сыресина и Медведева называют пять конструктивных признаков, из которых складывается жанровая природа медиатекста: индивидуальность (в ней отражается языковая личность автора), адресованность (она обеспечивает прагматическую мотивированность текста), тематизация (задаёт топикальную принадлежность), экспрессивность (формирует оценочность) и композиционное построение [Сыресина, Медведева, 2026]. Существенно, что все эти признаки связаны между собой и действуют сообща: они поддерживают в медиатексте одновременно жанровую устойчивость и динамичность. Именно такое сочетание устойчивости и изменчивости обнаруживается и в цифровом модном дискурсе, о котором речь пойдёт дальше.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Удобный фон для разговора о жанровых трансформациях модного дискурса даёт общая типология медиатекстов, которую предлагает Добросклонская. Она различает четыре основных типа: новости, информационную аналитику и комментарий, публицистику и рекламу [Добросклонская, 2019]. В цифровой среде модный дискурс исторически тяготеет к двум последним — к публицистике с её установкой на выразительность и оценочность и к рекламе с её маркетинговой функцией, о которой уже говорилось в §1.1. Но, как будет показано дальше, платформенная цифровая среда размывает и эту типологию: на её основе возникают гибридные формы, которые не сводятся ни к одному из четырёх классических типов.</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Для цифрового дискурса в целом — и модного в том числе — характерна одна базовая черта: интернет-коммуникация сегодня выступает главным поставщиком новых единиц в лексическую систему языка [Романова, 2022, с. 7]. У заимствований цифрового происхождения просматривается устойчивый набор признаков. Это преобладание англицизмов, продуктивность словосложения — включая трёхкорневое, нетипичное для русского языка, — и стилистическое соседство разговорной лексики с книжной [Романова, 2022, с. 6–8]. Показательно и другое: частотные словосочетания цифрового происхождения быстро закрепляются в узусе, а сами интернет-тексты начинают работать как источник прецедентных высказываний (текстов, широко известных в культуре и потому узнаваемых при цитировании или отсылке к ним). Своего рода текстовые мемы встают в один ряд с пословицами, крылатыми выражениями и литературными цитатами [Романова, 2022, с. 6].</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В собственно модном дискурсе эта общая тенденция обретает конкретные жанровые формы. Исследователи фиксируют устойчивый сдвиг: если раньше информация о моде шла прежде всего через глянец, то в интернет-эпоху эту функцию во многом перехватывают модные блоги. Их роль в распространении контента о моде продолжает расти [Тищенко и др., 2022, с. 175]. Смена канала описывается через ценностную доминанту медиатичности (опосредованности процессов индустрии моды средствами массовой информации и цифровыми каналами) с переходом в цифровой формат (fashion goes digital). Модные дома и магазины всё чаще воспринимаются не как физические пространства, а как цифровые платформы — с инструментами для создания и продажи цифровой одежды, с обратной связью и возможностью обсуждения [Тищенко и др., 2022, с. 176].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Оборот fashion goes digital и его русский аналог диджитал мода, вынесенный в название одной из работ, на которые опирается настоящее исследование [Панькина и др., 2022], — лишь один из случаев более общего процесса: в русском языке XXI века вокруг понятия «цифра» непрерывно образуются новые термины. Маринова отмечает, что набор терминоэлементов цифрового общества быстро растёт, причём главным образом за счёт неофициальных вариантов, которые рождаются прежде всего в медиасреде. Толчок к этому даёт сосуществование в русском языке нескольких способов осваивать иноязычные единицы: рядом с «цифровым» стоит «дигитальный», рядом с «диджитал-» — «дигитал-» [Маринова, 2023]. В модном дискурсе такое соперничество вариантов возникает не случайно: сам выбор формы («диджитал мода», а не «дигитальная мода») начинает работать как маркер регистра — он указывает на более разговорную, ориентированную на англоязычную медиасреду подачу, а не на официально-деловой стиль.</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Меняется и сам жанр модного показа. Он не просто транслируется в сеть — он трансформируется по существу. Организаторы обращаются к гибридным форматам, где соседствуют реальные и цифровые модели, и к полностью виртуальным, включая CGI-моделей (от англ. computer-generated imagery — созданных средствами компьютерной графики). Сами показы переезжают на специализированные B2B-платформы (от англ. business-to-business — площадки для взаимодействия компаний друг с другом, а не с конечным потребителем), которые работают в режиме «24/7» и совмещают функции подиума, шоурума и переговорной площадки [Тищенко и др., 2022, с. 176–177]. Получается, что цифровая среда не просто добавляет новый канал к уже существующим жанрам модного дискурса. Она порождает гибридные жанровые формы, в которых границы между показом, витриной и социальной сетью размываются.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Для эмпирической проверки описанных сдвигов необходима рабочая жанровая разметка, применимая к массовым текстам цифровых модных медиа. В настоящей работе используются описательные жанровые категории: «тенденции» (обзоры микротрендов и сезонных направлений), «коллекции» (разборы показов и дебютов дизайнеров), «шопинг» и «выбор» (подборки вещей и рекомендации по их сочетанию), «герои», «икона стиля» и «мнение» (персональные и авторские форматы), «индустрия» (тексты о рынке и бизнесе), «украшения» (тексты об ювелирных изделиях и аксессуарах). Эти категории не претендуют на полноту теоретической классификации, однако отражают то, как сами издания организуют рубрики, и потому пригодны для сопоставления жанровых групп по количественным признакам. Их состав и распределение описаны в §2.1.</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Эти жанровые сдвиги перекликаются с наблюдениями на микроуровне текста. Активная неологизация модного дискурса, о которой шла речь в §1.1, — не изолированный лексический процесс. Это системное следствие того, что порождающей средой для модных текстов всё чаще становится блогосфера и соцсети, а не редакционно контролируемый печатный текст глянцевого журнала [ср. Дедюхина, Дедюхин, 2023, с. 3156].</w:t>
      </w:r>
    </w:p>
    <w:p>
      <w:pPr>
        <w:pStyle w:val="Основной текст"/>
        <w:spacing w:before="0" w:after="0" w:line="360" w:lineRule="auto"/>
        <w:ind w:left="0" w:right="0" w:firstLine="0"/>
        <w:rPr>
          <w:rFonts w:ascii="Times New Roman" w:cs="Times New Roman" w:hAnsi="Times New Roman" w:eastAsia="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1.4 Методы обработки естественного языка в исследованиях дискурса</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Автоматическая обработка текстов на естественном языке (Natural Language Processing) и компьютерная лингвистика — это междисциплинарная область, которая сложилась на стыке лингвистики, математики, информатики и искусственного интеллекта. Её опорой выступает формализация структуры естественного языка [Большакова и др., 2017, с. 7]. В применении к дискурсивным исследованиям это направление вырастает в самостоятельную область — дискурсивную комплексологию. Здесь лингвисты, когнитологи и специалисты по компьютерной обработке текста объединяются вокруг общей задачи: параметризации и автоматической оценки сложности и организации дискурса [Солнышкина и др., 2022, с. 317]. Показательно, что среди этапов развития этой области отдельно выделяют период обработки естественного языка. Именно тогда автоматический анализ — реализованный, например, в анализаторе Coh-Metrix — начал охватывать не только лексические и синтаксические параметры текста, но и параметры текстового уровня, ситуационной модели и риторической структуры [Солнышкина и др., 2022, с. 318].</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Средняя длина предложения, сложность синтаксиса, доля пассивных конструкций — эти формальные параметры текста исследователи тоже принимают в расчёт, причём наряду с собственно лексическими паттернами [Бубенгофер, цит. по: Нагога, 2024, с. 2]. Из таких количественных, стилеметрических показателей складывается отдельное направление дискурсивного анализа, которое дополняет лексический уровень, — и в эмпирической части настоящей работы оно также учитывается (см. §2.2). Что касается перечня конкретных приёмов, то Нагога называет четыре наиболее распространённых вида: анализ ключевых слов, анализ частотных изменений, коллокационный анализ и анализ сочетаемости [Нагога, 2024].</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Если говорить о конкретных методах, применимых к анализу дискурса, для задач настоящей работы значимы три группы. Первая — морфологический и лексико-статистический анализ. Он даёт частотные характеристики лексики и образует базовый этап обработки любого корпуса [Большакова и др., 2017, с. 29]. Вторая — вероятностное тематическое моделирование, то есть статистический анализ, при котором тема описывается дискретным распределением вероятностей терминов, а документ — распределением вероятностей тем. В отличие от кластеризации, где текст целиком относят к одному классу, тематическая модель работает как «мягкая кластеризация»: документ распределяется по нескольким темам сразу. Это позволяет учитывать синонимию и многозначность лексики [Большакова и др., 2017, с. 194–195]. Третья группа — методы автоматического анализа тональности, то есть выявления оценочного отношения автора к обсуждаемому предмету. Их востребованность напрямую связана с ростом социальных сетей и онлайн-сервисов, где накапливаются большие массивы пользовательских мнений [Большакова и др., 2017, с. 127].</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Опыт объединения классических и цифровых методов существует и применительно к лексике индустрии моды. Гончарова и Ляшенко совмещают латентно-семантический анализ (LSA), нейросетевые модели BERT и графовые методы, изучая специальную лексику сферы Fashion &amp; Clothing на английском материале [Гончарова, Ляшенко, 2025]. Примечательный результат их работы — прослеженная диахроническая эволюция лексемы denim: от обозначения рабочей одежды она приходит к концепции устойчивой моды, и этот сдвиг зафиксирован методом BERT через анализ полисемии и семантических изменений [Гончарова, Ляшенко, 2025]. Эта работа показывает, что комбинированный подход, где количественные NLP-методы соединяются с качественной интерпретацией, применим именно к лексике модной индустрии и позволяет выявлять содержательные закономерности, а не только статистические.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Методологически близкий пример — работа Плотниковой, где предметом изучения стало слово «нейросеть» как ключевое слово сегодняшнего медиадискурса [Плотникова, 2023]. Исследователь использует автоматическую обработку медиатекстов, строит облако слов, семантически связанных с выбранной единицей, и прибегает к кластеризации контекстов, чтобы выявить наиболее значимые обсуждаемые темы. По сути, это соединение частотного и тематического анализа на материале медиадискурса [Плотникова, 2023]. Такой прецедент на близком по типу материале подтверждает: инструментарий, выбранный в настоящей работе, применим не только в теории, но и на практике.</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Важно, что анализ тональности не сводится к определению общей полярности документа. Наряду с ранними подходами, которые приписывают тексту в целом одну тональность — это уместно, скажем, для отзыва об одном товаре, — развиваются методы аспектного анализа. Они выявляют оценку по отношению к отдельным упомянутым в тексте сущностям [Большакова и др., 2017, с. 127–128]. Для модного дискурса это особенно значимо: в пределах одного текста здесь могут оцениваться разные объекты — бренд, конкретное изделие, показ, дизайнерское решение.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Точность автоматического анализа тональности для русского языка ниже, чем для английского, а сам сентимент-анализ русскоязычных данных разработан заметно слабее, чем для других крупных языков мира. Такую картину фиксируют Двойникова и Карпов, выполнившие аналитический обзор существующих подходов; среди причин они называют сложную морфологическую структуру русского языка [Двойникова, Карпов, 2020]. Для эмпирической части настоящего исследования это важно: трудности, с которыми пришлось столкнуться при выборе метода анализа тональности корпуса цифрового модного дискурса (см. §2.3), получают здесь заранее объяснение.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Предобработка текста. Прежде чем к корпусу можно применить статистические методы, текст необходимо привести к сопоставимому виду. Стандартная последовательность включает токенизацию (разбиение на слова или токены), приведение к нижнему регистру, удаление стоп-слов и лемматизацию — приведение слов к начальной форме [Наумов, Кореева, 2026, с. 1613]. Лемматизация основана на морфологическом словаре; если слова в словаре нет, строится гипотеза о способе его изменения, чтобы получить лемму [Двойникова, Карпов, 2020, с. 21]. Для русского языка с его сложной структурой этот этап особенно значим: без него формы одного слова учитываются как разные, и частотные оценки размываются. Важно и то, что лемматизация — вероятностная процедура: для незнакомых слов, включая иноязычные названия брендов и неологизмы, анализатор строит предположение, которое может не совпасть с действительной начальной формой. Для модного дискурса, насыщенного именами собственными, это ограничение существенно и учитывается при интерпретации результатов (§2.2).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Коллокации и мера PMI. Коллокацией называют статистически устойчивое сочетание слов, частота совместной встречаемости которых превышает ожидаемую при независимом употреблении. Для оценки такой устойчивости К. Чёрч и П. Хэнкс предложили использовать меру, основанную на взаимной информации [Church, Hanks, 1990, с. 23]; для двух слов x и y она определяется как</w:t>
      </w:r>
    </w:p>
    <w:p>
      <w:pPr>
        <w:pStyle w:val="Основной текст"/>
        <w:spacing w:before="0" w:after="0" w:line="360" w:lineRule="auto"/>
        <w:ind w:left="0" w:right="0" w:firstLine="0"/>
        <w:jc w:val="center"/>
        <w:rPr>
          <w:rFonts w:ascii="Times New Roman" w:hAnsi="Times New Roman" w:cs="Times New Roman"/>
          <w:sz w:val="28"/>
          <w:szCs w:val="28"/>
        </w:rPr>
      </w:pPr>
      <w:r>
        <w:rPr>
          <w:rFonts w:ascii="Times New Roman" w:hAnsi="Times New Roman" w:cs="Times New Roman"/>
          <w:sz w:val="28"/>
          <w:szCs w:val="28"/>
          <w:lang w:val="ru-RU"/>
        </w:rPr>
        <w:t xml:space="preserve">PMI(x, y) = log₂ [ P(x, y) / ( P(x) · P(y) ) ],</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где P(x, y) — вероятность встретить пару слов вместе, а P(x) и P(y) — вероятности отдельных слов [там же]. В варианте авторов («association ratio») совместная встречаемость считается в окне из w слов, а мера несимметрична, поскольку учитывает порядок слов; малые окна выделяют устойчивые выражения, большие — более широкие смысловые связи [там же, с. 23–24]. В настоящей работе окно равно одному слову (соседние леммы). Авторы отмечают, что при малых частотах оценка нестабильна, и не рассматривают пары с частотой около пяти и ниже [там же, с. 24]; по аналогии в настоящей работе введён порог частоты ≥ 5. Следует ожидать, что PMI будет выделять прежде всего устойчивые имена собственные, а ранжирование по абсолютной частоте — институциональную лексику; эти два списка дополняют друг друга (§2.2).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Тематическое моделирование и LDA. Наиболее известная модель вероятностного тематического моделирования — латентное размещение Дирихле (Latent Dirichlet Allocation, LDA) [Blei et al., 2003, с. 993]. В ней каждый документ рассматривается как смесь тем, а каждая тема — как распределение вероятностей по словарю; документ может быть связан сразу с несколькими темами [там же, с. 997]. У метода есть две особенности, важные для интерпретации. Во-первых, число тем k считается известным и задаётся исследователем заранее [там же, с. 996]. Во-вторых, порядок слов в документе не учитывается (допущение «мешка слов») [там же, с. 994–995]. Кроме того, параметры оцениваются приближённой итерационной процедурой, поэтому устойчивость результата при смене случайной инициализации проверяется эмпирически (§2.6).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Трансформерные модели и анализ тональности. Современные методы анализа тональности опираются на предобученные языковые модели архитектуры «трансформер», важнейшим представителем которых стала BERT: модель сначала обучается на неразмеченном тексте с учётом контекста слева и справа, а затем дообучается на размеченных данных с одним дополнительным выходным слоем [Devlin et al., 2019, с. 4171–4172]. Словарные и основанные на правилах методы, по оценке Наумова и Кореевой, не учитывают контекст и полисемию, из-за чего их точность ограничена, тогда как нейросетевые подходы на основе BERT дают более высокую точность ценой больших обучающих выборок и вычислительных ресурсов [Наумов, Кореева, 2026, с. 1614–1615]. Для русского языка точность анализа тональности в целом ниже, чем для английского [Двойникова, Карпов, 2020, с. 20, 26], а перенос обучения с многоязычной модели BERT на одноязычную русскую повышает качество анализа эмоций [там же, с. 22]. Практическое ограничение: BERT предобучалась на последовательностях длиной до 512 токенов [Devlin et al., 2019, с. 4178], поэтому длинные тексты приходится усекать; это накладывает границы на интерпретацию результатов в §2.3.</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Индексы лексического разнообразия. Простейший показатель лексического разнообразия — отношение числа различных лемм (types) к общему числу лемм (tokens), type-token ratio (TTR). Его известный недостаток — зависимость от длины текста: связь между числом различных слов и объёмом текста нелинейна, поэтому сравнивать по TTR тексты и жанры разного объёма некорректно [Bestgen, с. 2]. Для устранения этого эффекта используется скользящий индекс MATTR (moving-average type–token ratio) — среднее значение TTR по всем «окнам» фиксированной длины n, последовательно сдвигаемым по тексту [там же, с. 3]. Вместе с тем MATTR — локальная мера: токены в первых и последних n − 1 позициях входят в меньшее число окон, поэтому индекс хорошо описывает колебания разнообразия внутри достаточно длинного текста, но для оценки общего разнообразия короткой выборки применим с оговорками [там же, с. 4–5]. В эмпирической части этот показатель используется наряду с обычным TTR с учётом указанного ограничения.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Ключевые слова и проверка гипотез. Чтобы определить, какие слова характеризуют одну часть корпуса по сравнению с другой, применяется анализ ключевости. Т. Даннинг показал, что допущение о нормальности распределения, лежащее в основе критерия χ² и z-оценок, неприменимо к редким событиям, а они составляют значительную часть любого текста; вместо этого он предложил критерий отношения правдоподобия, применимый к малым выборкам и использованный для выделения биграмм и терминов предметной области [Dunning, 1993, с. 61–62, 69–70]. Величина −2 log λ асимптотически распределена как χ² [там же, с. 66]; в настоящей работе она обозначена G². Для сравнения долей в малых выборках, например тональности двух источников внутри одного жанра, используется точный тест Фишера, не требующий предположения о нормальности распределения и применимый при малых частотах.</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Все три группы методов — лексико-статистический, тематический и тональный анализ — складываются в инструментарий, адекватный задачам исследования цифрового модного дискурса. Он позволяет уйти от единичных примеров, традиционных для качественного дискурс-анализа, и перейти к работе с представительным корпусом текстов. А значит — к выводам об их лексических, тематических и оценочных характеристиках, подкреплённым статистически.</w:t>
      </w:r>
    </w:p>
    <w:p>
      <w:pPr>
        <w:pStyle w:val="Основной текст"/>
        <w:spacing w:before="0" w:after="0" w:line="360" w:lineRule="auto"/>
        <w:ind w:left="0" w:right="0" w:firstLine="0"/>
        <w:rPr>
          <w:rFonts w:ascii="Times New Roman" w:cs="Times New Roman" w:hAnsi="Times New Roman" w:eastAsia="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Выводы по главе 1</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Проведённый теоретический анализ позволяет сформулировать несколько обобщений, которые важны для дальнейшей эмпирической работы с цифровым модным дискурсом.</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Первое. Модный дискурс правомерно описывать как институциональный тип дискурса. Он организован вокруг устойчивых социальных институтов — модных домов, изданий, организаторов показов — и располагает стабильным набором коммуникативных функций: рекламной, информирующей, инструктирующей и имидж-определяющей. Его терминологическая база гибридна. В ней соседствуют исторически устойчивый пласт франкоязычной терминологии индустрии и активно растущий слой англицизмов, где лексема fashion играет роль доминирующей единицы. Системное свойство модного дискурса — высокая продуктивность неологизации. Она отражает не только предметные изменения (новые товары, технологии), но и более глубокие сдвиги в ценностных ориентирах, которые транслируются обществу.</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Второе. Цифровая трансформация модной индустрии разворачивается сразу на нескольких взаимосвязанных уровнях. Организационно-экономический связан с перестройкой цепочки создания ценности и моделей коммуникации с клиентом. Маркетингово-коммуникативный — с переносом диалога с потребителем из традиционных СМИ на платформы социальных сетей и к лидерам мнений. Технологический — с формированием метавселенной как интегрирующей среды проектирования, демонстрации и монетизации модного продукта. Эти уровни усиливают друг друга, и цифровой образ становится равноправным, а в ряде случаев и самостоятельным модусом существования модного продукта.</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Третье. Платформенный характер цифровой среды не сводится к смене канала распространения уже существующих текстов. Он порождает качественно новые жанровые формы — от модного блога, перехватывающего функции печатного глянца, до гибридных и полностью виртуальных форматов показа. В этих формах границы между традиционными жанрами модного дискурса размываются. На микроуровне текста трансформация проявляется в устойчивых лексико-стилистических признаках: активном заимствовании (прежде всего из английского), продуктивных моделях словосложения и в том, что интернет-тексты становятся новым источником прецедентности.</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Четвёртое. Для эмпирического исследования выявленных характеристик адекватным инструментарием выступают методы автоматической обработки естественного языка. Речь в первую очередь о лексико-статистическом анализе, вероятностном тематическом моделировании и анализе тональности, включая аспектный. Их совокупное применение позволяет уйти от единичных примеров, характерных для традиционного качественного дискурс-анализа, и перейти к работе с представительным корпусом текстов и статистически обоснованным выводам.</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Пятое. Методологический аппарат NLP не является нейтральным: у каждого из применяемых методов есть известные ограничения — зависимость TTR от объёма выборки, чувствительность PMI к редким сочетаниям, зависимость результата LDA от числа тем и случайной инициализации, предел длины входа у трансформерных моделей. Поэтому в эмпирической части результаты сопровождаются проверкой устойчивости и явным указанием границ интерпретации.</w:t>
      </w:r>
    </w:p>
    <w:p>
      <w:pPr>
        <w:pStyle w:val="Основной текст"/>
        <w:spacing w:before="0" w:after="0" w:line="360" w:lineRule="auto"/>
        <w:ind w:left="0" w:right="0" w:firstLine="709"/>
        <w:rPr>
          <w:rFonts w:ascii="Times New Roman" w:cs="Times New Roman" w:hAnsi="Times New Roman" w:eastAsia="Times New Roman"/>
          <w:sz w:val="28"/>
          <w:szCs w:val="28"/>
        </w:rPr>
      </w:pPr>
      <w:r>
        <w:rPr>
          <w:rFonts w:ascii="Times New Roman" w:hAnsi="Times New Roman"/>
          <w:sz w:val="28"/>
          <w:szCs w:val="28"/>
          <w:rtl w:val="0"/>
          <w:lang w:val="ru-RU"/>
        </w:rPr>
        <w:t xml:space="preserve">Таким образом, теоретическая база исследования показывает: цифровой модный дискурс — объект динамичный, и для его изучения необходимо сочетать дискурсивно-аналитический и корпусно-статистический подходы. Это и определяет методологию практической части работы, изложенную в Главе 2.</w:t>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ГЛАВА 2. ЭМПИРИЧЕСКОЕ ИССЛЕДОВАНИЕ ЦИФРОВОГО МОДНОГО ДИСКУРСА МЕТОДАМИ NLP</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2.1 Принципы формирования и аннотирования корпуса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Практическая часть работы опирается на корпус текстов цифрового модного дискурса. Его задача — проверить положения, сформулированные в Главе 1. Речь прежде всего о двух тезисах: о гибридной жанровой природе цифрового модного дискурса и о системном характере неологизации его лексики.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Критерии отбора источников. К источникам предъявлялись три требования. Первое касается природы медиа: источник должен быть исходно цифровым либо полностью перешедшим в цифровой формат. Иными словами, нас интересует именно тот тип медиа, трансформация которого обсуждается в работе, — а не оцифрованная копия печатного издания. Второе требование — актуальность: на момент сбора материала источник должен активно обновляться. Так обеспечивается синхронный срез дискурса, а не подборка архивных текстов прошлых лет. Третье требование — жанровая неоднородность состава. Корпус, собранный из однотипных по жанру текстов, не дал бы содержательного ответа на вопрос о жанрово-стилистической специфике цифрового модного дискурса, который был поставлен в §1.3.</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Существенным методологическим ограничением оказался технический критерий доступности. Часть изданий, которые изначально планировались как источники материала, — в частности Elle.ru и Buro247.ru — запрещают автоматизированный сбор данных через протокол robots.txt (это файл на сайте, где владелец прямо указывает, каким программам и к каким разделам доступ разрешён или закрыт). Сбор корпуса в настоящей работе принципиально опирается на программные средства извлечения текста. Поэтому было решено работать только с теми источниками, чья политика доступа совместима с таким способом сбора. Обходить подобные ограничения как исследовательский приём мы не стали.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 учётом обозначенных критериев в выборку изначально вошли тексты четырёх источников: The Blueprint (независимое аналитическое издание), The Voice — правопреемник Cosmopolitan Russia (массовый глянцевый журнал), SYMBOL (глянцевый журнал) и PROfashion (деловое B2B-издание индустрии моды). Показательно, что два из них — The Voice и SYMBOL — прямо преемственны по отношению к изданиям, зафиксированным в теоретических работах из Главы 1: SYMBOL входил в материал исследования Уренковой [Уренкова, 2023] наряду с Elle и Voice. Это обеспечивает содержательную связность теоретической и практической частей работы. Закономерности, описанные в академической литературе на материале этих изданий несколько лет назад, проверяются на актуальном материале тех же информационных площадок.</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Метод извлечения текста. Сбор корпуса выполнялся программно, с использованием библиотеки trafilatura — инструмента, который автоматически вычленяет основной текст статьи из HTML-разметки страницы, без ручной подгонки под вёрстку каждого отдельного сайта. Скрипт скачивает страницу по каждому URL и извлекает из неё содержательный текст, отделяя его от навигационных элементов, рекламных блоков и служебной разметки. Благодаря такому подходу сбор остаётся воспроизводимым, а исходный текст не искажается при переносе в корпус. Код скрипта приведён в Приложении 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Структура записи и хранение данных. Корпус хранится в формате JSON: каждый текст представлен записью с полями id (порядковый номер), source (сайт-источник), genre (жанровая метка), author (автор или «Редакция сайта»), date (дата публикации), title (заголовок), url (адрес страницы) и text (извлечённый текст). Предобработанная версия корпуса дополнительно содержит для каждого текста списки токенов и лемм и их количество; исходный текст сохраняется в поле raw_text. Такое хранение позволяет повторить любой этап анализа без повторного обращения к сайтам, что существенно, поскольку содержимое страниц со временем меняется или удаляется.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Правовые и этические аспекты. Корпус составлен из общедоступных публикаций и используется исключительно в исследовательских целях. Полные тексты статей в работе не воспроизводятся: в качестве иллюстраций приводятся лишь краткие фрагменты с указанием источника, а в приложениях — метаданные (источник, жанр, дата, заголовок), но не сами тексты. Сбор выполнялся только с тех сайтов, правила которых (robots.txt) не запрещают автоматическое извлечение. Персональные данные читателей не собирались; имена авторов и героев публикаций присутствуют лишь в том виде, в каком они указаны самими изданиями, а в приложениях имена авторов не воспроизводятся.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Итоговый состав корпуса. Помимо изданий, намеченных в исходном плане (The Blueprint, SYMBOL, The Voice), в ходе работы рассматривались и другие источники — ради расширения корпуса и повышения статистической устойчивости пожанровых сравнений. Часть из них оказалась технически недоступной для автоматизированного извлечения текста: сайты Forbes.ru и Pravilamag.ru отдавали пустое содержимое страницы, вероятно из-за требования JavaScript-рендеринга или пейвола. Для настоящей методологии такие источники непригодны — так же, как ранее исключённые по протоколу robots.txt Elle.ru и Buro247.ru. Ещё часть рассмотренных источников отпала по тематическому критерию: ресурсы, не специализирующиеся на модном дискурсе (в частности, издания об истории и поп-культуре, а также блог патентного бюро), не соответствовали объекту исследования, несмотря на отдельные точки пересечения тематики.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 итоговый корпус вошли девять источников: The Blueprint, SYMBOL, The Voice, Posta-Magazine, Snob, MarieClaire, Moskvichka, FRWF и «Мнение редакции». Расширение состава источников по сравнению с первоначальным планом вызвано необходимостью получить статистически более устойчивые результаты при пожанровом сравнении (см. §2.2): предварительный анализ на меньшем по объёму корпусе показал, что отдельные жанровые группы были представлены недостаточным для содержательных количественных выводов числом текстов.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Итоговый корпус составил 202 текста общим объёмом около 162 000 слов. Распределение по источникам: The Blueprint — 66 текстов (33%), SYMBOL — 65 (32%), «Мнение редакции» — 19 (9%), Posta-Magazine — 15 (7%), MarieClaire — 13 (6%), Moskvichka — 9 (4%), Snob — 7 (3%), FRWF — 7 (3%), The Voice — 1 (менее 1%). Два основных источника (The Blueprint и SYMBOL) сохраняют паритетное соотношение, зафиксированное ещё на промежуточном этапе сбора. Это говорит о стабильности применяемой методики, а не о случайном перекосе выборки.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Количественные характеристики корпуса по источникам сведены в таблицу 1; полный перечень текстов с метаданными приведён в Приложении Б. Обращает на себя внимание асимметрия состава: два источника (The Blueprint и SYMBOL) дают 131 текст из 202 (65%) и около 71% объёма в словах, тогда как The Voice представлен единственным текстом. Тексты источников различаются и по длине: средний текст Snob (1 260 слов) почти вчетверо длиннее среднего текста FRWF (323 слова). Эти различия учитываются при интерпретации пожанровых и поисточниковых сравнений.</w:t>
      </w:r>
    </w:p>
    <w:p>
      <w:pPr>
        <w:keepNext/>
        <w:spacing w:before="240" w:after="120" w:line="240" w:lineRule="auto"/>
        <w:ind w:firstLine="0"/>
        <w:jc w:val="left"/>
      </w:pPr>
      <w:r>
        <w:rPr>
          <w:rFonts w:ascii="Times New Roman" w:hAnsi="Times New Roman" w:cs="Times New Roman"/>
          <w:sz w:val="28"/>
          <w:szCs w:val="28"/>
          <w:lang w:val="ru-RU"/>
        </w:rPr>
        <w:t xml:space="preserve">Таблица 1 — Состав корпуса по источникам</w:t>
      </w:r>
    </w:p>
    <w:tbl>
      <w:tblPr>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041"/>
        <w:gridCol w:w="1020"/>
        <w:gridCol w:w="907"/>
        <w:gridCol w:w="1134"/>
        <w:gridCol w:w="1304"/>
        <w:gridCol w:w="1190"/>
        <w:gridCol w:w="1417"/>
      </w:tblGrid>
      <w:tr>
        <w:trPr>
          <w:cantSplit/>
          <w:tblHeader/>
        </w:trPr>
        <w:tc>
          <w:tcPr>
            <w:tcW w:w="204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Источник</w:t>
            </w:r>
          </w:p>
        </w:tc>
        <w:tc>
          <w:tcPr>
            <w:tcW w:w="102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Текстов</w:t>
            </w:r>
          </w:p>
        </w:tc>
        <w:tc>
          <w:tcPr>
            <w:tcW w:w="90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Слов</w:t>
            </w:r>
          </w:p>
        </w:tc>
        <w:tc>
          <w:tcPr>
            <w:tcW w:w="130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Средняя длина, слов</w:t>
            </w:r>
          </w:p>
        </w:tc>
        <w:tc>
          <w:tcPr>
            <w:tcW w:w="119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Медиана, слов</w:t>
            </w:r>
          </w:p>
        </w:tc>
        <w:tc>
          <w:tcPr>
            <w:tcW w:w="141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Жанровых меток</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The Blueprint</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66</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32,7</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68 290</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1 035</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752</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14</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SYMBOL</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32,2</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46 281</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712</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427</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11</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«Мнение редакции»</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19</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9,4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8 754</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461</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427</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Posta-Magazine</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7,4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6 582</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439</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228</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MarieClaire</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6,4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11 157</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858</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846</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Moskvichka</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4,5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9 029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1 003</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1 059</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Snob</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3,5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8 817</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1 260</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1 006</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FRWF</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3,5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2 258</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323</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260</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The Voice</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0,5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799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799</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799</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r>
      <w:tr>
        <w:trPr>
          <w:cantSplit/>
        </w:trPr>
        <w:tc>
          <w:tcPr>
            <w:tcW w:w="2041" w:type="dxa"/>
            <w:vAlign w:val="center"/>
          </w:tcPr>
          <w:p>
            <w:pPr>
              <w:spacing w:before="0" w:after="0" w:line="240" w:lineRule="auto"/>
              <w:ind w:firstLine="0"/>
              <w:jc w:val="left"/>
            </w:pPr>
            <w:r>
              <w:rPr>
                <w:rFonts w:ascii="Times New Roman" w:hAnsi="Times New Roman" w:cs="Times New Roman"/>
                <w:sz w:val="22"/>
                <w:szCs w:val="22"/>
                <w:lang w:val="ru-RU"/>
              </w:rPr>
              <w:t xml:space="preserve">Всего</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202</w:t>
            </w:r>
          </w:p>
        </w:tc>
        <w:tc>
          <w:tcPr>
            <w:tcW w:w="907" w:type="dxa"/>
            <w:vAlign w:val="center"/>
          </w:tcPr>
          <w:p>
            <w:pPr>
              <w:spacing w:before="0" w:after="0" w:line="240" w:lineRule="auto"/>
              <w:ind w:firstLine="0"/>
              <w:jc w:val="center"/>
            </w:pPr>
            <w:r>
              <w:rPr>
                <w:rFonts w:ascii="Times New Roman" w:hAnsi="Times New Roman" w:cs="Times New Roman"/>
                <w:sz w:val="22"/>
                <w:szCs w:val="22"/>
                <w:lang w:val="ru-RU"/>
              </w:rPr>
              <w:t xml:space="preserve">100,0</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161 967</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802</w:t>
            </w:r>
          </w:p>
        </w:tc>
        <w:tc>
          <w:tcPr>
            <w:tcW w:w="1190" w:type="dxa"/>
            <w:vAlign w:val="center"/>
          </w:tcPr>
          <w:p>
            <w:pPr>
              <w:spacing w:before="0" w:after="0" w:line="240" w:lineRule="auto"/>
              <w:ind w:firstLine="0"/>
              <w:jc w:val="center"/>
            </w:pPr>
            <w:r>
              <w:rPr>
                <w:rFonts w:ascii="Times New Roman" w:hAnsi="Times New Roman" w:cs="Times New Roman"/>
                <w:sz w:val="22"/>
                <w:szCs w:val="22"/>
                <w:lang w:val="ru-RU"/>
              </w:rPr>
              <w:t xml:space="preserve">641</w:t>
            </w:r>
          </w:p>
        </w:tc>
        <w:tc>
          <w:tcPr>
            <w:tcW w:w="1417" w:type="dxa"/>
            <w:vAlign w:val="center"/>
          </w:tcPr>
          <w:p>
            <w:pPr>
              <w:spacing w:before="0" w:after="0" w:line="240" w:lineRule="auto"/>
              <w:ind w:firstLine="0"/>
              <w:jc w:val="center"/>
            </w:pPr>
            <w:r>
              <w:rPr>
                <w:rFonts w:ascii="Times New Roman" w:hAnsi="Times New Roman" w:cs="Times New Roman"/>
                <w:sz w:val="22"/>
                <w:szCs w:val="22"/>
                <w:lang w:val="ru-RU"/>
              </w:rPr>
              <w:t xml:space="preserve">20</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Хронологические рамки. Материал по-прежнему ограничен текстами 2026 года. Все даты публикации верифицировались индивидуально по метаданным каждой страницы (тег datePublished или явно указанная дата на странице). В процессе сбора систематически исключались материалы, формально попадавшие в тематическую выборку, но фактически опубликованные до начала 2026 года. В первую очередь это тексты с системным обозначением будущего сезона в адресе страницы (например, «ss26»), которые издания нередко публикуют осенью предшествующего года.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Временной состав. Тексты распределены по месяцам 2026 года неравномерно: с января по июнь на каждый месяц приходится от 11 до 19 текстов, в июле и августе — 31 и 30, в сентябре — 49 (почти четверть корпуса). Доля жанра «тенденции» по месяцам колеблется от 22,6% (июль) до 55,6% (март) без выраженной тенденции. Поэтому корпус следует рассматривать как синхронный срез, смещённый к последним месяцам периода, и не использовать для выводов о помесячной динамике.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Авторство. От имени редакции опубликованы 120 текстов (59%), ещё 82 текста (41%) подписаны, при этом подписанные материалы принадлежат 25 авторам. Анонимность большинства материалов не позволяет анализировать индивидуальный авторский стиль, поэтому различия между источниками далее трактуются как различия редакционных практик.</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Жанровая разметка. Каждому тексту в метаданных корпуса присвоена жанровая метка (поле genre). Всего использовано 20 меток, из которых 11 представлены не менее чем пятью текстами; только эти группы участвуют в пожанровых сравнениях. Остальные девять меток (гибридные — «герои/интервью», «индустрия/гид», «тенденции/украшения» и др.) охватывают 17 текстов. Состав основных жанров и типичные заголовки приведены в таблице 2. Самая многочисленная группа — «тенденции» (73 текста, 36%); длиннее всего в среднем тексты жанров «индустрия» (1 915 слов), «икона стиля» (1 285) и «мнение» (1 190), короче всего — «украшения» (380) и «коллекции» (417).</w:t>
      </w:r>
    </w:p>
    <w:p>
      <w:pPr>
        <w:keepNext/>
        <w:spacing w:before="240" w:after="120" w:line="240" w:lineRule="auto"/>
        <w:ind w:firstLine="0"/>
        <w:jc w:val="left"/>
      </w:pPr>
      <w:r>
        <w:rPr>
          <w:rFonts w:ascii="Times New Roman" w:hAnsi="Times New Roman" w:cs="Times New Roman"/>
          <w:sz w:val="28"/>
          <w:szCs w:val="28"/>
          <w:lang w:val="ru-RU"/>
        </w:rPr>
        <w:t xml:space="preserve">Таблица 2 — Жанровая структура корпуса</w:t>
      </w:r>
    </w:p>
    <w:tbl>
      <w:tblPr>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701"/>
        <w:gridCol w:w="1020"/>
        <w:gridCol w:w="850"/>
        <w:gridCol w:w="1134"/>
        <w:gridCol w:w="4195"/>
      </w:tblGrid>
      <w:tr>
        <w:trPr>
          <w:cantSplit/>
          <w:tblHeader/>
        </w:trPr>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Жанровая метка</w:t>
            </w:r>
          </w:p>
        </w:tc>
        <w:tc>
          <w:tcPr>
            <w:tcW w:w="1020"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Текстов</w:t>
            </w:r>
          </w:p>
        </w:tc>
        <w:tc>
          <w:tcPr>
            <w:tcW w:w="850"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Доля, %</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Средняя длина, слов</w:t>
            </w:r>
          </w:p>
        </w:tc>
        <w:tc>
          <w:tcPr>
            <w:tcW w:w="4195"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Пример заголовка</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тенденции</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73</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36,1</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715</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«Козырь в рукаве»</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коллекции</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24</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11,9</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417</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«На самом ожидаемом показе Chanel подиум превратили в лес, а финал обошелся без невесты»</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шопинг</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20</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9,9</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664</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«Шапочный разбор»</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выбор</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16</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7,9</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773</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«7 пар красивых вельветовых брюк, которые будут в моде осенью-2026»</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выбор/дайджест</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13</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6,4</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904</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«Шопинг-дайджест: готовый осенний гардероб и ювелирные новинки»</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икона стиля</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9</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4,5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1 285</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«Икона стиля: Долли Партон»</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герои/репортаж</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8</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4,0</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700</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«Венецианский кинофестиваль-2026: красная дорожка»</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герои</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7</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3,5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730</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«Знакомьтесь: Джули Кегельс — победитель LVMH Prize-2026»</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мнение</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2,5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1 190</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«Дедушка был хипстер. Колонка Антона Котенева о нишевости»</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индустрия</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2,5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1 915</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«Состояние российского рынка перепродажи в 2026-м»</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украшения</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2,5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380</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«В этом сезоне в моду вернулись украшения из бусин»</w:t>
            </w:r>
          </w:p>
        </w:tc>
      </w:tr>
      <w:tr>
        <w:trPr>
          <w:cantSplit/>
        </w:trPr>
        <w:tc>
          <w:tcPr>
            <w:tcW w:w="1701" w:type="dxa"/>
            <w:vAlign w:val="center"/>
          </w:tcPr>
          <w:p>
            <w:pPr>
              <w:spacing w:before="0" w:after="0" w:line="240" w:lineRule="auto"/>
              <w:ind w:firstLine="0"/>
              <w:jc w:val="left"/>
            </w:pPr>
            <w:r>
              <w:rPr>
                <w:rFonts w:ascii="Times New Roman" w:hAnsi="Times New Roman" w:cs="Times New Roman"/>
                <w:sz w:val="20"/>
                <w:szCs w:val="20"/>
                <w:lang w:val="ru-RU"/>
              </w:rPr>
              <w:t xml:space="preserve">Прочие (9 меток, n &lt; 5)</w:t>
            </w:r>
          </w:p>
        </w:tc>
        <w:tc>
          <w:tcPr>
            <w:tcW w:w="1020" w:type="dxa"/>
            <w:vAlign w:val="center"/>
          </w:tcPr>
          <w:p>
            <w:pPr>
              <w:spacing w:before="0" w:after="0" w:line="240" w:lineRule="auto"/>
              <w:ind w:firstLine="0"/>
              <w:jc w:val="center"/>
            </w:pPr>
            <w:r>
              <w:rPr>
                <w:rFonts w:ascii="Times New Roman" w:hAnsi="Times New Roman" w:cs="Times New Roman"/>
                <w:sz w:val="20"/>
                <w:szCs w:val="20"/>
                <w:lang w:val="ru-RU"/>
              </w:rPr>
              <w:t xml:space="preserve">17</w:t>
            </w:r>
          </w:p>
        </w:tc>
        <w:tc>
          <w:tcPr>
            <w:tcW w:w="850" w:type="dxa"/>
            <w:vAlign w:val="center"/>
          </w:tcPr>
          <w:p>
            <w:pPr>
              <w:spacing w:before="0" w:after="0" w:line="240" w:lineRule="auto"/>
              <w:ind w:firstLine="0"/>
              <w:jc w:val="center"/>
            </w:pPr>
            <w:r>
              <w:rPr>
                <w:rFonts w:ascii="Times New Roman" w:hAnsi="Times New Roman" w:cs="Times New Roman"/>
                <w:sz w:val="20"/>
                <w:szCs w:val="20"/>
                <w:lang w:val="ru-RU"/>
              </w:rPr>
              <w:t xml:space="preserve">8,4</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w:t>
            </w:r>
          </w:p>
        </w:tc>
        <w:tc>
          <w:tcPr>
            <w:tcW w:w="4195" w:type="dxa"/>
            <w:vAlign w:val="center"/>
          </w:tcPr>
          <w:p>
            <w:pPr>
              <w:spacing w:before="0" w:after="0" w:line="240" w:lineRule="auto"/>
              <w:ind w:firstLine="0"/>
              <w:jc w:val="left"/>
            </w:pPr>
            <w:r>
              <w:rPr>
                <w:rFonts w:ascii="Times New Roman" w:hAnsi="Times New Roman" w:cs="Times New Roman"/>
                <w:sz w:val="20"/>
                <w:szCs w:val="20"/>
                <w:lang w:val="ru-RU"/>
              </w:rPr>
              <w:t xml:space="preserve">гибридные метки: «герои/интервью», «индустрия/гид», «тенденции/украшения» и др.</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Отдельного внимания заслуживает связь жанровой разметки с источниками (таблица 3). Жанр и источник в корпусе тесно связаны: 16 из 20 текстов «шопинга» принадлежат The Blueprint, все пять текстов жанра «украшения» — SYMBOL, а 22 из 29 текстов жанров «выбор» и «выбор/дайджест» также приходятся на SYMBOL. Формальная мера связи для таблицы сопряжённости 11 × 3 составляет V Крамера = 0,50 (χ² = 90,8 при 20 степенях свободы, p &lt; 0,001; при малых ожидаемых частотах p приближённый). Следовательно, часть жанровых различий, обнаруженных в §2.2–2.3, может отражать различия редакционных практик, а не жанр как таковой; эта оговорка учитывается при интерпретации результатов (§2.6).</w:t>
      </w:r>
    </w:p>
    <w:p>
      <w:pPr>
        <w:keepNext/>
        <w:spacing w:before="240" w:after="120" w:line="240" w:lineRule="auto"/>
        <w:ind w:firstLine="0"/>
        <w:jc w:val="left"/>
      </w:pPr>
      <w:r>
        <w:rPr>
          <w:rFonts w:ascii="Times New Roman" w:hAnsi="Times New Roman" w:cs="Times New Roman"/>
          <w:sz w:val="28"/>
          <w:szCs w:val="28"/>
          <w:lang w:val="ru-RU"/>
        </w:rPr>
        <w:t xml:space="preserve">Таблица 3 — Распределение жанровых групп по источникам (число текстов)</w:t>
      </w:r>
    </w:p>
    <w:tbl>
      <w:tblPr>
        <w:tblW w:w="827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438"/>
        <w:gridCol w:w="1474"/>
        <w:gridCol w:w="1360"/>
        <w:gridCol w:w="1871"/>
        <w:gridCol w:w="1134"/>
      </w:tblGrid>
      <w:tr>
        <w:trPr>
          <w:cantSplit/>
          <w:tblHeader/>
        </w:trPr>
        <w:tc>
          <w:tcPr>
            <w:tcW w:w="2438"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Жанровая метка</w:t>
            </w:r>
          </w:p>
        </w:tc>
        <w:tc>
          <w:tcPr>
            <w:tcW w:w="147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The Blueprint</w:t>
            </w:r>
          </w:p>
        </w:tc>
        <w:tc>
          <w:tcPr>
            <w:tcW w:w="136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SYMBOL</w:t>
            </w:r>
          </w:p>
        </w:tc>
        <w:tc>
          <w:tcPr>
            <w:tcW w:w="187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Прочие источники</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Всего</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тенденции</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28</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18</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27</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73</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коллекции</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24</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шопинг</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16</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20</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выбор</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12</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16</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выбор/дайджест</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икона стиля</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6</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герои/репортаж</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8</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герои</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мнение</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индустрия</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украшения</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r>
      <w:tr>
        <w:trPr>
          <w:cantSplit/>
        </w:trPr>
        <w:tc>
          <w:tcPr>
            <w:tcW w:w="2438" w:type="dxa"/>
            <w:vAlign w:val="center"/>
          </w:tcPr>
          <w:p>
            <w:pPr>
              <w:spacing w:before="0" w:after="0" w:line="240" w:lineRule="auto"/>
              <w:ind w:firstLine="0"/>
              <w:jc w:val="left"/>
            </w:pPr>
            <w:r>
              <w:rPr>
                <w:rFonts w:ascii="Times New Roman" w:hAnsi="Times New Roman" w:cs="Times New Roman"/>
                <w:sz w:val="22"/>
                <w:szCs w:val="22"/>
                <w:lang w:val="ru-RU"/>
              </w:rPr>
              <w:t xml:space="preserve">Итого по 11 группам</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58</w:t>
            </w:r>
          </w:p>
        </w:tc>
        <w:tc>
          <w:tcPr>
            <w:tcW w:w="1360" w:type="dxa"/>
            <w:vAlign w:val="center"/>
          </w:tcPr>
          <w:p>
            <w:pPr>
              <w:spacing w:before="0" w:after="0" w:line="240" w:lineRule="auto"/>
              <w:ind w:firstLine="0"/>
              <w:jc w:val="center"/>
            </w:pPr>
            <w:r>
              <w:rPr>
                <w:rFonts w:ascii="Times New Roman" w:hAnsi="Times New Roman" w:cs="Times New Roman"/>
                <w:sz w:val="22"/>
                <w:szCs w:val="22"/>
                <w:lang w:val="ru-RU"/>
              </w:rPr>
              <w:t xml:space="preserve">62</w:t>
            </w:r>
          </w:p>
        </w:tc>
        <w:tc>
          <w:tcPr>
            <w:tcW w:w="1871"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185</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Объём текстов. Общий объём корпуса — 161 967 слов; средняя длина текста — 802 слов, медиана — 641, межквартильный размах — от 394 до 890 слов. Короче 400 слов 56 текстов, длиннее 1000 слов — 40; самый короткий текст содержит 52 слов, самый длинный — 6 304 слов (развёрнутая подборка «Модный женский гардероб на лето-2026: 30 актуальных моделей» — один этот текст составляет около 4% всего корпуса). Распределение, показанное на рисунке 1, асимметрично вправо: медиана существенно ниже среднего. Это важно для дальнейшего анализа: как показано в §2.2, лексические показатели зависят от длины текста.</w:t>
      </w:r>
    </w:p>
    <w:p>
      <w:pPr>
        <w:keepNext/>
        <w:spacing w:before="120" w:after="60" w:line="240" w:lineRule="auto"/>
        <w:jc w:val="center"/>
      </w:pPr>
      <w:r>
        <w:drawing>
          <wp:inline xmlns:a="http://schemas.openxmlformats.org/drawingml/2006/main" xmlns:pic="http://schemas.openxmlformats.org/drawingml/2006/picture">
            <wp:extent cx="4500000" cy="2320312"/>
            <wp:docPr id="1" name="Picture 1"/>
            <wp:cNvGraphicFramePr>
              <a:graphicFrameLocks noChangeAspect="1"/>
            </wp:cNvGraphicFramePr>
            <a:graphic>
              <a:graphicData uri="http://schemas.openxmlformats.org/drawingml/2006/picture">
                <pic:pic>
                  <pic:nvPicPr>
                    <pic:cNvPr id="0" name="fig5_lengths.png"/>
                    <pic:cNvPicPr/>
                  </pic:nvPicPr>
                  <pic:blipFill>
                    <a:blip r:embed="rId8"/>
                    <a:stretch>
                      <a:fillRect/>
                    </a:stretch>
                  </pic:blipFill>
                  <pic:spPr>
                    <a:xfrm>
                      <a:off x="0" y="0"/>
                      <a:ext cx="4500000" cy="2320312"/>
                    </a:xfrm>
                    <a:prstGeom prst="rect"/>
                  </pic:spPr>
                </pic:pic>
              </a:graphicData>
            </a:graphic>
          </wp:inline>
        </w:drawing>
      </w:r>
    </w:p>
    <w:p>
      <w:pPr>
        <w:spacing w:before="0" w:after="200" w:line="240" w:lineRule="auto"/>
        <w:ind w:firstLine="0"/>
        <w:jc w:val="center"/>
      </w:pPr>
      <w:r>
        <w:rPr>
          <w:rFonts w:ascii="Times New Roman" w:hAnsi="Times New Roman" w:cs="Times New Roman"/>
          <w:sz w:val="28"/>
          <w:szCs w:val="28"/>
          <w:lang w:val="ru-RU"/>
        </w:rPr>
        <w:t xml:space="preserve">Рисунок 1 — Распределение текстов корпуса по длине (слов)</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Раскрытие использования технологий искусственного интеллекта (п. 3.6 Положения)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При работе над эмпирической частью исследования (Глава 2) для сбора и первичной обработки большого массива разрозненных текстовых данных применялась технология генеративного искусственного интеллекта — ассистент Claude (Anthropic).</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Почему потребовалось обратиться к системе. Задача формирования корпуса цифрового модного дискурса по своему объёму делала ручной сбор крайне трудоёмким и подверженным ошибкам. Требовалось: (а) определить, какие из потенциальных источников технически доступны для автоматизированного извлечения текста, проверив протокол robots.txt каждого издания; (б) найти и извлечь содержание более чем 200 отдельных веб-страниц; (в) по каждой странице отдельно верифицировать дату публикации по метаданным, чтобы корпус соответствовал заявленным хронологическим рамкам (см. выше). Речь идёт о сборе и структурировании большого объёма разрозненных данных — для такой задачи обращение к технологии ИИ было признано целесообразным.</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Как строились запросы. Схема работы с системой была следующей: (1) формулировался поисковый запрос с тематическим признаком (раздел моды конкретного издания) и временным признаком (2026 год); (2) с найденной страницы-рубрики система извлекала содержимое и переходила по ссылкам на отдельные статьи; (3) для каждой статьи-кандидата отдельным запросом проверялась точная дата публикации, указанная в метаданных страницы; (4) если текст не соответствовал заявленным хронологическим рамкам (2026 год), он исключался из выборки. На отдельном этапе для автоматического извлечения подлинного текста статей (взамен первоначального ручного пересказа) была разработана и использована программа на языке Python с библиотекой trafilatura.</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Разграничение функций. Технология ИИ применялась исключительно на этапе технического сбора и первичной верификации эмпирического материала, а также при разработке вспомогательного программного кода для предобработки текста (токенизация, лемматизация) и статистического анализа (частотный, коллокационный, тематический анализ, анализ тональности). Содержательная интерпретация полученных результатов, формулировка выводов и текст всех разделов работы выполнены автором самостоятельно.</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Версия системы и период обращения: Claude Sonnet 5 (Anthropic), период обращения — сентябрь 2026 года.</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2.2 Частотный, коллокационный и тематический анализ корпуса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Предобработка. Корпус был проведён через стандартный набор процедур: токенизация (razdel), приведение к нижнему регистру, снятие пунктуации и цифр, лемматизация (pymorphy3), удаление стоп-слов. На входе объём составлял 154 706 токенов; после лемматизации и снятия стоп-слов осталось 101 847 лемм. Словарь корпуса насчитывает 16 395 уникальных лемм, type-token ratio равен 0,161. Снижение TTR по сравнению с более ранними версиями корпуса (0,41 при 60 текстах, 0,34 при 100) статистически ожидаемо: с ростом объёма текста показатель закономерно падает, поскольку частотная лексика начинает повторяться, — об обеднении словаря это не говорит. На леммы-хапаксы приходится 48,1% словаря, что тоже укладывается в нормальное распределение для корпуса такого объёма.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Частотный анализ. Ядро наиболее частотных лемм выглядит так: весна-лето (588), бренд (571), образ (511), модный (501), мода (439), коллекция (427), сезон (409), модель (391), осень-зима (361), платье (353), джинсы (345). Этот перечень полностью согласуется с терминологическим ядром модного дискурса, описанным в §1.1, и демонстрирует, что ядро сохраняет устойчивость даже при увеличении корпуса более чем втрое.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Полный список тридцати наиболее частотных лемм с относительной частотой (на 1000 лемм) приведён в таблице 4. Ядро распадается на несколько семантических групп. Первую образуют сезонные обозначения (весна-лето — 588, осень-зима — 361, сезон — 409, осень — 322): они задают календарную рамку модной коммуникации, при которой индустрия описывает себя через смену коллекций. Вторая группа — институциональные единицы (бренд, коллекция, дизайнер, модель — с учётом многозначности слова «модель»). Третья — названия предметов гардероба (платье, джинсы, брюки, юбка, обувь, сумка). Четвёртая — понятия стилистического описания (образ, стиль, тренд, гардероб, вещь, цвет). Особняком стоят глаголы и оценочные слова, характерные для рекомендательной интонации (носить, выглядеть, главный, первый, например). Показательно, что среди тридцати самых частотных лемм нет ни одной, относящейся к цифровой сфере: она проявляется только на более низких частотах (см. §2.5).</w:t>
      </w:r>
    </w:p>
    <w:p>
      <w:pPr>
        <w:keepNext/>
        <w:spacing w:before="240" w:after="120" w:line="240" w:lineRule="auto"/>
        <w:ind w:firstLine="0"/>
        <w:jc w:val="left"/>
      </w:pPr>
      <w:r>
        <w:rPr>
          <w:rFonts w:ascii="Times New Roman" w:hAnsi="Times New Roman" w:cs="Times New Roman"/>
          <w:sz w:val="28"/>
          <w:szCs w:val="28"/>
          <w:lang w:val="ru-RU"/>
        </w:rPr>
        <w:t xml:space="preserve">Таблица 4 — Тридцать наиболее частотных лемм корпуса (всего 101 847 лемм)</w:t>
      </w:r>
    </w:p>
    <w:tbl>
      <w:tblPr>
        <w:tblW w:w="827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10"/>
        <w:gridCol w:w="1701"/>
        <w:gridCol w:w="1077"/>
        <w:gridCol w:w="850"/>
        <w:gridCol w:w="510"/>
        <w:gridCol w:w="1701"/>
        <w:gridCol w:w="1077"/>
        <w:gridCol w:w="850"/>
      </w:tblGrid>
      <w:tr>
        <w:trPr>
          <w:cantSplit/>
          <w:tblHeader/>
        </w:trPr>
        <w:tc>
          <w:tcPr>
            <w:tcW w:w="51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Лемма</w:t>
            </w:r>
          </w:p>
        </w:tc>
        <w:tc>
          <w:tcPr>
            <w:tcW w:w="107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Частота</w:t>
            </w:r>
          </w:p>
        </w:tc>
        <w:tc>
          <w:tcPr>
            <w:tcW w:w="85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w:t>
            </w:r>
          </w:p>
        </w:tc>
        <w:tc>
          <w:tcPr>
            <w:tcW w:w="51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Лемма</w:t>
            </w:r>
          </w:p>
        </w:tc>
        <w:tc>
          <w:tcPr>
            <w:tcW w:w="107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Частота</w:t>
            </w:r>
          </w:p>
        </w:tc>
        <w:tc>
          <w:tcPr>
            <w:tcW w:w="85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весна-лето</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588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5,77</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16</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дизайнер</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308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3,02</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бренд</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571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5,61</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17</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носить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287</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2,82</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образ</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511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5,02</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18</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цвет</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261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2,56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модный</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501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4,92</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19</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первый</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253</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2,48</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мода</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439</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4,31</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20</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выглядеть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249</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2,44</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6</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коллекция</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427</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4,19</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21</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время</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238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2,34</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сезон</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409</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4,02</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22</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гардероб</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233</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2,29</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8</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модель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391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3,84</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23</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обувь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230</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осень-зима</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361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3,54</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24</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стиль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225</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2,21</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платье</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353</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3,47</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25</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брюки</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225</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2,21</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11</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джинсы</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345</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3,39</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26</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например</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224</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2,20</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12</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вещь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344</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3,38</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27</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юбка</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222</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2,18</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тренд</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328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3,22</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28</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одежда</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2,17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14</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осень</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322</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3,16</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29</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сумка</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220</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2,16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главный</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308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3,02</w:t>
            </w:r>
          </w:p>
        </w:tc>
        <w:tc>
          <w:tcPr>
            <w:tcW w:w="510" w:type="dxa"/>
            <w:vAlign w:val="center"/>
          </w:tcPr>
          <w:p>
            <w:pPr>
              <w:spacing w:before="0" w:after="0" w:line="240" w:lineRule="auto"/>
              <w:ind w:firstLine="0"/>
              <w:jc w:val="center"/>
            </w:pPr>
            <w:r>
              <w:rPr>
                <w:rFonts w:ascii="Times New Roman" w:hAnsi="Times New Roman" w:cs="Times New Roman"/>
                <w:sz w:val="22"/>
                <w:szCs w:val="22"/>
                <w:lang w:val="ru-RU"/>
              </w:rPr>
              <w:t xml:space="preserve">30</w:t>
            </w:r>
          </w:p>
        </w:tc>
        <w:tc>
          <w:tcPr>
            <w:tcW w:w="1701" w:type="dxa"/>
            <w:vAlign w:val="center"/>
          </w:tcPr>
          <w:p>
            <w:pPr>
              <w:spacing w:before="0" w:after="0" w:line="240" w:lineRule="auto"/>
              <w:ind w:firstLine="0"/>
              <w:jc w:val="left"/>
            </w:pPr>
            <w:r>
              <w:rPr>
                <w:rFonts w:ascii="Times New Roman" w:hAnsi="Times New Roman" w:cs="Times New Roman"/>
                <w:sz w:val="22"/>
                <w:szCs w:val="22"/>
                <w:lang w:val="ru-RU"/>
              </w:rPr>
              <w:t xml:space="preserve">чёрный</w:t>
            </w:r>
          </w:p>
        </w:tc>
        <w:tc>
          <w:tcPr>
            <w:tcW w:w="1077" w:type="dxa"/>
            <w:vAlign w:val="center"/>
          </w:tcPr>
          <w:p>
            <w:pPr>
              <w:spacing w:before="0" w:after="0" w:line="240" w:lineRule="auto"/>
              <w:ind w:firstLine="0"/>
              <w:jc w:val="center"/>
            </w:pPr>
            <w:r>
              <w:rPr>
                <w:rFonts w:ascii="Times New Roman" w:hAnsi="Times New Roman" w:cs="Times New Roman"/>
                <w:sz w:val="22"/>
                <w:szCs w:val="22"/>
                <w:lang w:val="ru-RU"/>
              </w:rPr>
              <w:t xml:space="preserve">208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2,04</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Коллокационный анализ. Для биграмм с частотой ≥5 была рассчитана мера PMI. В верхней части списка по PMI ожидаемо оказались устойчивые многословные имена собственные (harper bazaar, elie saab, phoebe philo, gianni chiarini) — эффект, уже отмечавшийся на меньшей версии корпуса. Ранжирование по абсолютной частоте вывело на первый план институциональную лексику (осень зима — 179, saint laurent — 91, неделя мода — 76, креативный директор — 55). Здесь же обнаружился методологически значимый артефакт: биграммы «рассказать ниже», «ниже подробный», «подробный модный» с частотой 47–49 — это не содержательные коллокации, а шаблонные навигационные фразы из статей-хабов формата «шопинг-гид» («Подробнее о модных… ниже»), которые выявились при расширении корпуса новыми источниками. Присутствие таких фраз в топе частотных биграмм — не ошибка метода, а честно зафиксированное свойство жанра «шопинг-дайджест», специально устроенного как список ссылок на более подробные материалы.</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Типы наиболее частотных биграмм сведены в таблицу 5. Из пятнадцати биграмм восемь представляют собой имена собственные — названия брендов и имена персон (saint laurent, bottega veneta, louis vuitton, miu miu, dolce gabbana, van noten, dries van, джонатан андерсон); три — навигационные шаблоны; остальные четыре — институциональные и предметные сочетания. Биграммы van noten и dries van — два перекрывающихся фрагмента одного имени (Dries Van Noten): подход по биграммам дробит многословные имена, и для их корректной обработки потребуются триграммы или распознавание именованных сущностей. Из 84 991 уникальной биграммы порог частоты ≥ 5 прошли 977 (1,1%); полные списки по частоте и по PMI приведены в Приложении В.</w:t>
      </w:r>
    </w:p>
    <w:p>
      <w:pPr>
        <w:keepNext/>
        <w:spacing w:before="240" w:after="120" w:line="240" w:lineRule="auto"/>
        <w:ind w:firstLine="0"/>
        <w:jc w:val="left"/>
      </w:pPr>
      <w:r>
        <w:rPr>
          <w:rFonts w:ascii="Times New Roman" w:hAnsi="Times New Roman" w:cs="Times New Roman"/>
          <w:sz w:val="28"/>
          <w:szCs w:val="28"/>
          <w:lang w:val="ru-RU"/>
        </w:rPr>
        <w:t xml:space="preserve">Таблица 5 — Пятнадцать наиболее частотных биграмм (по леммам) и их тип</w:t>
      </w:r>
    </w:p>
    <w:tbl>
      <w:tblPr>
        <w:tblW w:w="79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67"/>
        <w:gridCol w:w="2551"/>
        <w:gridCol w:w="1134"/>
        <w:gridCol w:w="3685"/>
      </w:tblGrid>
      <w:tr>
        <w:trPr>
          <w:cantSplit/>
          <w:tblHeader/>
        </w:trPr>
        <w:tc>
          <w:tcPr>
            <w:tcW w:w="56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w:t>
            </w:r>
          </w:p>
        </w:tc>
        <w:tc>
          <w:tcPr>
            <w:tcW w:w="255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Биграмма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Частота</w:t>
            </w:r>
          </w:p>
        </w:tc>
        <w:tc>
          <w:tcPr>
            <w:tcW w:w="3685"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Тип сочетания</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осень зима</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179</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сезонное обозначение</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saint laurent</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91</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неделя мода</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76</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институциональное</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bottega veneta</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louis vuitton</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6</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miu miu</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59</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креативный директор</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55</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институциональное</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8</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рассказать ниже</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49</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навигационный шаблон</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ниже подробный</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47</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навигационный шаблон</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подробный модный</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47</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навигационный шаблон</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11</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dolce gabbana</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46</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12</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van noten</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45</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(бренд)</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dries van</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44</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фрагмент имени (Dries Van Noten)</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14</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кожаный куртка</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44</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предметное</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c>
          <w:tcPr>
            <w:tcW w:w="2551" w:type="dxa"/>
            <w:vAlign w:val="center"/>
          </w:tcPr>
          <w:p>
            <w:pPr>
              <w:spacing w:before="0" w:after="0" w:line="240" w:lineRule="auto"/>
              <w:ind w:firstLine="0"/>
              <w:jc w:val="left"/>
            </w:pPr>
            <w:r>
              <w:rPr>
                <w:rFonts w:ascii="Times New Roman" w:hAnsi="Times New Roman" w:cs="Times New Roman"/>
                <w:sz w:val="22"/>
                <w:szCs w:val="22"/>
                <w:lang w:val="ru-RU"/>
              </w:rPr>
              <w:t xml:space="preserve">джонатан андерсон</w:t>
            </w:r>
          </w:p>
        </w:tc>
        <w:tc>
          <w:tcPr>
            <w:tcW w:w="1134" w:type="dxa"/>
            <w:vAlign w:val="center"/>
          </w:tcPr>
          <w:p>
            <w:pPr>
              <w:spacing w:before="0" w:after="0" w:line="240" w:lineRule="auto"/>
              <w:ind w:firstLine="0"/>
              <w:jc w:val="center"/>
            </w:pPr>
            <w:r>
              <w:rPr>
                <w:rFonts w:ascii="Times New Roman" w:hAnsi="Times New Roman" w:cs="Times New Roman"/>
                <w:sz w:val="22"/>
                <w:szCs w:val="22"/>
                <w:lang w:val="ru-RU"/>
              </w:rPr>
              <w:t xml:space="preserve">43</w:t>
            </w:r>
          </w:p>
        </w:tc>
        <w:tc>
          <w:tcPr>
            <w:tcW w:w="3685" w:type="dxa"/>
            <w:vAlign w:val="center"/>
          </w:tcPr>
          <w:p>
            <w:pPr>
              <w:spacing w:before="0" w:after="0" w:line="240" w:lineRule="auto"/>
              <w:ind w:firstLine="0"/>
              <w:jc w:val="left"/>
            </w:pPr>
            <w:r>
              <w:rPr>
                <w:rFonts w:ascii="Times New Roman" w:hAnsi="Times New Roman" w:cs="Times New Roman"/>
                <w:sz w:val="22"/>
                <w:szCs w:val="22"/>
                <w:lang w:val="ru-RU"/>
              </w:rPr>
              <w:t xml:space="preserve">имя собственное (персона)</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Латиница и англицизмы. Картину англизации, описанную в §1.1, дополняет доля слов, записанных латиницей. В корпусе 9 264 латинских токенов (5,9% буквенных токенов; 2 318 различных форм). Однако состав самых частых форм показывает, что это преимущественно названия брендов и изданий: chanel (151), dior (149), prada (136), miu (118), saint и laurent (по 91), gucci (85). Форма the (132) входит, в частности, в названия The Blueprint и The Business of Fashion и в английские заголовки. Следовательно, латиница отражает плотность имён собственных, а не англицизмы как лексические заимствования: последние, записанные кириллицей (тренд, бренд, шопинг), в этот показатель не попадают. Различия по источникам и жанрам (таблица 6) тем не менее информативны: у The Blueprint доля латиницы (9,6%) в четыре раза выше, чем у SYMBOL (2,3%), а максимальна она в жанрах «шопинг» (11,2%) и «тенденции» (8,3%) — текстах, построенных вокруг перечисления брендов и коллекций. Для отделения заимствованной лексики от имён собственных потребовалось бы автоматическое распознавание именованных сущностей; в настоящей работе оно не применялось.</w:t>
      </w:r>
    </w:p>
    <w:p>
      <w:pPr>
        <w:keepNext/>
        <w:spacing w:before="240" w:after="120" w:line="240" w:lineRule="auto"/>
        <w:ind w:firstLine="0"/>
        <w:jc w:val="left"/>
      </w:pPr>
      <w:r>
        <w:rPr>
          <w:rFonts w:ascii="Times New Roman" w:hAnsi="Times New Roman" w:cs="Times New Roman"/>
          <w:sz w:val="28"/>
          <w:szCs w:val="28"/>
          <w:lang w:val="ru-RU"/>
        </w:rPr>
        <w:t xml:space="preserve">Таблица 6 — Доля слов, записанных латиницей, % буквенных токенов</w:t>
      </w:r>
    </w:p>
    <w:tbl>
      <w:tblPr>
        <w:tblW w:w="68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36"/>
        <w:gridCol w:w="2268"/>
      </w:tblGrid>
      <w:tr>
        <w:trPr>
          <w:cantSplit/>
          <w:tblHeader/>
        </w:trPr>
        <w:tc>
          <w:tcPr>
            <w:tcW w:w="4536"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Группа текстов</w:t>
            </w:r>
          </w:p>
        </w:tc>
        <w:tc>
          <w:tcPr>
            <w:tcW w:w="2268"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латиницы, %</w:t>
            </w:r>
          </w:p>
        </w:tc>
      </w:tr>
      <w:tr>
        <w:trPr>
          <w:cantSplit/>
        </w:trPr>
        <w:tc>
          <w:tcPr>
            <w:tcW w:w="6804" w:type="dxa"/>
            <w:gridSpan w:val="2"/>
            <w:shd w:val="clear" w:color="auto" w:fill="EDEDED"/>
          </w:tcPr>
          <w:p>
            <w:pPr>
              <w:spacing w:before="0" w:after="0" w:line="240" w:lineRule="auto"/>
              <w:ind w:firstLine="0"/>
              <w:jc w:val="left"/>
            </w:pPr>
            <w:r>
              <w:rPr>
                <w:rFonts w:ascii="Times New Roman" w:hAnsi="Times New Roman" w:cs="Times New Roman"/>
                <w:b/>
                <w:sz w:val="22"/>
                <w:szCs w:val="22"/>
                <w:lang w:val="ru-RU"/>
              </w:rPr>
              <w:t xml:space="preserve">По источникам</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The Blueprint</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9,6</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Moskvichka</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5,8</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«Мнение редакции»</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5,2</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Posta-Magazine</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5,0</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Snob</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3,4</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MarieClaire</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3,0</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SYMBOL</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2,3</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FRWF</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0,9</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The Voice</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0,1</w:t>
            </w:r>
          </w:p>
        </w:tc>
      </w:tr>
      <w:tr>
        <w:trPr>
          <w:cantSplit/>
        </w:trPr>
        <w:tc>
          <w:tcPr>
            <w:tcW w:w="6804" w:type="dxa"/>
            <w:gridSpan w:val="2"/>
            <w:shd w:val="clear" w:color="auto" w:fill="EDEDED"/>
          </w:tcPr>
          <w:p>
            <w:pPr>
              <w:spacing w:before="0" w:after="0" w:line="240" w:lineRule="auto"/>
              <w:ind w:firstLine="0"/>
              <w:jc w:val="left"/>
            </w:pPr>
            <w:r>
              <w:rPr>
                <w:rFonts w:ascii="Times New Roman" w:hAnsi="Times New Roman" w:cs="Times New Roman"/>
                <w:b/>
                <w:sz w:val="22"/>
                <w:szCs w:val="22"/>
                <w:lang w:val="ru-RU"/>
              </w:rPr>
              <w:t xml:space="preserve">По жанрам (n ≥ 5)</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шопинг</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11,2</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тенденции</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8,3</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индустрия</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6,3</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герои</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5,4</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герои/репортаж</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5,1</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выбор/дайджест</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4,5</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коллекции</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4,2</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мнение</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4,2</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икона стиля</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3,1</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украшения</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r>
      <w:tr>
        <w:trPr>
          <w:cantSplit/>
        </w:trPr>
        <w:tc>
          <w:tcPr>
            <w:tcW w:w="4536" w:type="dxa"/>
            <w:vAlign w:val="center"/>
          </w:tcPr>
          <w:p>
            <w:pPr>
              <w:spacing w:before="0" w:after="0" w:line="240" w:lineRule="auto"/>
              <w:ind w:firstLine="0"/>
              <w:jc w:val="left"/>
            </w:pPr>
            <w:r>
              <w:rPr>
                <w:rFonts w:ascii="Times New Roman" w:hAnsi="Times New Roman" w:cs="Times New Roman"/>
                <w:sz w:val="22"/>
                <w:szCs w:val="22"/>
                <w:lang w:val="ru-RU"/>
              </w:rPr>
              <w:t xml:space="preserve">выбор</w:t>
            </w:r>
          </w:p>
        </w:tc>
        <w:tc>
          <w:tcPr>
            <w:tcW w:w="2268" w:type="dxa"/>
            <w:vAlign w:val="center"/>
          </w:tcPr>
          <w:p>
            <w:pPr>
              <w:spacing w:before="0" w:after="0" w:line="240" w:lineRule="auto"/>
              <w:ind w:firstLine="0"/>
              <w:jc w:val="center"/>
            </w:pPr>
            <w:r>
              <w:rPr>
                <w:rFonts w:ascii="Times New Roman" w:hAnsi="Times New Roman" w:cs="Times New Roman"/>
                <w:sz w:val="22"/>
                <w:szCs w:val="22"/>
                <w:lang w:val="ru-RU"/>
              </w:rPr>
              <w:t xml:space="preserve">0,4</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Модные дома. Имена собственные, преобладающие в коллокациях и среди латинских токенов, можно описать и напрямую (таблица 7). Список из двадцати домов составлен по частотным биграммам и латинским токенам; поиск выполнялся по регулярным выражениям для латинского и кириллического написаний и не учитывает всех вариантов, поэтому числа следует читать как нижнюю оценку. Чаще всего упоминаются Chanel (163 упоминаний в 64 текстах), Dior (157 в 57) и Prada (152 в 55). Пять самых упоминаемых домов дают 655 из 1 417 упоминаний двадцати домов (46%). Хотя бы один из двадцати домов назван в 137 текстах из 202 (68%), а сезонные обозначения (весна-лето, осень-зима, SS/FW, «осень-2026» и т. п.) встречаются в 107 текстах (53%). Иначе говоря, для большей части корпуса опорными точками служат бренд и сезон — то есть коллекционный цикл индустрии, — что согласуется с выводом о терминологическом ядре, сделанным по частотному списку.</w:t>
      </w:r>
    </w:p>
    <w:p>
      <w:pPr>
        <w:keepNext/>
        <w:spacing w:before="240" w:after="120" w:line="240" w:lineRule="auto"/>
        <w:ind w:firstLine="0"/>
        <w:jc w:val="left"/>
      </w:pPr>
      <w:r>
        <w:rPr>
          <w:rFonts w:ascii="Times New Roman" w:hAnsi="Times New Roman" w:cs="Times New Roman"/>
          <w:sz w:val="28"/>
          <w:szCs w:val="28"/>
          <w:lang w:val="ru-RU"/>
        </w:rPr>
        <w:t xml:space="preserve">Таблица 7 — Наиболее упоминаемые модные дома (латиница и кириллица)</w:t>
      </w:r>
    </w:p>
    <w:tbl>
      <w:tblPr>
        <w:tblW w:w="73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835"/>
        <w:gridCol w:w="1587"/>
        <w:gridCol w:w="1247"/>
        <w:gridCol w:w="1701"/>
      </w:tblGrid>
      <w:tr>
        <w:trPr>
          <w:cantSplit/>
          <w:tblHeader/>
        </w:trPr>
        <w:tc>
          <w:tcPr>
            <w:tcW w:w="2835"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Дом</w:t>
            </w:r>
          </w:p>
        </w:tc>
        <w:tc>
          <w:tcPr>
            <w:tcW w:w="158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Упоминаний</w:t>
            </w:r>
          </w:p>
        </w:tc>
        <w:tc>
          <w:tcPr>
            <w:tcW w:w="124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Текстов</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текстов, %</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Chanel</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163</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64</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31,7</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Dior</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157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57</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28,2</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Prada</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152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55</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27,2</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Saint Laurent</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97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43</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21,3</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Gucci</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86</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38</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18,8</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Balenciaga</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81</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34</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16,8</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Celine</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69</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33</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16,3</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Louis Vuitton</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35</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17,3</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Bottega Veneta</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65</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26</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12,9</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Miu Miu</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59</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32</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15,8</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Loewe</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57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25</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12,4</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Valentino</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57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27</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13,4</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Dries Van Noten</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47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24</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11,9</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Dolce &amp; Gabbana</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46</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25</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12,4</w:t>
            </w:r>
          </w:p>
        </w:tc>
      </w:tr>
      <w:tr>
        <w:trPr>
          <w:cantSplit/>
        </w:trPr>
        <w:tc>
          <w:tcPr>
            <w:tcW w:w="2835" w:type="dxa"/>
            <w:vAlign w:val="center"/>
          </w:tcPr>
          <w:p>
            <w:pPr>
              <w:spacing w:before="0" w:after="0" w:line="240" w:lineRule="auto"/>
              <w:ind w:firstLine="0"/>
              <w:jc w:val="left"/>
            </w:pPr>
            <w:r>
              <w:rPr>
                <w:rFonts w:ascii="Times New Roman" w:hAnsi="Times New Roman" w:cs="Times New Roman"/>
                <w:sz w:val="22"/>
                <w:szCs w:val="22"/>
                <w:lang w:val="ru-RU"/>
              </w:rPr>
              <w:t xml:space="preserve">Hermès</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46</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17</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8,4</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Структурные приметы заимствований. Среди формальных примет английского заимствования Гальцева называет суффиксы -инг, -мент, -ер и -ция [Гальцева, 2014]. Поиск по списку лемм корпуса показывает, что показательные единицы есть, но их немного. Лемм на -инг — 33, употреблений — 97 (0,1% всех лемм корпуса). Среди них обиходные смокинг (20), шопинг (19), маркетинг (15), кастинг (4), брендинг (3) и окказиональные образования по той же модели — колорблокинг (5), неймдроппинг (2), тейлоринг (2), что подтверждает продуктивность модели в модном дискурсе. Остальные приметы малодиагностичны: модель -ция (156 типов, 1 370 употреблений) практически целиком задана словами коллекция (427), версия (85), стилизация (59), коллаборация (53), тенденция (50), а модели -ер/-ор и -мент захватывают исконные слова (выбор, характер, например); поэтому числа по ним не приводятся как показатель англизации.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Дефисные единицы и артефакты токенизации. Отдельного упоминания заслуживают дефисные единицы: 849 типов, 2 762 употреблений. Более трети (949, 34%) приходится на два сезонных обозначения — весна-лето и осень-зима; далее следуют неопределённые местоимения (что-то — 84, какой-то — 34) и составные прилагательные (тёмно-синий — 26). Побочный эффект — артефакты предобработки: после удаления цифр из формул вида «лето-2026» и «осенью-2026» остаются фрагменты «лето-», «осень-», «осенью-», «летом-» (в сумме 178 употреблений). Эти фрагменты не отражают лексику как таковую и исключены из анализа ключевости ниже.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Ключевые слова. Сопоставление двух основных источников по мере G² (таблица 8) показывает, что их лексика различается функционально. Для The Blueprint ключевыми оказываются сезонные обозначения (весна-лето, осень-зима), названия брендов (dior, prada, loewe), слова рынок и blueprint (самоназвание издания); имена Долли Партон (партон — 69, долли — 56 употреблений) определяются единственным материалом, а не устойчивой лексикой издания. Для SYMBOL ключевыми служат слова стилистических рекомендаций и подборок: капсула, гардероб, образ, оттенок, палитра, комплект, опция, вариация, а также навигационные шаблоны (ниже, подробный, рассказать), о которых говорилось выше. Иначе говоря, различие соответствует жанровому профилю: The Blueprint — материалы о показах, рынке и персонах; SYMBOL — руководства по гардеробу. Сравнение жанра «тенденции» с остальным корпусом даёт согласующуюся картину: для «тенденций» ключевыми оказываются весна-лето, осень-зима, тренд, подиум, названия брендов, тогда как слово бренд, напротив, относительно чаще встречается вне этого жанра (3,6‰ против 6,6‰), как и лексика бизнеса и культуры (рынок, бизнес, проект, культура, ресейл). С учётом связи жанра и источника (таблица 3) эти два сравнения нельзя считать независимыми.</w:t>
      </w:r>
    </w:p>
    <w:p>
      <w:pPr>
        <w:keepNext/>
        <w:spacing w:before="240" w:after="120" w:line="240" w:lineRule="auto"/>
        <w:ind w:firstLine="0"/>
        <w:jc w:val="left"/>
      </w:pPr>
      <w:r>
        <w:rPr>
          <w:rFonts w:ascii="Times New Roman" w:hAnsi="Times New Roman" w:cs="Times New Roman"/>
          <w:sz w:val="28"/>
          <w:szCs w:val="28"/>
          <w:lang w:val="ru-RU"/>
        </w:rPr>
        <w:t xml:space="preserve">Таблица 8 — Ключевые слова The Blueprint и SYMBOL (частота в лемматизированном тексте; G² — логарифмическое отношение правдоподобия)</w:t>
      </w:r>
    </w:p>
    <w:tbl>
      <w:tblPr>
        <w:tblW w:w="79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644"/>
        <w:gridCol w:w="680"/>
        <w:gridCol w:w="680"/>
        <w:gridCol w:w="963"/>
        <w:gridCol w:w="1644"/>
        <w:gridCol w:w="680"/>
        <w:gridCol w:w="680"/>
        <w:gridCol w:w="963"/>
      </w:tblGrid>
      <w:tr>
        <w:trPr>
          <w:cantSplit/>
          <w:tblHeader/>
        </w:trPr>
        <w:tc>
          <w:tcPr>
            <w:tcW w:w="164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Лемма (Blueprint)</w:t>
            </w:r>
          </w:p>
        </w:tc>
        <w:tc>
          <w:tcPr>
            <w:tcW w:w="68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BP</w:t>
            </w:r>
          </w:p>
        </w:tc>
        <w:tc>
          <w:tcPr>
            <w:tcW w:w="68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SY</w:t>
            </w:r>
          </w:p>
        </w:tc>
        <w:tc>
          <w:tcPr>
            <w:tcW w:w="963"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G²</w:t>
            </w:r>
          </w:p>
        </w:tc>
        <w:tc>
          <w:tcPr>
            <w:tcW w:w="164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Лемма (SYMBOL)</w:t>
            </w:r>
          </w:p>
        </w:tc>
        <w:tc>
          <w:tcPr>
            <w:tcW w:w="68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BP</w:t>
            </w:r>
          </w:p>
        </w:tc>
        <w:tc>
          <w:tcPr>
            <w:tcW w:w="68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SY</w:t>
            </w:r>
          </w:p>
        </w:tc>
        <w:tc>
          <w:tcPr>
            <w:tcW w:w="963"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G²</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весна-лето</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531</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488,5</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ниже</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75</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91,4</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осень-зима</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302</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24</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195,2</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капсула</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49</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77,3</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зима</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173</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160,8</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подробный</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51</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74,7</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партон</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69</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74,1</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рассказать</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59</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73,9</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dior</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106</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73,7</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гардероб</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36</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113</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72,3</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долли</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56</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60,2</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образ</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104</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193</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66,0</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prada</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94</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8</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59,0</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оттенок</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27</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92</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63,1</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осень</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202</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53</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49,5</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модный</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157</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245</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61,0</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рынок</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52</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42,3</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опция</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39</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60,2</w:t>
            </w:r>
          </w:p>
        </w:tc>
      </w:tr>
      <w:tr>
        <w:trPr>
          <w:cantSplit/>
        </w:trPr>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miu</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88</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12</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42,2</w:t>
            </w:r>
          </w:p>
        </w:tc>
        <w:tc>
          <w:tcPr>
            <w:tcW w:w="1644" w:type="dxa"/>
            <w:vAlign w:val="center"/>
          </w:tcPr>
          <w:p>
            <w:pPr>
              <w:spacing w:before="0" w:after="0" w:line="240" w:lineRule="auto"/>
              <w:ind w:firstLine="0"/>
              <w:jc w:val="left"/>
            </w:pPr>
            <w:r>
              <w:rPr>
                <w:rFonts w:ascii="Times New Roman" w:hAnsi="Times New Roman" w:cs="Times New Roman"/>
                <w:sz w:val="22"/>
                <w:szCs w:val="22"/>
                <w:lang w:val="ru-RU"/>
              </w:rPr>
              <w:t xml:space="preserve">вариация</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1</w:t>
            </w:r>
          </w:p>
        </w:tc>
        <w:tc>
          <w:tcPr>
            <w:tcW w:w="680" w:type="dxa"/>
            <w:vAlign w:val="center"/>
          </w:tcPr>
          <w:p>
            <w:pPr>
              <w:spacing w:before="0" w:after="0" w:line="240" w:lineRule="auto"/>
              <w:ind w:firstLine="0"/>
              <w:jc w:val="center"/>
            </w:pPr>
            <w:r>
              <w:rPr>
                <w:rFonts w:ascii="Times New Roman" w:hAnsi="Times New Roman" w:cs="Times New Roman"/>
                <w:sz w:val="22"/>
                <w:szCs w:val="22"/>
                <w:lang w:val="ru-RU"/>
              </w:rPr>
              <w:t xml:space="preserve">36</w:t>
            </w:r>
          </w:p>
        </w:tc>
        <w:tc>
          <w:tcPr>
            <w:tcW w:w="963" w:type="dxa"/>
            <w:vAlign w:val="center"/>
          </w:tcPr>
          <w:p>
            <w:pPr>
              <w:spacing w:before="0" w:after="0" w:line="240" w:lineRule="auto"/>
              <w:ind w:firstLine="0"/>
              <w:jc w:val="center"/>
            </w:pPr>
            <w:r>
              <w:rPr>
                <w:rFonts w:ascii="Times New Roman" w:hAnsi="Times New Roman" w:cs="Times New Roman"/>
                <w:sz w:val="22"/>
                <w:szCs w:val="22"/>
                <w:lang w:val="ru-RU"/>
              </w:rPr>
              <w:t xml:space="preserve">55,1</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Тематическое моделирование. С учётом возросшего объёма корпуса число тем LDA было увеличено до 8. Три темы получили особенно чёткую жанровую привязку. Тема, связанная с лексикой капсул, кампаний и брендинга (представить, капсула, кампания, команда, новинка), совпала с жанром «выбор/дайджест» в 85% случаев (11 из 13 текстов). Тема с абстрактной, рефлексивной лексикой (человек, очень, казаться, жизнь, хотеть) — с жанром «мнение» в 80% случаев (4 из 5). Тема с лексикой красной дорожки и индустриальной хроники (премьера, дорожка, ресейл, выручка) — с жанром «герои/репортаж» в 75% случаев (6 из 8). Совпадение усилилось по сравнению с версией на 100 текстах, что согласуется с гипотезой о жанровой обусловленности тематической организации корпуса; оговорки об устойчивости этого результата приведены в §2.6.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Содержание тем и число отнесённых к ним текстов приведены в таблице 9; условные названия тем даны для удобства чтения и не являются результатом работы модели. Соответствие тем жанрам показано на рисунке 2. Наиболее чёткие связи — тема 7 и жанр «выбор/дайджест» (11 из 13 текстов жанра), тема 5 и «мнение» (4 из 5), тема 1 и «герои/репортаж» (6 из 8), тема 8 и «украшения» (4 из 5). Эти числа отражают полноту (какая доля текстов жанра попала в тему), но не точность: в теме 7 «выбор/дайджест» составляет лишь половину текстов (11 из 22), в теме 1 — половину (6 из 12), а в крупной теме 5 на долю «мнения» приходится 4 из 34 текстов. Обобщающие оценки связи тем с жанром и проверка устойчивости модели приведены в §2.6.</w:t>
      </w:r>
    </w:p>
    <w:p>
      <w:pPr>
        <w:keepNext/>
        <w:spacing w:before="240" w:after="120" w:line="240" w:lineRule="auto"/>
        <w:ind w:firstLine="0"/>
        <w:jc w:val="left"/>
      </w:pPr>
      <w:r>
        <w:rPr>
          <w:rFonts w:ascii="Times New Roman" w:hAnsi="Times New Roman" w:cs="Times New Roman"/>
          <w:sz w:val="28"/>
          <w:szCs w:val="28"/>
          <w:lang w:val="ru-RU"/>
        </w:rPr>
        <w:t xml:space="preserve">Таблица 9 — Темы LDA (k = 8): ключевые слова и число текстов с данной доминирующей темой</w:t>
      </w:r>
    </w:p>
    <w:tbl>
      <w:tblPr>
        <w:tblW w:w="85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680"/>
        <w:gridCol w:w="3969"/>
        <w:gridCol w:w="1077"/>
        <w:gridCol w:w="2835"/>
      </w:tblGrid>
      <w:tr>
        <w:trPr>
          <w:cantSplit/>
          <w:tblHeader/>
        </w:trPr>
        <w:tc>
          <w:tcPr>
            <w:tcW w:w="680"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Тема</w:t>
            </w:r>
          </w:p>
        </w:tc>
        <w:tc>
          <w:tcPr>
            <w:tcW w:w="3969"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Восемь наиболее вероятных лемм</w:t>
            </w:r>
          </w:p>
        </w:tc>
        <w:tc>
          <w:tcPr>
            <w:tcW w:w="107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Текстов</w:t>
            </w:r>
          </w:p>
        </w:tc>
        <w:tc>
          <w:tcPr>
            <w:tcW w:w="2835"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Условное название</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Т1</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зима, осень, красный, день, дорожка, премьера, the, рынок</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12</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Красная дорожка, премьеры, рынок</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Т2</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обувь, бизнес, культура, свитер, российский, осень-зима, картинка, miu</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11</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Российские бренды, обувь, бизнес</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Т3</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выглядеть, осень, рубашка, гардероб, юбка, пальто, оттенок, костюм</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35</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Осенний гардероб и сочетания вещей</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Т4</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украшение, стиль, бриллиант, кольцо, мир, камень, история, матч</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20</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Украшения, звёзды, история</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Т5</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человек, очень, казаться, одежда, показ, жизнь, хотеть, мир</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34</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Рефлексия, личный опыт, показы</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Т6</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весна-лето, осень-зима, dior, сумка, chanel, жакет, prada, miu</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24</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Показы и бренды (dior, chanel, prada)</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Т7</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представить, одежда, каждый, ткань, капсула, день, работа, среди</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22</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Кампании, капсулы, новинки</w:t>
            </w:r>
          </w:p>
        </w:tc>
      </w:tr>
      <w:tr>
        <w:trPr>
          <w:cantSplit/>
        </w:trPr>
        <w:tc>
          <w:tcPr>
            <w:tcW w:w="680" w:type="dxa"/>
            <w:vAlign w:val="center"/>
          </w:tcPr>
          <w:p>
            <w:pPr>
              <w:spacing w:before="0" w:after="0" w:line="240" w:lineRule="auto"/>
              <w:ind w:firstLine="0"/>
              <w:jc w:val="center"/>
            </w:pPr>
            <w:r>
              <w:rPr>
                <w:rFonts w:ascii="Times New Roman" w:hAnsi="Times New Roman" w:cs="Times New Roman"/>
                <w:sz w:val="20"/>
                <w:szCs w:val="20"/>
                <w:lang w:val="ru-RU"/>
              </w:rPr>
              <w:t xml:space="preserve">Т8</w:t>
            </w:r>
          </w:p>
        </w:tc>
        <w:tc>
          <w:tcPr>
            <w:tcW w:w="3969" w:type="dxa"/>
            <w:vAlign w:val="center"/>
          </w:tcPr>
          <w:p>
            <w:pPr>
              <w:spacing w:before="0" w:after="0" w:line="240" w:lineRule="auto"/>
              <w:ind w:firstLine="0"/>
              <w:jc w:val="left"/>
            </w:pPr>
            <w:r>
              <w:rPr>
                <w:rFonts w:ascii="Times New Roman" w:hAnsi="Times New Roman" w:cs="Times New Roman"/>
                <w:sz w:val="20"/>
                <w:szCs w:val="20"/>
                <w:lang w:val="ru-RU"/>
              </w:rPr>
              <w:t xml:space="preserve">джинсы, лето, белый, вариант, гардероб, брюки, выглядеть, чёрный</w:t>
            </w:r>
          </w:p>
        </w:tc>
        <w:tc>
          <w:tcPr>
            <w:tcW w:w="1077" w:type="dxa"/>
            <w:vAlign w:val="center"/>
          </w:tcPr>
          <w:p>
            <w:pPr>
              <w:spacing w:before="0" w:after="0" w:line="240" w:lineRule="auto"/>
              <w:ind w:firstLine="0"/>
              <w:jc w:val="center"/>
            </w:pPr>
            <w:r>
              <w:rPr>
                <w:rFonts w:ascii="Times New Roman" w:hAnsi="Times New Roman" w:cs="Times New Roman"/>
                <w:sz w:val="20"/>
                <w:szCs w:val="20"/>
                <w:lang w:val="ru-RU"/>
              </w:rPr>
              <w:t xml:space="preserve">44</w:t>
            </w:r>
          </w:p>
        </w:tc>
        <w:tc>
          <w:tcPr>
            <w:tcW w:w="2835" w:type="dxa"/>
            <w:vAlign w:val="center"/>
          </w:tcPr>
          <w:p>
            <w:pPr>
              <w:spacing w:before="0" w:after="0" w:line="240" w:lineRule="auto"/>
              <w:ind w:firstLine="0"/>
              <w:jc w:val="left"/>
            </w:pPr>
            <w:r>
              <w:rPr>
                <w:rFonts w:ascii="Times New Roman" w:hAnsi="Times New Roman" w:cs="Times New Roman"/>
                <w:sz w:val="20"/>
                <w:szCs w:val="20"/>
                <w:lang w:val="ru-RU"/>
              </w:rPr>
              <w:t xml:space="preserve">Базовые вещи и цвета (джинсы, оттенки)</w:t>
            </w:r>
          </w:p>
        </w:tc>
      </w:tr>
    </w:tbl>
    <w:p>
      <w:pPr>
        <w:spacing w:before="0" w:after="120" w:line="240" w:lineRule="auto"/>
        <w:ind w:firstLine="0"/>
      </w:pPr>
      <w:r>
        <w:rPr>
          <w:rFonts w:ascii="Times New Roman" w:hAnsi="Times New Roman" w:cs="Times New Roman"/>
          <w:sz w:val="24"/>
          <w:szCs w:val="24"/>
          <w:lang w:val="ru-RU"/>
        </w:rPr>
        <w:t xml:space="preserve"/>
      </w:r>
    </w:p>
    <w:p>
      <w:pPr>
        <w:keepNext/>
        <w:spacing w:before="120" w:after="60" w:line="240" w:lineRule="auto"/>
        <w:jc w:val="center"/>
      </w:pPr>
      <w:r>
        <w:drawing>
          <wp:inline xmlns:a="http://schemas.openxmlformats.org/drawingml/2006/main" xmlns:pic="http://schemas.openxmlformats.org/drawingml/2006/picture">
            <wp:extent cx="5040000" cy="3054545"/>
            <wp:docPr id="2" name="Picture 2"/>
            <wp:cNvGraphicFramePr>
              <a:graphicFrameLocks noChangeAspect="1"/>
            </wp:cNvGraphicFramePr>
            <a:graphic>
              <a:graphicData uri="http://schemas.openxmlformats.org/drawingml/2006/picture">
                <pic:pic>
                  <pic:nvPicPr>
                    <pic:cNvPr id="0" name="fig4_topic_genre.png"/>
                    <pic:cNvPicPr/>
                  </pic:nvPicPr>
                  <pic:blipFill>
                    <a:blip r:embed="rId9"/>
                    <a:stretch>
                      <a:fillRect/>
                    </a:stretch>
                  </pic:blipFill>
                  <pic:spPr>
                    <a:xfrm>
                      <a:off x="0" y="0"/>
                      <a:ext cx="5040000" cy="3054545"/>
                    </a:xfrm>
                    <a:prstGeom prst="rect"/>
                  </pic:spPr>
                </pic:pic>
              </a:graphicData>
            </a:graphic>
          </wp:inline>
        </w:drawing>
      </w:r>
    </w:p>
    <w:p>
      <w:pPr>
        <w:spacing w:before="0" w:after="200" w:line="240" w:lineRule="auto"/>
        <w:ind w:firstLine="0"/>
        <w:jc w:val="center"/>
      </w:pPr>
      <w:r>
        <w:rPr>
          <w:rFonts w:ascii="Times New Roman" w:hAnsi="Times New Roman" w:cs="Times New Roman"/>
          <w:sz w:val="28"/>
          <w:szCs w:val="28"/>
          <w:lang w:val="ru-RU"/>
        </w:rPr>
        <w:t xml:space="preserve">Рисунок 2 — Доля текстов жанра, относящихся к каждой из восьми тем (доминирующая тема), %</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Стилометрия по жанрам. Рост корпуса впервые позволил сравнить 11 жанровых групп (n ≥ 5) вместо шести на предыдущем этапе. Длина предложения и лексическая плотность рассчитывались как средние по текстам жанра, TTR — по объединённой выборке лемм жанра (таблица 10). Простой TTR жанра «тенденции» (0,242) оказался самым низким среди всех групп (0,27–0,61), а жанра «мнение» — самым высоким (0,605). Однако значение TTR зависит от объёма выборки: на уровне отдельных текстов корреляция TTR с длиной отрицательна и сильна (ρ Спирмена = −0,72), а жанр «тенденции» — самый большой в корпусе (33 454 леммы), тогда как «мнение» — самый малый (3 453). Поэтому дополнительно рассчитан MATTR — скользящий TTR с окном в 500 лемм, не зависящий от объёма. По нему картина меняется: «мнение» по-прежнему лидирует (0,804), тогда как «тенденции» (0,725) занимают среднюю позицию, а наименьшее разнообразие показывают «выбор» (0,689), «коллекции» (0,702) и «шопинг» (0,703). Следовательно, вывод о лексической бедности жанра «тенденции», основанный на простом TTR, является артефактом объёма; устойчивым остаётся лишь лексическое богатство жанра «мнение», причём оно опирается на малую выборку (5 текстов). Что касается синтаксиса, жанры «выбор» и «украшения» показали значительно более короткие предложения (14,6 и 12,9 слов) по сравнению с остальными жанрами (17–22 слова) — вероятно, следствие их перечислительной, каталожной композиции. Результаты по MATTR нужно читать с учётом ограничения самого индекса: для малых жанров («украшения» — 1 222 леммы, «мнение» — 3 453, окно — 500) вклад краевых участков выборки заметнее, а склейка текстов в одну последовательность создаёт «окна» на стыке разных статей, поэтому вывод по «мнению» нуждается в проверке на большем материале (например, дополнительной мерой, учитывающей всё распределение слов).</w:t>
      </w:r>
    </w:p>
    <w:p>
      <w:pPr>
        <w:keepNext/>
        <w:spacing w:before="240" w:after="120" w:line="240" w:lineRule="auto"/>
        <w:ind w:firstLine="0"/>
        <w:jc w:val="left"/>
      </w:pPr>
      <w:r>
        <w:rPr>
          <w:rFonts w:ascii="Times New Roman" w:hAnsi="Times New Roman" w:cs="Times New Roman"/>
          <w:sz w:val="28"/>
          <w:szCs w:val="28"/>
          <w:lang w:val="ru-RU"/>
        </w:rPr>
        <w:t xml:space="preserve">Таблица 10 — Стилометрические показатели жанровых групп (n ≥ 5), упорядочены по MATTR</w:t>
      </w:r>
    </w:p>
    <w:tbl>
      <w:tblPr>
        <w:tblW w:w="85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757"/>
        <w:gridCol w:w="1020"/>
        <w:gridCol w:w="1020"/>
        <w:gridCol w:w="1304"/>
        <w:gridCol w:w="1304"/>
        <w:gridCol w:w="850"/>
        <w:gridCol w:w="1247"/>
      </w:tblGrid>
      <w:tr>
        <w:trPr>
          <w:cantSplit/>
          <w:tblHeader/>
        </w:trPr>
        <w:tc>
          <w:tcPr>
            <w:tcW w:w="175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Жанр</w:t>
            </w:r>
          </w:p>
        </w:tc>
        <w:tc>
          <w:tcPr>
            <w:tcW w:w="102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Текстов</w:t>
            </w:r>
          </w:p>
        </w:tc>
        <w:tc>
          <w:tcPr>
            <w:tcW w:w="102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Лемм</w:t>
            </w:r>
          </w:p>
        </w:tc>
        <w:tc>
          <w:tcPr>
            <w:tcW w:w="130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Длина предл., слов</w:t>
            </w:r>
          </w:p>
        </w:tc>
        <w:tc>
          <w:tcPr>
            <w:tcW w:w="130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Лексич. плотность</w:t>
            </w:r>
          </w:p>
        </w:tc>
        <w:tc>
          <w:tcPr>
            <w:tcW w:w="85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TTR</w:t>
            </w:r>
          </w:p>
        </w:tc>
        <w:tc>
          <w:tcPr>
            <w:tcW w:w="124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MATTR-500</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мнение</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3 453</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17,2</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0,600</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0,605</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0,804</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икона стиля</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7 079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19,9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0,638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0,471</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0,779</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индустрия</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5 816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19,6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0,640</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0,473</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0,754</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герои</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3 276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19,9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0,681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0,558</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0,749</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выбор/дайджест</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7 768</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20,2</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0,694</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0,386</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0,737</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герои/репортаж</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8</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3 800</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18,6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0,681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0,522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0,728</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тенденции</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73</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33 454</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19,6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0,668</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0,242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0,725</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украшения</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5</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1 222</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12,9</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0,652</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0,555</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0,718</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шопинг</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20</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8 054</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22,3</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0,684</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0,392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0,703</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коллекции</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24</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6 645</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22,0</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0,703</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0,424</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0,702</w:t>
            </w:r>
          </w:p>
        </w:tc>
      </w:tr>
      <w:tr>
        <w:trPr>
          <w:cantSplit/>
        </w:trPr>
        <w:tc>
          <w:tcPr>
            <w:tcW w:w="1757" w:type="dxa"/>
            <w:vAlign w:val="center"/>
          </w:tcPr>
          <w:p>
            <w:pPr>
              <w:spacing w:before="0" w:after="0" w:line="240" w:lineRule="auto"/>
              <w:ind w:firstLine="0"/>
              <w:jc w:val="left"/>
            </w:pPr>
            <w:r>
              <w:rPr>
                <w:rFonts w:ascii="Times New Roman" w:hAnsi="Times New Roman" w:cs="Times New Roman"/>
                <w:sz w:val="22"/>
                <w:szCs w:val="22"/>
                <w:lang w:val="ru-RU"/>
              </w:rPr>
              <w:t xml:space="preserve">выбор</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16</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7 673</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14,6</w:t>
            </w:r>
          </w:p>
        </w:tc>
        <w:tc>
          <w:tcPr>
            <w:tcW w:w="1304" w:type="dxa"/>
            <w:vAlign w:val="center"/>
          </w:tcPr>
          <w:p>
            <w:pPr>
              <w:spacing w:before="0" w:after="0" w:line="240" w:lineRule="auto"/>
              <w:ind w:firstLine="0"/>
              <w:jc w:val="center"/>
            </w:pPr>
            <w:r>
              <w:rPr>
                <w:rFonts w:ascii="Times New Roman" w:hAnsi="Times New Roman" w:cs="Times New Roman"/>
                <w:sz w:val="22"/>
                <w:szCs w:val="22"/>
                <w:lang w:val="ru-RU"/>
              </w:rPr>
              <w:t xml:space="preserve">0,641</w:t>
            </w:r>
          </w:p>
        </w:tc>
        <w:tc>
          <w:tcPr>
            <w:tcW w:w="850" w:type="dxa"/>
            <w:vAlign w:val="center"/>
          </w:tcPr>
          <w:p>
            <w:pPr>
              <w:spacing w:before="0" w:after="0" w:line="240" w:lineRule="auto"/>
              <w:ind w:firstLine="0"/>
              <w:jc w:val="center"/>
            </w:pPr>
            <w:r>
              <w:rPr>
                <w:rFonts w:ascii="Times New Roman" w:hAnsi="Times New Roman" w:cs="Times New Roman"/>
                <w:sz w:val="22"/>
                <w:szCs w:val="22"/>
                <w:lang w:val="ru-RU"/>
              </w:rPr>
              <w:t xml:space="preserve">0,270</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0,689</w:t>
            </w:r>
          </w:p>
        </w:tc>
      </w:tr>
    </w:tbl>
    <w:p>
      <w:pPr>
        <w:spacing w:before="0" w:after="120" w:line="240" w:lineRule="auto"/>
        <w:ind w:firstLine="0"/>
      </w:pPr>
      <w:r>
        <w:rPr>
          <w:rFonts w:ascii="Times New Roman" w:hAnsi="Times New Roman" w:cs="Times New Roman"/>
          <w:sz w:val="24"/>
          <w:szCs w:val="24"/>
          <w:lang w:val="ru-RU"/>
        </w:rPr>
        <w:t xml:space="preserve"/>
      </w:r>
    </w:p>
    <w:p>
      <w:pPr>
        <w:keepNext/>
        <w:spacing w:before="120" w:after="60" w:line="240" w:lineRule="auto"/>
        <w:jc w:val="center"/>
      </w:pPr>
      <w:r>
        <w:drawing>
          <wp:inline xmlns:a="http://schemas.openxmlformats.org/drawingml/2006/main" xmlns:pic="http://schemas.openxmlformats.org/drawingml/2006/picture">
            <wp:extent cx="5580000" cy="2530465"/>
            <wp:docPr id="3" name="Picture 3"/>
            <wp:cNvGraphicFramePr>
              <a:graphicFrameLocks noChangeAspect="1"/>
            </wp:cNvGraphicFramePr>
            <a:graphic>
              <a:graphicData uri="http://schemas.openxmlformats.org/drawingml/2006/picture">
                <pic:pic>
                  <pic:nvPicPr>
                    <pic:cNvPr id="0" name="fig3_stylometry.png"/>
                    <pic:cNvPicPr/>
                  </pic:nvPicPr>
                  <pic:blipFill>
                    <a:blip r:embed="rId10"/>
                    <a:stretch>
                      <a:fillRect/>
                    </a:stretch>
                  </pic:blipFill>
                  <pic:spPr>
                    <a:xfrm>
                      <a:off x="0" y="0"/>
                      <a:ext cx="5580000" cy="2530465"/>
                    </a:xfrm>
                    <a:prstGeom prst="rect"/>
                  </pic:spPr>
                </pic:pic>
              </a:graphicData>
            </a:graphic>
          </wp:inline>
        </w:drawing>
      </w:r>
    </w:p>
    <w:p>
      <w:pPr>
        <w:spacing w:before="0" w:after="200" w:line="240" w:lineRule="auto"/>
        <w:ind w:firstLine="0"/>
        <w:jc w:val="center"/>
      </w:pPr>
      <w:r>
        <w:rPr>
          <w:rFonts w:ascii="Times New Roman" w:hAnsi="Times New Roman" w:cs="Times New Roman"/>
          <w:sz w:val="28"/>
          <w:szCs w:val="28"/>
          <w:lang w:val="ru-RU"/>
        </w:rPr>
        <w:t xml:space="preserve">Рисунок 3 — Простой TTR, MATTR и средняя длина предложения по жанрам</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2.3 Тональность и жанрово-стилистическая специфика цифрового модного дискурса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Методика. Поскольку словарный метод, как было зафиксировано ранее, даёт низкое покрытие, тональность оценивалась предобученной нейросетевой моделью (rubert-tiny-sentiment-balanced). На этом этапе обнаружилось существенное методологическое ограничение: при переходе от пересказов к подлинным полным текстам средний объём документа вырос примерно до 800 слов, тогда как вход модели ограничен 512 токенами. Для длинных текстов это означает, что модель фактически оценивает тональность начальной части статьи, а не текста целиком. Такое ограничение необходимо явно оговаривать при интерпретации результатов.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Результаты. Итоговое распределение получилось таким: позитивная тональность — 110 текстов (54,5%), нейтральная — 89 (44,1%), негативная — 3 (1,5%). Средняя уверенность модели — 0,826; неуверенных предсказаний (вероятность топ-класса &lt; 0,5) всего одно. Единственный устойчиво негативный текст на всех версиях корпуса и при обоих методах анализа — колонка о мортальной символике в рекламе (жанр «мнение»). Это можно расценивать как надёжную взаимную валидацию результатов разными методами.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Распределение тональности и показатели уверенности модели приведены в таблице 11. Разброс по жанрам следует читать с учётом малых объёмов: 100% позитива у жанра «украшения» — это 5 текстов из 5, 80% у «индустрии» — 4 из 5, 40% у «мнения» — 2 из 5, а 33% у «иконы стиля» — 3 из 9. Расхождения между жанрами в несколько текстов не должны интерпретироваться как устойчивые различия.</w:t>
      </w:r>
    </w:p>
    <w:p>
      <w:pPr>
        <w:keepNext/>
        <w:spacing w:before="240" w:after="120" w:line="240" w:lineRule="auto"/>
        <w:ind w:firstLine="0"/>
        <w:jc w:val="left"/>
      </w:pPr>
      <w:r>
        <w:rPr>
          <w:rFonts w:ascii="Times New Roman" w:hAnsi="Times New Roman" w:cs="Times New Roman"/>
          <w:sz w:val="28"/>
          <w:szCs w:val="28"/>
          <w:lang w:val="ru-RU"/>
        </w:rPr>
        <w:t xml:space="preserve">Таблица 11 — Распределение тональности текстов корпуса (модель rubert-tiny-sentiment-balanced)</w:t>
      </w:r>
    </w:p>
    <w:tbl>
      <w:tblPr>
        <w:tblW w:w="68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402"/>
        <w:gridCol w:w="1701"/>
        <w:gridCol w:w="1701"/>
      </w:tblGrid>
      <w:tr>
        <w:trPr>
          <w:cantSplit/>
          <w:tblHeader/>
        </w:trPr>
        <w:tc>
          <w:tcPr>
            <w:tcW w:w="3402"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Класс тональности</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Текстов</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w:t>
            </w:r>
          </w:p>
        </w:tc>
      </w:tr>
      <w:tr>
        <w:trPr>
          <w:cantSplit/>
        </w:trPr>
        <w:tc>
          <w:tcPr>
            <w:tcW w:w="3402" w:type="dxa"/>
            <w:vAlign w:val="center"/>
          </w:tcPr>
          <w:p>
            <w:pPr>
              <w:spacing w:before="0" w:after="0" w:line="240" w:lineRule="auto"/>
              <w:ind w:firstLine="0"/>
              <w:jc w:val="left"/>
            </w:pPr>
            <w:r>
              <w:rPr>
                <w:rFonts w:ascii="Times New Roman" w:hAnsi="Times New Roman" w:cs="Times New Roman"/>
                <w:sz w:val="22"/>
                <w:szCs w:val="22"/>
                <w:lang w:val="ru-RU"/>
              </w:rPr>
              <w:t xml:space="preserve">Позитивная</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110</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54,5</w:t>
            </w:r>
          </w:p>
        </w:tc>
      </w:tr>
      <w:tr>
        <w:trPr>
          <w:cantSplit/>
        </w:trPr>
        <w:tc>
          <w:tcPr>
            <w:tcW w:w="3402" w:type="dxa"/>
            <w:vAlign w:val="center"/>
          </w:tcPr>
          <w:p>
            <w:pPr>
              <w:spacing w:before="0" w:after="0" w:line="240" w:lineRule="auto"/>
              <w:ind w:firstLine="0"/>
              <w:jc w:val="left"/>
            </w:pPr>
            <w:r>
              <w:rPr>
                <w:rFonts w:ascii="Times New Roman" w:hAnsi="Times New Roman" w:cs="Times New Roman"/>
                <w:sz w:val="22"/>
                <w:szCs w:val="22"/>
                <w:lang w:val="ru-RU"/>
              </w:rPr>
              <w:t xml:space="preserve">Нейтральная</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89</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44,1</w:t>
            </w:r>
          </w:p>
        </w:tc>
      </w:tr>
      <w:tr>
        <w:trPr>
          <w:cantSplit/>
        </w:trPr>
        <w:tc>
          <w:tcPr>
            <w:tcW w:w="3402" w:type="dxa"/>
            <w:vAlign w:val="center"/>
          </w:tcPr>
          <w:p>
            <w:pPr>
              <w:spacing w:before="0" w:after="0" w:line="240" w:lineRule="auto"/>
              <w:ind w:firstLine="0"/>
              <w:jc w:val="left"/>
            </w:pPr>
            <w:r>
              <w:rPr>
                <w:rFonts w:ascii="Times New Roman" w:hAnsi="Times New Roman" w:cs="Times New Roman"/>
                <w:sz w:val="22"/>
                <w:szCs w:val="22"/>
                <w:lang w:val="ru-RU"/>
              </w:rPr>
              <w:t xml:space="preserve">Негативная</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3</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r>
      <w:tr>
        <w:trPr>
          <w:cantSplit/>
        </w:trPr>
        <w:tc>
          <w:tcPr>
            <w:tcW w:w="3402" w:type="dxa"/>
            <w:vAlign w:val="center"/>
          </w:tcPr>
          <w:p>
            <w:pPr>
              <w:spacing w:before="0" w:after="0" w:line="240" w:lineRule="auto"/>
              <w:ind w:firstLine="0"/>
              <w:jc w:val="left"/>
            </w:pPr>
            <w:r>
              <w:rPr>
                <w:rFonts w:ascii="Times New Roman" w:hAnsi="Times New Roman" w:cs="Times New Roman"/>
                <w:sz w:val="22"/>
                <w:szCs w:val="22"/>
                <w:lang w:val="ru-RU"/>
              </w:rPr>
              <w:t xml:space="preserve">Всего</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202</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100,0</w:t>
            </w:r>
          </w:p>
        </w:tc>
      </w:tr>
    </w:tbl>
    <w:p>
      <w:pPr>
        <w:spacing w:before="0" w:after="120" w:line="240" w:lineRule="auto"/>
        <w:ind w:firstLine="0"/>
      </w:pPr>
      <w:r>
        <w:rPr>
          <w:rFonts w:ascii="Times New Roman" w:hAnsi="Times New Roman" w:cs="Times New Roman"/>
          <w:sz w:val="24"/>
          <w:szCs w:val="24"/>
          <w:lang w:val="ru-RU"/>
        </w:rPr>
        <w:t xml:space="preserve"/>
      </w:r>
    </w:p>
    <w:p>
      <w:pPr>
        <w:spacing w:before="0" w:after="200" w:line="240" w:lineRule="auto"/>
        <w:ind w:firstLine="0"/>
        <w:jc w:val="both"/>
      </w:pPr>
      <w:r>
        <w:rPr>
          <w:rFonts w:ascii="Times New Roman" w:hAnsi="Times New Roman" w:cs="Times New Roman"/>
          <w:sz w:val="24"/>
          <w:szCs w:val="24"/>
          <w:lang w:val="ru-RU"/>
        </w:rPr>
        <w:t xml:space="preserve">Средняя уверенность модели — 0,826; неуверенных предсказаний (вероятность топ-класса &lt; 0,5) — 1.</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 разрезе жанров разброс оказался значительным: на одном полюсе — жанры «украшения» (100% позитив) и «индустрия» (80%), на другом — «икона стиля» (33%) и «мнение» (40%). Показательно, что с расширением корпуса жанр «икона стиля» утратил однозначно позитивную окраску, зафиксированную на меньшей версии корпуса: включение протяжённых биографических лонгридов сместило тональность этого жанра к более нейтральной и местами критической.</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Тональность по источникам: статистически подтверждённое различие. На предыдущем этапе (100 текстов) различие в тональности между The Blueprint и SYMBOL внутри одного жанра («тенденции») было статистически незначимым (точный тест Фишера, p = 0,514), и вывод формулировался как осторожная описательная тенденция. При увеличении корпуса до 202 текстов то же сравнение — The Blueprint (39,3% позитивных внутри жанра «тенденции», n = 28) против SYMBOL (77,8%, n = 18) — дало p = 0,0156, что статистически значимо на уровне 0,05. Таким образом, различие в тональной политике двух основных источников корпуса можно считать эмпирически подтверждённым, а не гипотетическим: оно сохраняется при контроле по жанру и статистически значимо на объёме данных, достаточном для надёжного вывода.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Исходные частоты для сравнения приведены в таблице 12. Точный тест Фишера на таблице 2 × 2 (позитивные и непозитивные тексты в жанре «тенденции») даёт p = 0,0156; отношение шансов быть позитивным для The Blueprint по сравнению с SYMBOL — 0,18. Поскольку выборки малы (n = 28 и n = 18), доверительный интервал разности долей широк, и результат следует читать как подтверждение направления различия, а не точную оценку его величины. Сравнение проведено внутри одного жанра, но не устраняет связь жанра и источника целиком (таблица 3): тексты одного жанра у двух изданий могут различаться по подтемам.</w:t>
      </w:r>
    </w:p>
    <w:p>
      <w:pPr>
        <w:keepNext/>
        <w:spacing w:before="240" w:after="120" w:line="240" w:lineRule="auto"/>
        <w:ind w:firstLine="0"/>
        <w:jc w:val="left"/>
      </w:pPr>
      <w:r>
        <w:rPr>
          <w:rFonts w:ascii="Times New Roman" w:hAnsi="Times New Roman" w:cs="Times New Roman"/>
          <w:sz w:val="28"/>
          <w:szCs w:val="28"/>
          <w:lang w:val="ru-RU"/>
        </w:rPr>
        <w:t xml:space="preserve">Таблица 12 — Тональность текстов жанра «тенденции» у двух основных источников</w:t>
      </w:r>
    </w:p>
    <w:tbl>
      <w:tblPr>
        <w:tblW w:w="80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68"/>
        <w:gridCol w:w="1474"/>
        <w:gridCol w:w="1587"/>
        <w:gridCol w:w="1020"/>
        <w:gridCol w:w="1701"/>
      </w:tblGrid>
      <w:tr>
        <w:trPr>
          <w:cantSplit/>
          <w:tblHeader/>
        </w:trPr>
        <w:tc>
          <w:tcPr>
            <w:tcW w:w="2268"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Источник</w:t>
            </w:r>
          </w:p>
        </w:tc>
        <w:tc>
          <w:tcPr>
            <w:tcW w:w="1474"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Позитивных</w:t>
            </w:r>
          </w:p>
        </w:tc>
        <w:tc>
          <w:tcPr>
            <w:tcW w:w="158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Непозитивных</w:t>
            </w:r>
          </w:p>
        </w:tc>
        <w:tc>
          <w:tcPr>
            <w:tcW w:w="1020"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Всего</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позитива, %</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2"/>
                <w:szCs w:val="22"/>
                <w:lang w:val="ru-RU"/>
              </w:rPr>
              <w:t xml:space="preserve">The Blueprint</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11</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17</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28</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39,3</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2"/>
                <w:szCs w:val="22"/>
                <w:lang w:val="ru-RU"/>
              </w:rPr>
              <w:t xml:space="preserve">SYMBOL</w:t>
            </w:r>
          </w:p>
        </w:tc>
        <w:tc>
          <w:tcPr>
            <w:tcW w:w="1474" w:type="dxa"/>
            <w:vAlign w:val="center"/>
          </w:tcPr>
          <w:p>
            <w:pPr>
              <w:spacing w:before="0" w:after="0" w:line="240" w:lineRule="auto"/>
              <w:ind w:firstLine="0"/>
              <w:jc w:val="center"/>
            </w:pPr>
            <w:r>
              <w:rPr>
                <w:rFonts w:ascii="Times New Roman" w:hAnsi="Times New Roman" w:cs="Times New Roman"/>
                <w:sz w:val="22"/>
                <w:szCs w:val="22"/>
                <w:lang w:val="ru-RU"/>
              </w:rPr>
              <w:t xml:space="preserve">14</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020" w:type="dxa"/>
            <w:vAlign w:val="center"/>
          </w:tcPr>
          <w:p>
            <w:pPr>
              <w:spacing w:before="0" w:after="0" w:line="240" w:lineRule="auto"/>
              <w:ind w:firstLine="0"/>
              <w:jc w:val="center"/>
            </w:pPr>
            <w:r>
              <w:rPr>
                <w:rFonts w:ascii="Times New Roman" w:hAnsi="Times New Roman" w:cs="Times New Roman"/>
                <w:sz w:val="22"/>
                <w:szCs w:val="22"/>
                <w:lang w:val="ru-RU"/>
              </w:rPr>
              <w:t xml:space="preserve">18</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77,8</w:t>
            </w:r>
          </w:p>
        </w:tc>
      </w:tr>
    </w:tbl>
    <w:p>
      <w:pPr>
        <w:spacing w:before="0" w:after="120" w:line="240" w:lineRule="auto"/>
        <w:ind w:firstLine="0"/>
      </w:pPr>
      <w:r>
        <w:rPr>
          <w:rFonts w:ascii="Times New Roman" w:hAnsi="Times New Roman" w:cs="Times New Roman"/>
          <w:sz w:val="24"/>
          <w:szCs w:val="24"/>
          <w:lang w:val="ru-RU"/>
        </w:rPr>
        <w:t xml:space="preserve"/>
      </w:r>
    </w:p>
    <w:p>
      <w:pPr>
        <w:spacing w:before="0" w:after="200" w:line="240" w:lineRule="auto"/>
        <w:ind w:firstLine="0"/>
        <w:jc w:val="both"/>
      </w:pPr>
      <w:r>
        <w:rPr>
          <w:rFonts w:ascii="Times New Roman" w:hAnsi="Times New Roman" w:cs="Times New Roman"/>
          <w:sz w:val="24"/>
          <w:szCs w:val="24"/>
          <w:lang w:val="ru-RU"/>
        </w:rPr>
        <w:t xml:space="preserve">Точный тест Фишера (двусторонний): p = 0,0156.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Промежуточный вывод. Совокупность данных о тональности показывает: цифровой модный дискурс в целом сохраняет системную позитивную окраску (54,5% против 1,5% негативных текстов), но эта окраска неравномерно распределена и по жанрам, и — что показал именно расширенный корпус — по источникам. Это уточняет вывод предыдущего этапа исследования: тональность модного дискурса определяется не только его рекламной функцией как таковой (§1.1), но и конкретной редакционной политикой отдельного издания.</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2.4 Влияние платформенных алгоритмов на формирование цифрового модного дискурса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Чтобы разговор о результатах §2.2–2.3 не остался неполным, стоит обратиться к механизму, который обычно и называют главным двигателем перемен в цифровом модном дискурсе, — к тому, как социальные сети отбирают и показывают контент. The Business of Fashion (в пересказе редакции The Blueprint) даёт этому явлению имя «культура дофамина»: ленты, выстроенные алгоритмом, играют на аддиктивном поведении аудитории и низводят моду до развлекательного контента, живущего по принципу «вечной погони за новым, эксклюзивным, уникальным, происходящим "прямо сейчас"» [The Blueprint, со ссылкой на The Business of Fashion, 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Когда корпус вырос до 202 текстов, этот тезис не опровергся — наоборот, получил более прочное статистическое подкрепление. Жанр «тенденции» остаётся самым крупным в корпусе (73 текста из 202, 36%), и его наполнение по-прежнему составляют материалы об узко очерченных микротрендах: сначала это были «джинсы-сигариллы» и Y3K, позже — «эстетика небрежности», «плащевая ткань» и десятки похожих сюжетов, добавленных при расширении выборки. Существенно, что доля жанра почти не менялась при росте корпуса более чем втрое (33% при 60 текстах, 40% при 100, 36% при 202). Отсюда следует, что главенство микротрендового формата — устойчивое структурное свойство цифрового модного дискурса, а не случайный перекос конкретной выборки.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Со сменой развёрнутой кампании на эпизодический поток публикаций, о которой говорит источник, по-прежнему перекликается неологизация модного дискурса (§1.3): каждую новую микротенденцию нужно как-то назвать, а значит, для неё требуется отдельная лексическая единица. Подтверждение этому — стабильное присутствие такой лексики в частотных списках корпуса на всех этапах его формирования (см. §2.2).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С логикой алгоритмической ленты согласуется и результат анализа тональности (§2.3), хотя на расширенном корпусе картина сделалась более нюансированной. Доля позитива упала с 61,7% (100 текстов) до 54,5% (202 текста), тогда как доля негатива осталась околонулевой. Это снижение не спорит с исходным тезисом, а уточняет его: новые источники принесли более разнообразный жанровый состав — аналитические колонки, протяжённые биографические интервью, — и именно они уменьшили общую долю позитивной тональности. Главный же вывод устоял: негатив в корпусе остаётся статистически редким явлением (1,5%), и это резко расходится с тем распределением, которое можно было бы ожидать при отсутствии алгоритмического давления в пользу вовлекающего контента.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Отдельно стоит сказать о сосуществовании коротких тренд-форматов и протяжённых лонгридов. В первоначальной версии параграфа это отмечалось как отражение двойственности аудиторного запроса — одновременного стремления к скорости и к глубине. Расширение корпуса подтвердило и обогатило это наблюдение эмпирически: вместе с источником Snob.ru в корпус вошли подлинные полнотекстовые интервью объёмом свыше 2500 слов (например, интервью с фотографом Бардо Фабиани, 2902 слова) — на порядок больше средней тренд-заметки (~250–400 слов). Именно на этом жанровом полюсе, у длинных биографических и аналитических текстов, тональностный анализ показал наиболее заметное отклонение от общей позитивной нормы корпуса (жанр «икона стиля» — 33% позитива, «мнение» — 40%, см. §2.3), а стилометрия — самое высокое лексическое разнообразие (жанр «мнение»: TTR 0,605, MATTR 0,804, см. §2.2). Получается, что оппозиция «быстрой» и «медленной» моды в цифровом дискурсе видна уже не только на уровне общих наблюдений, но и в статистически измеримых различиях — по тональности, лексическому разнообразию и синтаксису.</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Итак, влияние платформенных алгоритмов на цифровой модный дискурс — не внешний декларативный фактор, а структурный принцип. Он обнаруживается сразу на нескольких независимых уровнях анализа расширенного корпуса, хотя не все из них одинаково надёжны (§2.5, §2.6): на жанровом (устойчивое доминирование микротрендового формата), на лексическом (неологизация), на тональностном (системная, хотя и не абсолютная, позитивность) и — что удалось установить только на расширенном корпусе — на стилистическом (контраст между кратким тренд-форматом и протяжённым лонгридом по лексическому разнообразию и тональности).</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2.5 Лексика цифровой сферы в корпусе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Глава 1 показала, что теоретическая литература о цифровой моде сосредоточена на метавселенной, цифровой одежде, виртуальных показах и платформенных стратегиях. Возникает вопрос, насколько этот круг сюжетов представлен в реальных текстах цифровых медиа моды. Для ответа в исходных текстах корпуса подсчитаны употребления десяти групп слов цифровой тематики (поиск по корню, без учёта регистра; таблица 13). Показателем служит число употреблений и число текстов, в которых группа встретилась.</w:t>
      </w:r>
    </w:p>
    <w:p>
      <w:pPr>
        <w:keepNext/>
        <w:spacing w:before="240" w:after="120" w:line="240" w:lineRule="auto"/>
        <w:ind w:firstLine="0"/>
        <w:jc w:val="left"/>
      </w:pPr>
      <w:r>
        <w:rPr>
          <w:rFonts w:ascii="Times New Roman" w:hAnsi="Times New Roman" w:cs="Times New Roman"/>
          <w:sz w:val="28"/>
          <w:szCs w:val="28"/>
          <w:lang w:val="ru-RU"/>
        </w:rPr>
        <w:t xml:space="preserve">Таблица 13 — Лексика цифровой сферы в корпусе (202 текста)</w:t>
      </w:r>
    </w:p>
    <w:tbl>
      <w:tblPr>
        <w:tblW w:w="80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515"/>
        <w:gridCol w:w="1587"/>
        <w:gridCol w:w="1247"/>
        <w:gridCol w:w="1701"/>
      </w:tblGrid>
      <w:tr>
        <w:trPr>
          <w:cantSplit/>
          <w:tblHeader/>
        </w:trPr>
        <w:tc>
          <w:tcPr>
            <w:tcW w:w="3515"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Группа</w:t>
            </w:r>
          </w:p>
        </w:tc>
        <w:tc>
          <w:tcPr>
            <w:tcW w:w="158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Употреблений</w:t>
            </w:r>
          </w:p>
        </w:tc>
        <w:tc>
          <w:tcPr>
            <w:tcW w:w="1247"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Текстов</w:t>
            </w:r>
          </w:p>
        </w:tc>
        <w:tc>
          <w:tcPr>
            <w:tcW w:w="1701"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Доля текстов, %</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соцсети и платформы</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91</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56</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27,7</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блогеры и инфлюенсеры</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86</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44</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21,8</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онлайн/интернет</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51</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18</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8,9</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ИИ и нейросети</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39</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15</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7,4</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контент и подписчики</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17</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13</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6,4</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цифровой</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9</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7</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3,5</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алгоритм</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4</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2,0</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диджитал/digital</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виртуальный</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2</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1,0</w:t>
            </w:r>
          </w:p>
        </w:tc>
      </w:tr>
      <w:tr>
        <w:trPr>
          <w:cantSplit/>
        </w:trPr>
        <w:tc>
          <w:tcPr>
            <w:tcW w:w="3515" w:type="dxa"/>
            <w:vAlign w:val="center"/>
          </w:tcPr>
          <w:p>
            <w:pPr>
              <w:spacing w:before="0" w:after="0" w:line="240" w:lineRule="auto"/>
              <w:ind w:firstLine="0"/>
              <w:jc w:val="left"/>
            </w:pPr>
            <w:r>
              <w:rPr>
                <w:rFonts w:ascii="Times New Roman" w:hAnsi="Times New Roman" w:cs="Times New Roman"/>
                <w:sz w:val="22"/>
                <w:szCs w:val="22"/>
                <w:lang w:val="ru-RU"/>
              </w:rPr>
              <w:t xml:space="preserve">метавселенная</w:t>
            </w:r>
          </w:p>
        </w:tc>
        <w:tc>
          <w:tcPr>
            <w:tcW w:w="1587"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247" w:type="dxa"/>
            <w:vAlign w:val="center"/>
          </w:tcPr>
          <w:p>
            <w:pPr>
              <w:spacing w:before="0" w:after="0" w:line="240" w:lineRule="auto"/>
              <w:ind w:firstLine="0"/>
              <w:jc w:val="center"/>
            </w:pPr>
            <w:r>
              <w:rPr>
                <w:rFonts w:ascii="Times New Roman" w:hAnsi="Times New Roman" w:cs="Times New Roman"/>
                <w:sz w:val="22"/>
                <w:szCs w:val="22"/>
                <w:lang w:val="ru-RU"/>
              </w:rPr>
              <w:t xml:space="preserve">0</w:t>
            </w:r>
          </w:p>
        </w:tc>
        <w:tc>
          <w:tcPr>
            <w:tcW w:w="1701" w:type="dxa"/>
            <w:vAlign w:val="center"/>
          </w:tcPr>
          <w:p>
            <w:pPr>
              <w:spacing w:before="0" w:after="0" w:line="240" w:lineRule="auto"/>
              <w:ind w:firstLine="0"/>
              <w:jc w:val="center"/>
            </w:pPr>
            <w:r>
              <w:rPr>
                <w:rFonts w:ascii="Times New Roman" w:hAnsi="Times New Roman" w:cs="Times New Roman"/>
                <w:sz w:val="22"/>
                <w:szCs w:val="22"/>
                <w:lang w:val="ru-RU"/>
              </w:rPr>
              <w:t xml:space="preserve">0,0</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Всего зафиксировано 301 употреблений в 85 текстах из 202 (42%), то есть 19,1 на 10 000 буквенных токенов; в остальных 117 текстах (58%) ни одного слова из этих групп не найдено. Лексика распределена иерархически. Наиболее представлены названия платформ и социальных сетей (91 употребление в 56 текстах) и слова блогерской сферы (86 в 44); заметный слой образует лексика искусственного интеллекта (39 в 15 текстах), например «Чат-бот с ИИ-стилистом не пошел» (интервью с руководителем Lamoda, The Blueprint). В то же время слова «метавселенная» в корпусе нет вовсе, «диджитал/digital» встретилось дважды, «алгоритм» — 4 раза, «цифровой» — 9. Примеры контекстов приведены в Приложении Г.</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Иначе говоря, цифровизация в этом корпусе присутствует прежде всего как среда распространения моды (соцсети, блогеры, онлайн-торговля) и как внешняя тема — искусственный интеллект как технология, меняющая индустрию и эстетику, — но почти не проявляется как самостоятельный терминологический пласт цифровой моды (метавселенная, цифровая одежда), который занимает центральное место в теоретической литературе (§1.2). Вероятно, это расхождение объясняется прежде всего составом корпуса: он построен на текстах о показах, коллекциях и трендах, а не на материалах о технологиях индустрии. Возможно, оно отражает и хронологический сдвиг: работы о метавселенной в списке литературы относятся к 2022–2024 годам, тогда как корпус собран в 2026 году; проверить эту гипотезу можно только на диахронном материале.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Цифровая лексика распределена по источникам неравномерно (рисунок 4): у The Blueprint — 33,1 употребления на 10 000 токенов, у SYMBOL — 4,4, то есть в 7,5 раза меньше. По жанрам максимальны значения у «мнения» (49,8), «шопинга» (48,8) и «индустрии» (41,3), минимальны — у «выбора» (3,3) и «украшений» (5,3). Высокие значения FRWF и малых жанров опираются на небольшие тексты и единичные материалы (один из текстов FRWF — колонка о том, как искусственный интеллект меняет представление о норме) и потому неустойчивы.</w:t>
      </w:r>
    </w:p>
    <w:p>
      <w:pPr>
        <w:keepNext/>
        <w:spacing w:before="120" w:after="60" w:line="240" w:lineRule="auto"/>
        <w:jc w:val="center"/>
      </w:pPr>
      <w:r>
        <w:drawing>
          <wp:inline xmlns:a="http://schemas.openxmlformats.org/drawingml/2006/main" xmlns:pic="http://schemas.openxmlformats.org/drawingml/2006/picture">
            <wp:extent cx="4500000" cy="2390625"/>
            <wp:docPr id="4" name="Picture 4"/>
            <wp:cNvGraphicFramePr>
              <a:graphicFrameLocks noChangeAspect="1"/>
            </wp:cNvGraphicFramePr>
            <a:graphic>
              <a:graphicData uri="http://schemas.openxmlformats.org/drawingml/2006/picture">
                <pic:pic>
                  <pic:nvPicPr>
                    <pic:cNvPr id="0" name="fig6_digital_source.png"/>
                    <pic:cNvPicPr/>
                  </pic:nvPicPr>
                  <pic:blipFill>
                    <a:blip r:embed="rId11"/>
                    <a:stretch>
                      <a:fillRect/>
                    </a:stretch>
                  </pic:blipFill>
                  <pic:spPr>
                    <a:xfrm>
                      <a:off x="0" y="0"/>
                      <a:ext cx="4500000" cy="2390625"/>
                    </a:xfrm>
                    <a:prstGeom prst="rect"/>
                  </pic:spPr>
                </pic:pic>
              </a:graphicData>
            </a:graphic>
          </wp:inline>
        </w:drawing>
      </w:r>
    </w:p>
    <w:p>
      <w:pPr>
        <w:spacing w:before="0" w:after="200" w:line="240" w:lineRule="auto"/>
        <w:ind w:firstLine="0"/>
        <w:jc w:val="center"/>
      </w:pPr>
      <w:r>
        <w:rPr>
          <w:rFonts w:ascii="Times New Roman" w:hAnsi="Times New Roman" w:cs="Times New Roman"/>
          <w:sz w:val="28"/>
          <w:szCs w:val="28"/>
          <w:lang w:val="ru-RU"/>
        </w:rPr>
        <w:t xml:space="preserve">Рисунок 4 — Плотность лексики цифровой сферы по источникам (употреблений на 10 000 буквенных токенов)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Для §2.4 этот результат означает следующее. Слово «алгоритм» встретилось лишь в четырёх текстах, поэтому тезис о влиянии платформенных алгоритмов опирается на цитируемый в The Blueprint внешний источник и на косвенные признаки (структуру жанрового состава, распределение тональности), а не на прямое лексическое свидетельство в самом корпусе. Такая интерпретация допустима как объяснительная рамка, но не как эмпирически доказанная причинная связь.</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cs="Times New Roman" w:hAnsi="Times New Roman" w:eastAsia="Times New Roman"/>
          <w:b/>
          <w:bCs/>
          <w:sz w:val="28"/>
          <w:szCs w:val="28"/>
        </w:rPr>
      </w:pPr>
      <w:r>
        <w:rPr>
          <w:rFonts w:ascii="Times New Roman" w:hAnsi="Times New Roman"/>
          <w:b/>
          <w:bCs/>
          <w:sz w:val="28"/>
          <w:szCs w:val="28"/>
          <w:rtl w:val="0"/>
          <w:lang w:val="ru-RU"/>
        </w:rPr>
        <w:t xml:space="preserve">2.6 Ограничения, проверка устойчивости и воспроизводимость</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Завершая эмпирическую часть, необходимо оценить надёжность полученных результатов. Проверка выполнена по трём направлениям: устойчивость тематической модели, влияние особенностей состава корпуса и воспроизводимость расчётов.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Устойчивость тематической модели. Модель LDA использует случайную инициализацию, поэтому основной запуск (random_state = 42) был сопоставлен с десятью дополнительными запусками (random_state от 1 до 10) при тех же параметрах. Сходство разбиений оценивалось скорректированным индексом Рэнда (ARI) и нормализованной взаимной информацией (NMI); связь тем с жанром — «чистотой» (purity) разбиения — долей текстов, относящихся к наиболее частому жанру своей темы. В качестве нулевой модели использована случайная перестановка жанровых меток (200 повторов). Результаты приведены в таблице 14.</w:t>
      </w:r>
    </w:p>
    <w:p>
      <w:pPr>
        <w:keepNext/>
        <w:spacing w:before="240" w:after="120" w:line="240" w:lineRule="auto"/>
        <w:ind w:firstLine="0"/>
        <w:jc w:val="left"/>
      </w:pPr>
      <w:r>
        <w:rPr>
          <w:rFonts w:ascii="Times New Roman" w:hAnsi="Times New Roman" w:cs="Times New Roman"/>
          <w:sz w:val="28"/>
          <w:szCs w:val="28"/>
          <w:lang w:val="ru-RU"/>
        </w:rPr>
        <w:t xml:space="preserve">Таблица 14 — Устойчивость тематической модели LDA (k = 8) при смене случайной инициализации</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953"/>
        <w:gridCol w:w="2835"/>
      </w:tblGrid>
      <w:tr>
        <w:trPr>
          <w:cantSplit/>
          <w:tblHeader/>
        </w:trPr>
        <w:tc>
          <w:tcPr>
            <w:tcW w:w="5953"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Показатель</w:t>
            </w:r>
          </w:p>
        </w:tc>
        <w:tc>
          <w:tcPr>
            <w:tcW w:w="2835" w:type="dxa"/>
            <w:shd w:val="clear" w:color="auto" w:fill="F2F2F2"/>
            <w:vAlign w:val="center"/>
          </w:tcPr>
          <w:p>
            <w:pPr>
              <w:spacing w:before="0" w:after="0" w:line="240" w:lineRule="auto"/>
              <w:ind w:firstLine="0"/>
              <w:jc w:val="center"/>
            </w:pPr>
            <w:r>
              <w:rPr>
                <w:rFonts w:ascii="Times New Roman" w:hAnsi="Times New Roman" w:cs="Times New Roman"/>
                <w:b/>
                <w:sz w:val="22"/>
                <w:szCs w:val="22"/>
                <w:lang w:val="ru-RU"/>
              </w:rPr>
              <w:t xml:space="preserve">Значение</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ARI относительно основного запуска (10 запусков)</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0,245 (от 0,165 до 0,283)</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NMI относительно основного запуска, среднее</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0,348</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Средний попарный ARI между дополнительными запусками</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0,308</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Чистота разбиения по жанрам, основной запуск</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0,450</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Чистота по жанрам, среднее по 10 запускам</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0,420</w:t>
            </w:r>
          </w:p>
        </w:tc>
      </w:tr>
      <w:tr>
        <w:trPr>
          <w:cantSplit/>
        </w:trPr>
        <w:tc>
          <w:tcPr>
            <w:tcW w:w="5953" w:type="dxa"/>
            <w:vAlign w:val="center"/>
          </w:tcPr>
          <w:p>
            <w:pPr>
              <w:spacing w:before="0" w:after="0" w:line="240" w:lineRule="auto"/>
              <w:ind w:firstLine="0"/>
              <w:jc w:val="left"/>
            </w:pPr>
            <w:r>
              <w:rPr>
                <w:rFonts w:ascii="Times New Roman" w:hAnsi="Times New Roman" w:cs="Times New Roman"/>
                <w:sz w:val="22"/>
                <w:szCs w:val="22"/>
                <w:lang w:val="ru-RU"/>
              </w:rPr>
              <w:t xml:space="preserve">Чистота при случайной перестановке жанров, среднее (95-й процентиль)</w:t>
            </w:r>
          </w:p>
        </w:tc>
        <w:tc>
          <w:tcPr>
            <w:tcW w:w="2835" w:type="dxa"/>
            <w:vAlign w:val="center"/>
          </w:tcPr>
          <w:p>
            <w:pPr>
              <w:spacing w:before="0" w:after="0" w:line="240" w:lineRule="auto"/>
              <w:ind w:firstLine="0"/>
              <w:jc w:val="center"/>
            </w:pPr>
            <w:r>
              <w:rPr>
                <w:rFonts w:ascii="Times New Roman" w:hAnsi="Times New Roman" w:cs="Times New Roman"/>
                <w:sz w:val="22"/>
                <w:szCs w:val="22"/>
                <w:lang w:val="ru-RU"/>
              </w:rPr>
              <w:t xml:space="preserve">0,364 (0,376)</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Результаты показывают двойственную картину. С одной стороны, разбиения при смене инициализации совпадают лишь частично (ARI от 0,17 до 0,28): отнесение конкретного текста к теме нестабильно, и приведённые в §2.2 проценты совпадения тем с отдельными жанрами (75–85%) следует читать как иллюстрацию наиболее чётких соответствий, а не как общую характеристику модели. С другой стороны, чистота разбиения по жанрам (0,42–0,45) стабильно превышает уровень случайности (0,36–0,38), то есть связь тематической структуры с жанром реальна, но умеренна. Формальный критерий выбора числа тем также не дал основания: перплексия, рассчитанная на обучающих данных, монотонно ухудшается с ростом k (от 2 558 при k = 4 до 2 783 при k = 12); в исходной работе по LDA перплексию оценивают на отложенной выборке [Blei et al., 2003, с. 1008], чего здесь не делалось, поэтому выбор k = 8 основан на объёме корпуса, а не на формальном критерии. Первая гипотеза (жанровая обусловленность тематической организации) подтверждается, таким образом, с оговорками.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Ограничения состава корпуса и методов. Во-первых, состав корпуса асимметричен: два источника дают 65% текстов, The Voice представлен одним текстом, поэтому выводы о различиях между источниками ограничены сравнением The Blueprint и SYMBOL. Во-вторых, жанр и источник статистически связаны (V Крамера = 0,50), поэтому пожанровые различия частично смешаны с различиями редакционных практик; полностью разделить эти факторы на имеющемся материале невозможно. В-третьих, простые показатели лексического разнообразия зависят от объёма, что продемонстрировано на примере жанра «тенденции» (§2.2); сравнительные выводы допустимы только по MATTR, который, однако, сам является локальной мерой и менее надёжен для малых выборок. В-четвёртых, значительная часть частотных коллокаций и латинских токенов — имена собственные, а не лексические заимствования; без распознавания именованных сущностей эти показатели измеряют насыщенность текстов брендами. В-пятых, тональность оценивалась одной моделью с усечением входа до 512 токенов, то есть для длинных текстов — по начальной части; результаты сверки с ручной экспертной разметкой в работе не приводятся. В-шестых, многие жанровые группы малы (n = 5–9), и различия в несколько текстов неустойчивы. В-седьмых, корпус фиксирует один временной срез, смещённый к сентябрю 2026 года, и не позволяет судить о динамике.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Воспроизводимость. Все расчёты выполнены скриптами на языке Python (preprocessing.py, freq_collocations.py, topic_modeling.py, stylometry.py, sentiment_bert.py, extra_analysis.py, robustness.py); порядок запуска и значения параметров зафиксированы в файле README проекта, фиксированное значение random_state = 42 задано для тематической модели. Код сбора данных приведён в Приложении А, метаданные всех текстов — в Приложении Б. Для повторного запуска анализа тональности требуется доступ к репозиторию моделей HuggingFace Hub. Указанные ограничения не отменяют полученных результатов, но определяют границы, в которых их допустимо интерпретировать: наиболее надёжны описательные характеристики корпуса и различия, воспроизводящиеся при контроле объёма и инициализации.</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0"/>
        <w:rPr>
          <w:rFonts w:ascii="Times New Roman" w:hAnsi="Times New Roman" w:cs="Times New Roman"/>
          <w:b/>
          <w:bCs/>
          <w:sz w:val="28"/>
          <w:szCs w:val="28"/>
        </w:rPr>
      </w:pPr>
      <w:r>
        <w:rPr>
          <w:rFonts w:ascii="Times New Roman" w:hAnsi="Times New Roman" w:cs="Times New Roman"/>
          <w:b/>
          <w:bCs/>
          <w:sz w:val="28"/>
          <w:szCs w:val="28"/>
          <w:lang w:val="ru-RU"/>
        </w:rPr>
        <w:t xml:space="preserve">Выводы по главе 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Эмпирическая часть работы позволяет сформулировать несколько обобщений, значимых для итоговой оценки всего исследования.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Во-первых, сбор корпуса цифрового модного дискурса прошёл две содержательно разные стадии. Первая вскрыла расхождение между теоретическим замыслом состава источников и их фактической технической доступностью: Elle.ru и Buro247.ru оказались закрыты протоколом robots.txt ещё на этапе планирования, а PROfashion выбыл уже в процессе сбора из-за технической неисправности сайта. Вторая стадия, связанная с расширением корпуса до 202 текстов, обнажила ограничение более принципиального свойства: изначальный способ сбора — ручной пересказ содержания — не гарантировал подлинности эмпирического материала, и его пришлось заменить автоматическим извлечением текста с помощью специализированной библиотеки (trafilatura). Такая замена потребовала заново проверить все этапы количественного анализа, зато привела эмпирическую базу в соответствие с её методологическим описанием. В итоге корпус объединил девять источников (The Blueprint, SYMBOL, The Voice, Posta-Magazine, Snob, MarieClaire, Moskvichka, FRWF, «Мнение редакции») — 202 текста, около 162 000 слов, причём паритет двух основных источников сохранялся на всех этапах расширения.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Во-вторых, частотный анализ показал, что терминологическое ядро модного дискурса (бренд, коллекция, дизайнер, тренд, стиль) не размывается при увеличении корпуса более чем втрое — с 60 до 202 текстов. Коллокационный анализ, в свою очередь, выявил методологически значимый артефакт: в списке частотных биграмм оказались шаблонные навигационные фразы, характерные для жанра «шопинг-дайджест». Это зафиксировано как честное свойство самого жанра, а не как сбой метода.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В-третьих, тематическое моделирование выявило связь тем с независимой жанровой разметкой, причём для отдельных жанров совпадение достигло 75–85% (тема «выбор/дайджест» — 11 из 13 текстов, «мнение» — 4 из 5, «герои/репортаж» — 6 из 8). Проверка устойчивости, однако, показала, что разбиение на темы при смене инициализации воспроизводится лишь частично (ARI 0,17–0,28), а общая чистота разбиения по жанрам (0,42–0,45) умеренно, но стабильно превышает случайный уровень (0,36–0,38); гипотеза о жанровой обусловленности подтверждается с оговорками. Стилометрический анализ (11 жанровых групп с n ≥ 5 против шести ранее) выявил короткие предложения в жанрах «выбор» и «украшения» и лексическое богатство жанра «мнение» (MATTR 0,804), тогда как первоначально зафиксированная по простому TTR лексическая бедность жанра «тенденции» при контроле объёма не подтвердилась (MATTR 0,725 — средняя позиция).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В-четвёртых, анализ тональности прошёл путь от отрицательного результата (словарный метод дал низкое покрытие) к статистически содержательному выводу. На корпусе в 100 текстов различие в тональности между двумя основными источниками удалось зафиксировать лишь как описательную тенденцию, без доказанной статистической значимости (p = 0,514). На расширенном корпусе в 202 текста то же различие, при контроле по жанру, стало статистически значимым (p = 0,0156). Отсюда видно, что осторожность в формулировках на предыдущем этапе была оправданной методологической позицией, а не излишней перестраховкой: рост объёма эмпирических данных перевёл гипотезу в разряд статистически подтверждённых выводов.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В-пятых, обращение к внешнему источнику о влиянии платформенных алгоритмов на модную индустрию дало рамку, в которой независимые эмпирические результаты — устойчивое доминирование жанра микротрендовых текстов, неологизация, системная позитивность тональности и, на расширенном корпусе, контраст между кратким и протяжённым форматами — складываются в проявления единого структурного механизма.</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В-шестых, анализ лексики цифровой сферы (§2.5) показал, что цифровизация представлена в корпусе главным образом как среда распространения моды (социальные сети, блогеры, онлайн-торговля — 301 употребление в 85 текстах из 202) и как внешняя тема (искусственный интеллект), но почти не проявляется как терминологический пласт цифровой моды: слова «метавселенная» нет, «диджитал» встретилось дважды, «алгоритм» — четыре раза. Это ограничивает эмпирическую опору тезиса о влиянии платформенных алгоритмов (§2.4), который остаётся объяснительной рамкой, а не доказанной причинной связью.</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В-седьмых, проверка устойчивости и ограничений (§2.6) показала, что наиболее надёжны описательные характеристики корпуса и различия, воспроизводящиеся при контроле объёма выборки и инициализации модели. Простой TTR, отнесение отдельных текстов к темам LDA и пожанровые различия при сильной связи жанра с источником требуют осторожной интерпретации.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Таким образом, практическая часть исследования не только подтвердила ряд теоретических положений Главы 1 на новом материале, но и на собственном примере показала ценность методологической самопроверки. Обнаруженная и исправленная проблема с подлинностью эмпирического материала, а также переход от описательных формулировок к статистически подтверждённым выводам о тональности свидетельствуют о том, что уточнение метода по ходу работы — нормальная и ожидаемая часть корректного эмпирического исследования, а не признак его несостоятельности.</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ЗАКЛЮЧЕНИЕ</w:t>
      </w:r>
    </w:p>
    <w:p>
      <w:pPr>
        <w:pStyle w:val="Основной текст"/>
        <w:spacing w:before="0" w:after="0" w:line="360" w:lineRule="auto"/>
        <w:ind w:left="0" w:right="0" w:firstLine="0"/>
        <w:rPr>
          <w:rFonts w:ascii="Times New Roman" w:hAnsi="Times New Roman" w:cs="Times New Roman"/>
          <w:sz w:val="28"/>
          <w:szCs w:val="28"/>
        </w:rPr>
      </w:pP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Работа была посвящена тому, как цифровизация меняет модный дискурс и насколько методы обработки естественного языка к нему применимы. Теоретический разбор модного дискурса как институционального и лингвистического феномена (Глава 1) соединён здесь с эмпирическим изучением корпуса цифровых модных медиа средствами компьютерной лингвистики (Глава 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 теоретической части модный дискурс предстал как один из институциональных типов дискурса с гибридной, франко-англоязычной терминологической базой и постоянной установкой на неологизацию. За этой неологизацией стоят не только предметные перемены в индустрии, но и более широкие сдвиги в ценностях. Выяснилось также, что цифровизация модной индустрии идёт сразу по нескольким направлениям — организационно-экономическому, маркетингово-коммуникативному и технологическому, — а платформенная цифровая среда порождает новые гибридные жанровые формы, размывающие границы между привычными типами модного дискурса. Обзор методов автоматической обработки текста подтвердил, что лексико-статистический анализ, вероятностное тематическое моделирование, анализ тональности и элементы стилометрии дают подходящий набор инструментов: с их помощью можно уйти от единичных примеров, на которых обычно строится качественный дискурс-анализ, и перейти к представительному корпусу текстов.</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В эмпирической части ряд теоретических положений получил подтверждение на новом материале. Одновременно работа прошла через методологическое уточнение, и оно само оказалось содержательным результатом. Итоговый корпус — 202 текста из девяти источников (The Blueprint, SYMBOL, The Voice, Posta-Magazine, Snob, MarieClaire, Moskvichka, FRWF, «Мнение редакции») — собран автоматическим извлечением текста, что привело эмпирическую базу в соответствие с её методологическим описанием. Перед этим пришлось обнаружить и исправить проблему с подлинностью текста на промежуточном этапе сбора: часть корпуса тогда представляла собой пересказ, а не оригинал источника. Частотный и коллокационный анализ подтвердили активную англизацию терминологии модного дискурса и устойчивость терминологического ядра при трёхкратном росте объёма корпуса. Тематическое моделирование выявило умеренную, но стабильно превышающую случайный уровень связь тем с жанровой разметкой (чистота разбиения 0,42–0,45 против 0,36–0,38 при случайной перестановке), причём разбиения при смене инициализации воспроизводятся лишь частично. Стилометрия показала короткие предложения в жанрах «выбор» и «украшения» и лексическое богатство жанра «мнение»; вывод о лексической бедности жанра «тенденции» по простому TTR при контроле объёма выборки (MATTR) не подтвердился. Анализ тональности показал, как осторожная описательная тенденция превращается в статистически подтверждённый вывод: различие в тональной политике двух основных источников корпуса было незначимым на выборке в 100 текстов (p = 0,514), а на выборке в 202 текста, при контроле по жанру, стало значимым (p = 0,0156). Всё это согласуется с рекламной функцией модного дискурса и с логикой алгоритмической курации контента в социальных сетях — теме, которой посвящён отдельный параграф работы.</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Отдельным результатом стала проверка представленности в корпусе лексики цифровой сферы. Цифровизация присутствует в корпусе главным образом как среда распространения моды и как тема искусственного интеллекта, но почти не проявляется как терминологический пласт цифровой моды (метавселенная, цифровая одежда), занимающий центральное место в теоретической литературе. Это расхождение указывает на границы применимости теоретической картины к русскоязычным медиа 2026 года и задаёт направление для диахронных исследований.</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Цель исследования — изучить цифровую трансформацию модного дискурса средствами обработки естественного языка — можно считать достигнутой. Работа показала, как методы NLP переводят теоретические наблюдения дискурс-анализа в область выводов, проверяемых эмпирически и подкреплённых статистикой. Кроме того, она на своём материале продемонстрировала, что методологическая самопроверка и уточнение метода по ходу работы — необходимая часть корректного эмпирического исследования.</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Практическая ценность работы — в воспроизводимой методологии сбора данных для исследований цифрового дискурса. Отдельно стоит отметить явную фиксацию технических ограничений источников (протокол robots.txt, недоступность части сайтов для автоматического извлечения текста): эти сведения могут пригодиться исследователям смежных областей. Собранный корпус фиксирует синхронный срез цифрового модного дискурса 2026 года и может стать точкой отсчёта для будущих диахронических работ. Апробация тематического моделирования, анализа тональности и стилометрии на русскоязычном материале модного дискурса расширяет эмпирическую базу компьютерной лингвистики, которая в основном опирается на англоязычные данные.</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Дальнейшая работа может пойти по пути расширения корпуса и привлечения новых источников — в частности, делового B2B-сегмента индустрии, который в настоящее исследование не вошёл по техническим причинам. Ещё одно перспективное направление — аспектный анализ тональности, различающий оценку разных объектов внутри одного текста, а также методы, способные обрабатывать текст целиком без ограничения на длину входной последовательности.</w:t>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СПИСОК ЛИТЕРАТУРЫ</w:t>
      </w:r>
    </w:p>
    <w:p>
      <w:pPr>
        <w:pStyle w:val="Основной текст"/>
        <w:spacing w:before="0" w:after="0" w:line="360" w:lineRule="auto"/>
        <w:ind w:firstLine="0"/>
        <w:rPr>
          <w:rFonts w:ascii="Times New Roman" w:hAnsi="Times New Roman" w:cs="Times New Roman"/>
          <w:sz w:val="28"/>
          <w:szCs w:val="28"/>
        </w:rPr>
      </w:pP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 Астратова Г. В. Пути цифровой трансформации на международных рынках моды: сравнительный анализ России, Китая и стран Западной Африки / Г. В. Астратова, Ч. Н. Онвусирибе, К. Д. Одех, Т. Ли, А. А. М. Сид // Вестник евразийской науки. — 2025. — Т. 17. — № 3. — URL: https://esj.today/PDF/38ECVN325.pdf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 Большакова Е. И. Автоматическая обработка текстов на естественном языке и анализ данных: учеб. пособие / Е. И. Большакова, К. В. Воронцов, Н. Э. Ефремова, Э. С. Клышинский, Н. В. Лукашевич, А. С. Сапин. — М.: Изд-во НИУ ВШЭ, 2017. — 269 с.</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 Борисова И. З. К проблеме терминологии индустрии моды / И. З. Борисова, В. А. Федорова // МНИЖ. — 2024. — № 11 (149). — URL: https://cyberleninka.ru/article/n/k-probleme-terminologii-industrii-mody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4. Гальцева А. А. Неологизмы XXI века // Концепт. — 2014. — № S13. — URL: https://cyberleninka.ru/article/n/neologizmy-xxi-veka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5. Гаран Е. П. Особенности вербализации дискурса моды как статусно-ориентированного // Гуманитарные и социальные науки. — 2018. — № 5. — URL: https://cyberleninka.ru/article/n/osobennosti-verbalizatsii-diskursa-mody-kak-statusno-orientirovannogo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6. Гетманцева В. В. Методы интеллектуализации процесса проектирования одежды / В. В. Гетманцева, Е. Г. Андреева, В. С. Белгородский. — М.: Изд. дом «Научная библиотека», 2020. — 200 с.</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7. Гольдберг Й. Нейросетевые методы в обработке естественного языка / пер. с англ. А. А. Слинкина. — М.: ДМК Пресс, 2019. — 282 с.: ил.</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8. Гончарова О. В. Синтез классических и цифровых подходов к изучению специальной лексики сфер Fashion &amp; Clothing / О. В. Гончарова, М. А. Ляшенко // Актуальные проблемы филологии и педагогической лингвистики. — 2025. — № 1. — URL: https://cyberleninka.ru/article/n/sintez-klassicheskih-i-tsifrovyh-podhodov-k-izucheniyu-spetsialnoy-leksiki-sfer-fashion-clothing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9. Гульчеев В. Роль искусственного интеллекта в индустрии моды: современные инструменты и сервисы. — М.: БизнесТехника, 2020. — 192 с.</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10. Гусова Д. Т. Формирование и развитие бренда модной одежды в контексте проектной культуры и искусства: монография / Д. Т. Гусова, Т. В. Козлова. — М.: ФГБОУ ВО «РГУ им. А. Н. Косыгина», 2020. — 229 с.</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11. Двойникова А. А. Аналитический обзор подходов к распознаванию тональности русскоязычных текстовых данных / А. А. Двойникова, А. А. Карпов // Информационно-управляющие системы. — 2020. — № 4 (107).</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12. Дедюхина А. Г. Особенности функционирования англоязычной лексемы «fashion» как доминирующей единицы дискурса моды (на материале русского языкового цифрового пространства сети Интернет) / А. Г. Дедюхина, А. А. Дедюхин // Филологические науки. Вопросы теории и практики. — 2023. — № 10. — URL: https://cyberleninka.ru/article/n/osobennosti-funktsionirovaniya-angloyazychnoy-leksemy-fashion-kak-dominiruyuschey-edinitsy-diskursa-mody-na-materiale-russkogo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13. Добросклонская Т. Г. Медиалингвистика: системный подход к изучению языка СМИ (современная английская медиаречь): учеб. пособие. — 3-е изд., стер. — М.: Флинта, 2019. — 264 с.</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14. Долженко И. Б. Цифровая трансформация и ТНК индустрии моды // Международный журнал гуманитарных и естественных наук. — 2020. — № 1-2. — URL: https://cyberleninka.ru/article/n/tsifrovaya-transformatsiya-i-tnk-industrii-mody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15. Ерпилова Е. И. Язык дискурса моды // ТЯиМК. — 2025. — № 2. — URL: https://cyberleninka.ru/article/n/yazyk-diskursa-mody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16. Ерпилова Е. И. Дискурс моды: некоторые векторы процессов неологизации // ТЯиМК. — 2022. — № 4 (47). — URL: https://cyberleninka.ru/article/n/diskurs-mody-nekotorye-vektory-protsessov-neologizatsii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17. Ерпилова Е. И. Дискурс глянцевого журнала: неологизмы как отражение трансформации ценностных ориентиров // ТЯиМК. — 2023. — № 4 (51). — URL: https://cyberleninka.ru/article/n/diskurs-glyantsevogo-zhurnala-neologizmy-kak-otrazhenie-transformatsii-tsennostnyh-orientirov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18. Календжян А. С. Инновационные цифровые технологии на рынке индустрии моды // Креативная экономика. — 2023. — Т. 17, № 2. — С. 629–642. — DOI 10.18334/ce.17.2.117114.</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19. Коваль Е. А. Применение передовых технологий при разработке специальных кожгалантерейных аксессуаров: оптимизация производства и улучшение потребительских характеристик / Е. А. Коваль, Ю. С. Конарева, В. В. Костылева // Костюмология. — 2024. — Т. 9. — № 2. — URL: https://kostumologiya.ru/PDF/30TLKL224.pdf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20. Конарева Ю. С. Цифровая мода как результат трансформации модной индустрии / Ю. С. Конарева, Э. А. Осипова // Костюмология. — 2024. — Т. 9. — № 4. — URL: https://kostumologiya.ru/PDF/18TLKL424.pdf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21. Коробцева Н. А. Метавселенная как среда для развития цифровой моды / Н. А. Коробцева, М. В. Романов // Костюмология. — 2023. — Т. 8. — № 3. — URL: https://kostumologiya.ru/PDF/23IVKL323.pdf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22. Лейн Г. Обработка естественного языка в действии / Г. Лейн, Л. Хапке, К. Ховард. — М.: ДМК Пресс, 2021. — 496 с.: ил.</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23. Маринова Е. В. Терминотворчество в русскоязычном дискурсе о «цифре» // Terra Linguistica. — 2023. — Т. 14. — № 3. — С. 61–79. — DOI: 10.18721/JHSS.14306.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24. Нагога О. В. Лингвистика дискурса и методы дискурсивного анализа // Международный научно-исследовательский журнал. — 2024. — № 12 (150). — DOI: 10.60797/IRJ.2024.150.41.</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25. Наумов М. Д. Анализ тональности текстовой информации с применением методов NLP / М. Д. Наумов, Е. Б. Кореева // Вестник науки. — 2026. — № 1 (94), Т. 3. — С. 1611–1616.</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26. Никитина Е. А. «Модный» дискурс российской недели моды // Коммуникативные исследования. — 2015. — № 1 (3). — URL: https://cyberleninka.ru/article/n/modnyy-diskurs-rossiyskoy-nedeli-mody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27. Панькина К. А. Диджитал мода: предпосылки и влияние / К. А. Панькина, О. В. Гавриш, Е. В. Будрина // Сб. трудов II Междунар. науч.-практ. конф. «Инновации и дизайн». — 2022. — № 1. — URL: https://cyberleninka.ru/article/n/didzhital-moda-predposylki-i-vliyanie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28. Пертель О. О. Тела цифровой моды: постгуманические перспективы // Наука телевидения. — 2023. — № 3. — URL: https://cyberleninka.ru/article/n/tela-tsifrovoy-mody-postgumanicheskie-perspektivy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29. Плотникова А. М. Нейросеть как ключевое слово текущего момента // Филологический класс. — 2023. — № 2. — URL: https://cyberleninka.ru/article/n/neyroset-kak-klyuchevoe-slovo-tekuschego-momenta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30. Романова Г. В. Влияние цифрового дискурса на формирование новой языковой реальности // Вестник ВГУ. Серия: Лингвистика и межкультурная коммуникация. — 2022. — № 4. — URL: https://cyberleninka.ru/article/n/vliyanie-tsifrovogo-diskursa-na-formirovanie-novoy-yazykovoy-realnosti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31. Солнышкина М. И. Обработка естественного языка и изучение сложности дискурса / М. И. Солнышкина, Д. С. Макнамара, Р. Р. Замалетдинов // Вестник РУДН. Серия: Лингвистика. — 2022. — № 2. — URL: https://cyberleninka.ru/article/n/obrabotka-estestvennogo-yazyka-i-izuchenie-slozhnosti-diskursa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32. Сыресина И. О. Конструктивные признаки жанровой природы современного англоязычного медиадискурса (на материале медиатекстов жанра «features») / И. О. Сыресина, А. Н. Медведева // Филологические науки. Вопросы теории и практики. — 2026. — DOI: 10.30853/phil20260055.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33. Тищенко С. В. Структурные, семантические и лингвокультурные параметры концептосферы fashion industry (на материале современного англоязычного дискурса) / С. В. Тищенко, Ж. А. Тягунова, Е. О. Мартынова // Научный диалог. — 2022. — № 1. — URL: https://cyberleninka.ru/article/n/strukturnye-semanticheskie-i-lingvokulturnye-parametry-kontseptosfery-fashion-industry-na-materiale-sovremennogo-angloyazychnogo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34. Уренкова А. П. Особенности словообразования репрезентантов модного дискурса в современном русском языке (на материале глянцевых журналов «Elle», «Voice», «Symbol») // Russian Linguistic Bulletin. — 2023. — № 8 (44). — URL: https://cyberleninka.ru/article/n/osobennosti-slovoobrazovaniya-reprezentantov-modnogo-diskursa-v-sovremennom-russkom-yazyke-na-materiale-glyantsevyh-zhurnalov-elle (дата обращения: 24.11.2025).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35. Шумский А. В. Индустрия моды в цифровую эпоху: тренды и технологии // Медиа@льманах. — 2021. — № 4 (105). — URL: https://cyberleninka.ru/article/n/industriya-mody-v-tsifrovuyu-epohu-trendy-i-tehnologii (дата обращения: 23.11.2025).</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36. Bestgen Y. Estimating Lexical Diversity Using the Moving Average Type-Token Ratio (MATTR): Pros and Cons : препринт. — URL и дата обращения — указать по источнику загрузки.</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37. Blei D. M. Latent Dirichlet Allocation / D. M. Blei, A. Y. Ng, M. I. Jordan // Journal of Machine Learning Research. — 2003. — Vol. 3. — P. 993–1022.</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38. Church K. W. Word Association Norms, Mutual Information, and Lexicography / K. W. Church, P. Hanks // Computational Linguistics. — 1990. — Vol. 16, № 1. — P. 22–29.</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39. Devlin J. BERT: Pre-training of Deep Bidirectional Transformers for Language Understanding / J. Devlin, M.-W. Chang, K. Lee, K. Toutanova // Proceedings of NAACL-HLT 2019. — Minneapolis: Association for Computational Linguistics, 2019. — P. 4171–4186. — DOI 10.18653/v1/N19-1423.</w:t>
      </w:r>
    </w:p>
    <w:p>
      <w:pPr>
        <w:pStyle w:val="Основной текст"/>
        <w:spacing w:before="0" w:after="0" w:line="360" w:lineRule="auto"/>
        <w:ind w:left="0" w:right="0" w:firstLine="709"/>
        <w:rPr>
          <w:rFonts w:ascii="Times New Roman" w:hAnsi="Times New Roman" w:cs="Times New Roman"/>
          <w:sz w:val="28"/>
          <w:szCs w:val="28"/>
        </w:rPr>
      </w:pPr>
      <w:r>
        <w:rPr>
          <w:rFonts w:ascii="Times New Roman" w:hAnsi="Times New Roman" w:cs="Times New Roman"/>
          <w:sz w:val="28"/>
          <w:szCs w:val="28"/>
          <w:lang w:val="ru-RU"/>
        </w:rPr>
        <w:t xml:space="preserve">40. Dunning T. Accurate Methods for the Statistics of Surprise and Coincidence // Computational Linguistics. — 1993. — Vol. 19, № 1. — P. 61–74.</w:t>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ПРИЛОЖЕНИЕ А</w:t>
      </w:r>
    </w:p>
    <w:p>
      <w:pPr>
        <w:pStyle w:val="Основной текст"/>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Программный код сбора корпуса (scraper_fetch_known_urls.py)</w:t>
      </w:r>
    </w:p>
    <w:p>
      <w:pPr>
        <w:pStyle w:val="Основной текст"/>
        <w:spacing w:before="0" w:after="0" w:line="360" w:lineRule="auto"/>
        <w:ind w:firstLine="0"/>
        <w:rPr>
          <w:rFonts w:ascii="Times New Roman" w:hAnsi="Times New Roman" w:cs="Times New Roman"/>
          <w:sz w:val="28"/>
          <w:szCs w:val="28"/>
        </w:rPr>
      </w:pPr>
    </w:p>
    <w:p>
      <w:pPr>
        <w:spacing w:before="0" w:after="0" w:line="240" w:lineRule="auto"/>
        <w:ind w:firstLine="0"/>
        <w:jc w:val="left"/>
      </w:pPr>
      <w:r>
        <w:rPr>
          <w:rFonts w:ascii="Courier New" w:hAnsi="Courier New" w:cs="Courier New"/>
          <w:sz w:val="16"/>
          <w:szCs w:val="16"/>
          <w:lang w:val="ru-RU"/>
        </w:rPr>
        <w:t xml:space="preserve"># -*- coding: utf-8 -*-</w:t>
      </w:r>
    </w:p>
    <w:p>
      <w:pPr>
        <w:spacing w:before="0" w:after="0" w:line="240" w:lineRule="auto"/>
        <w:ind w:firstLine="0"/>
        <w:jc w:val="left"/>
      </w:pPr>
      <w:r>
        <w:rPr>
          <w:rFonts w:ascii="Courier New" w:hAnsi="Courier New" w:cs="Courier New"/>
          <w:sz w:val="16"/>
          <w:szCs w:val="16"/>
          <w:lang w:val="ru-RU"/>
        </w:rPr>
        <w:t xml:space="preserve">"""</w:t>
      </w:r>
    </w:p>
    <w:p>
      <w:pPr>
        <w:spacing w:before="0" w:after="0" w:line="240" w:lineRule="auto"/>
        <w:ind w:firstLine="0"/>
        <w:jc w:val="left"/>
      </w:pPr>
      <w:r>
        <w:rPr>
          <w:rFonts w:ascii="Courier New" w:hAnsi="Courier New" w:cs="Courier New"/>
          <w:sz w:val="16"/>
          <w:szCs w:val="16"/>
          <w:lang w:val="ru-RU"/>
        </w:rPr>
        <w:t xml:space="preserve">Извлечение подлинного текста статей по уже собранному списку URL.</w:t>
      </w:r>
    </w:p>
    <w:p>
      <w:pPr>
        <w:spacing w:before="0" w:after="0" w:line="240" w:lineRule="auto"/>
        <w:ind w:firstLine="0"/>
        <w:jc w:val="left"/>
      </w:pPr>
      <w:r>
        <w:rPr>
          <w:rFonts w:ascii="Courier New" w:hAnsi="Courier New" w:cs="Courier New"/>
          <w:sz w:val="16"/>
          <w:szCs w:val="16"/>
          <w:lang w:val="ru-RU"/>
        </w:rPr>
        <w:t xml:space="preserve">ВКР Спринчан И.А. — замена ручных пересказов на автоматически</w:t>
      </w:r>
    </w:p>
    <w:p>
      <w:pPr>
        <w:spacing w:before="0" w:after="0" w:line="240" w:lineRule="auto"/>
        <w:ind w:firstLine="0"/>
        <w:jc w:val="left"/>
      </w:pPr>
      <w:r>
        <w:rPr>
          <w:rFonts w:ascii="Courier New" w:hAnsi="Courier New" w:cs="Courier New"/>
          <w:sz w:val="16"/>
          <w:szCs w:val="16"/>
          <w:lang w:val="ru-RU"/>
        </w:rPr>
        <w:t xml:space="preserve">извлечённый текст (исправление методологической проблемы, описанной</w:t>
      </w:r>
    </w:p>
    <w:p>
      <w:pPr>
        <w:spacing w:before="0" w:after="0" w:line="240" w:lineRule="auto"/>
        <w:ind w:firstLine="0"/>
        <w:jc w:val="left"/>
      </w:pPr>
      <w:r>
        <w:rPr>
          <w:rFonts w:ascii="Courier New" w:hAnsi="Courier New" w:cs="Courier New"/>
          <w:sz w:val="16"/>
          <w:szCs w:val="16"/>
          <w:lang w:val="ru-RU"/>
        </w:rPr>
        <w:t xml:space="preserve">в §2.1: раньше текст записывался как пересказ, а не как подлинный</w:t>
      </w:r>
    </w:p>
    <w:p>
      <w:pPr>
        <w:spacing w:before="0" w:after="0" w:line="240" w:lineRule="auto"/>
        <w:ind w:firstLine="0"/>
        <w:jc w:val="left"/>
      </w:pPr>
      <w:r>
        <w:rPr>
          <w:rFonts w:ascii="Courier New" w:hAnsi="Courier New" w:cs="Courier New"/>
          <w:sz w:val="16"/>
          <w:szCs w:val="16"/>
          <w:lang w:val="ru-RU"/>
        </w:rPr>
        <w:t xml:space="preserve">извлечённый текст).</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ЗАПУСК: локально, на компьютере с интернетом.</w:t>
      </w:r>
    </w:p>
    <w:p>
      <w:pPr>
        <w:spacing w:before="0" w:after="0" w:line="240" w:lineRule="auto"/>
        <w:ind w:firstLine="0"/>
        <w:jc w:val="left"/>
      </w:pPr>
      <w:r>
        <w:rPr>
          <w:rFonts w:ascii="Courier New" w:hAnsi="Courier New" w:cs="Courier New"/>
          <w:sz w:val="16"/>
          <w:szCs w:val="16"/>
          <w:lang w:val="ru-RU"/>
        </w:rPr>
        <w:t xml:space="preserve">    pip install trafilatura tqdm</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Логика:</w:t>
      </w:r>
    </w:p>
    <w:p>
      <w:pPr>
        <w:spacing w:before="0" w:after="0" w:line="240" w:lineRule="auto"/>
        <w:ind w:firstLine="0"/>
        <w:jc w:val="left"/>
      </w:pPr>
      <w:r>
        <w:rPr>
          <w:rFonts w:ascii="Courier New" w:hAnsi="Courier New" w:cs="Courier New"/>
          <w:sz w:val="16"/>
          <w:szCs w:val="16"/>
          <w:lang w:val="ru-RU"/>
        </w:rPr>
        <w:t xml:space="preserve">1. Читаем urls_to_scrape.json — список из id/source/genre/author/date/</w:t>
      </w:r>
    </w:p>
    <w:p>
      <w:pPr>
        <w:spacing w:before="0" w:after="0" w:line="240" w:lineRule="auto"/>
        <w:ind w:firstLine="0"/>
        <w:jc w:val="left"/>
      </w:pPr>
      <w:r>
        <w:rPr>
          <w:rFonts w:ascii="Courier New" w:hAnsi="Courier New" w:cs="Courier New"/>
          <w:sz w:val="16"/>
          <w:szCs w:val="16"/>
          <w:lang w:val="ru-RU"/>
        </w:rPr>
        <w:t xml:space="preserve">   title/url, собранный вручную по ходу работы (без текста статьи).</w:t>
      </w:r>
    </w:p>
    <w:p>
      <w:pPr>
        <w:spacing w:before="0" w:after="0" w:line="240" w:lineRule="auto"/>
        <w:ind w:firstLine="0"/>
        <w:jc w:val="left"/>
      </w:pPr>
      <w:r>
        <w:rPr>
          <w:rFonts w:ascii="Courier New" w:hAnsi="Courier New" w:cs="Courier New"/>
          <w:sz w:val="16"/>
          <w:szCs w:val="16"/>
          <w:lang w:val="ru-RU"/>
        </w:rPr>
        <w:t xml:space="preserve">2. Для каждого URL trafilatura автоматически извлекает чистый текст</w:t>
      </w:r>
    </w:p>
    <w:p>
      <w:pPr>
        <w:spacing w:before="0" w:after="0" w:line="240" w:lineRule="auto"/>
        <w:ind w:firstLine="0"/>
        <w:jc w:val="left"/>
      </w:pPr>
      <w:r>
        <w:rPr>
          <w:rFonts w:ascii="Courier New" w:hAnsi="Courier New" w:cs="Courier New"/>
          <w:sz w:val="16"/>
          <w:szCs w:val="16"/>
          <w:lang w:val="ru-RU"/>
        </w:rPr>
        <w:t xml:space="preserve">   статьи из HTML — без ручного разбора вёрстки под каждый сайт.</w:t>
      </w:r>
    </w:p>
    <w:p>
      <w:pPr>
        <w:spacing w:before="0" w:after="0" w:line="240" w:lineRule="auto"/>
        <w:ind w:firstLine="0"/>
        <w:jc w:val="left"/>
      </w:pPr>
      <w:r>
        <w:rPr>
          <w:rFonts w:ascii="Courier New" w:hAnsi="Courier New" w:cs="Courier New"/>
          <w:sz w:val="16"/>
          <w:szCs w:val="16"/>
          <w:lang w:val="ru-RU"/>
        </w:rPr>
        <w:t xml:space="preserve">3. Результат — corpus.json с теми же метаданными, что и раньше,</w:t>
      </w:r>
    </w:p>
    <w:p>
      <w:pPr>
        <w:spacing w:before="0" w:after="0" w:line="240" w:lineRule="auto"/>
        <w:ind w:firstLine="0"/>
        <w:jc w:val="left"/>
      </w:pPr>
      <w:r>
        <w:rPr>
          <w:rFonts w:ascii="Courier New" w:hAnsi="Courier New" w:cs="Courier New"/>
          <w:sz w:val="16"/>
          <w:szCs w:val="16"/>
          <w:lang w:val="ru-RU"/>
        </w:rPr>
        <w:t xml:space="preserve">   но с полем text = подлинный, автоматически извлечённый текст</w:t>
      </w:r>
    </w:p>
    <w:p>
      <w:pPr>
        <w:spacing w:before="0" w:after="0" w:line="240" w:lineRule="auto"/>
        <w:ind w:firstLine="0"/>
        <w:jc w:val="left"/>
      </w:pPr>
      <w:r>
        <w:rPr>
          <w:rFonts w:ascii="Courier New" w:hAnsi="Courier New" w:cs="Courier New"/>
          <w:sz w:val="16"/>
          <w:szCs w:val="16"/>
          <w:lang w:val="ru-RU"/>
        </w:rPr>
        <w:t xml:space="preserve">   (не пересказ).</w:t>
      </w:r>
    </w:p>
    <w:p>
      <w:pPr>
        <w:spacing w:before="0" w:after="0" w:line="240" w:lineRule="auto"/>
        <w:ind w:firstLine="0"/>
        <w:jc w:val="left"/>
      </w:pPr>
      <w:r>
        <w:rPr>
          <w:rFonts w:ascii="Courier New" w:hAnsi="Courier New" w:cs="Courier New"/>
          <w:sz w:val="16"/>
          <w:szCs w:val="16"/>
          <w:lang w:val="ru-RU"/>
        </w:rPr>
        <w:t xml:space="preserve">4. Записи, которые не удалось извлечь (сайт недоступен, изменилась</w:t>
      </w:r>
    </w:p>
    <w:p>
      <w:pPr>
        <w:spacing w:before="0" w:after="0" w:line="240" w:lineRule="auto"/>
        <w:ind w:firstLine="0"/>
        <w:jc w:val="left"/>
      </w:pPr>
      <w:r>
        <w:rPr>
          <w:rFonts w:ascii="Courier New" w:hAnsi="Courier New" w:cs="Courier New"/>
          <w:sz w:val="16"/>
          <w:szCs w:val="16"/>
          <w:lang w:val="ru-RU"/>
        </w:rPr>
        <w:t xml:space="preserve">   вёрстка, статья удалена), помечаются отдельно и печатаются в конце —</w:t>
      </w:r>
    </w:p>
    <w:p>
      <w:pPr>
        <w:spacing w:before="0" w:after="0" w:line="240" w:lineRule="auto"/>
        <w:ind w:firstLine="0"/>
        <w:jc w:val="left"/>
      </w:pPr>
      <w:r>
        <w:rPr>
          <w:rFonts w:ascii="Courier New" w:hAnsi="Courier New" w:cs="Courier New"/>
          <w:sz w:val="16"/>
          <w:szCs w:val="16"/>
          <w:lang w:val="ru-RU"/>
        </w:rPr>
        <w:t xml:space="preserve">   их нужно будет проверить вручную.</w:t>
      </w:r>
    </w:p>
    <w:p>
      <w:pPr>
        <w:spacing w:before="0" w:after="0" w:line="240" w:lineRule="auto"/>
        <w:ind w:firstLine="0"/>
        <w:jc w:val="left"/>
      </w:pPr>
      <w:r>
        <w:rPr>
          <w:rFonts w:ascii="Courier New" w:hAnsi="Courier New" w:cs="Courier New"/>
          <w:sz w:val="16"/>
          <w:szCs w:val="16"/>
          <w:lang w:val="ru-RU"/>
        </w:rPr>
        <w:t xml:space="preserve">"""</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import json</w:t>
      </w:r>
    </w:p>
    <w:p>
      <w:pPr>
        <w:spacing w:before="0" w:after="0" w:line="240" w:lineRule="auto"/>
        <w:ind w:firstLine="0"/>
        <w:jc w:val="left"/>
      </w:pPr>
      <w:r>
        <w:rPr>
          <w:rFonts w:ascii="Courier New" w:hAnsi="Courier New" w:cs="Courier New"/>
          <w:sz w:val="16"/>
          <w:szCs w:val="16"/>
          <w:lang w:val="ru-RU"/>
        </w:rPr>
        <w:t xml:space="preserve">import time</w:t>
      </w:r>
    </w:p>
    <w:p>
      <w:pPr>
        <w:spacing w:before="0" w:after="0" w:line="240" w:lineRule="auto"/>
        <w:ind w:firstLine="0"/>
        <w:jc w:val="left"/>
      </w:pPr>
      <w:r>
        <w:rPr>
          <w:rFonts w:ascii="Courier New" w:hAnsi="Courier New" w:cs="Courier New"/>
          <w:sz w:val="16"/>
          <w:szCs w:val="16"/>
          <w:lang w:val="ru-RU"/>
        </w:rPr>
        <w:t xml:space="preserve">import trafilatura</w:t>
      </w:r>
    </w:p>
    <w:p>
      <w:pPr>
        <w:spacing w:before="0" w:after="0" w:line="240" w:lineRule="auto"/>
        <w:ind w:firstLine="0"/>
        <w:jc w:val="left"/>
      </w:pPr>
      <w:r>
        <w:rPr>
          <w:rFonts w:ascii="Courier New" w:hAnsi="Courier New" w:cs="Courier New"/>
          <w:sz w:val="16"/>
          <w:szCs w:val="16"/>
          <w:lang w:val="ru-RU"/>
        </w:rPr>
        <w:t xml:space="preserve">from tqdm import tqdm</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INPUT_FILE = "urls_to_scrape.json"</w:t>
      </w:r>
    </w:p>
    <w:p>
      <w:pPr>
        <w:spacing w:before="0" w:after="0" w:line="240" w:lineRule="auto"/>
        <w:ind w:firstLine="0"/>
        <w:jc w:val="left"/>
      </w:pPr>
      <w:r>
        <w:rPr>
          <w:rFonts w:ascii="Courier New" w:hAnsi="Courier New" w:cs="Courier New"/>
          <w:sz w:val="16"/>
          <w:szCs w:val="16"/>
          <w:lang w:val="ru-RU"/>
        </w:rPr>
        <w:t xml:space="preserve">OUTPUT_FILE = "corpus.json"</w:t>
      </w:r>
    </w:p>
    <w:p>
      <w:pPr>
        <w:spacing w:before="0" w:after="0" w:line="240" w:lineRule="auto"/>
        <w:ind w:firstLine="0"/>
        <w:jc w:val="left"/>
      </w:pPr>
      <w:r>
        <w:rPr>
          <w:rFonts w:ascii="Courier New" w:hAnsi="Courier New" w:cs="Courier New"/>
          <w:sz w:val="16"/>
          <w:szCs w:val="16"/>
          <w:lang w:val="ru-RU"/>
        </w:rPr>
        <w:t xml:space="preserve">FAILED_FILE = "failed_urls.json"</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MIN_TEXT_LENGTH = 200  # символов — короче обычно значит "не то извлеклось"</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def fetch_clean_text(url: str):</w:t>
      </w:r>
    </w:p>
    <w:p>
      <w:pPr>
        <w:spacing w:before="0" w:after="0" w:line="240" w:lineRule="auto"/>
        <w:ind w:firstLine="0"/>
        <w:jc w:val="left"/>
      </w:pPr>
      <w:r>
        <w:rPr>
          <w:rFonts w:ascii="Courier New" w:hAnsi="Courier New" w:cs="Courier New"/>
          <w:sz w:val="16"/>
          <w:szCs w:val="16"/>
          <w:lang w:val="ru-RU"/>
        </w:rPr>
        <w:t xml:space="preserve">    """Скачивает страницу и извлекает из неё чистый текст статьи."""</w:t>
      </w:r>
    </w:p>
    <w:p>
      <w:pPr>
        <w:spacing w:before="0" w:after="0" w:line="240" w:lineRule="auto"/>
        <w:ind w:firstLine="0"/>
        <w:jc w:val="left"/>
      </w:pPr>
      <w:r>
        <w:rPr>
          <w:rFonts w:ascii="Courier New" w:hAnsi="Courier New" w:cs="Courier New"/>
          <w:sz w:val="16"/>
          <w:szCs w:val="16"/>
          <w:lang w:val="ru-RU"/>
        </w:rPr>
        <w:t xml:space="preserve">    downloaded = trafilatura.fetch_url(url)</w:t>
      </w:r>
    </w:p>
    <w:p>
      <w:pPr>
        <w:spacing w:before="0" w:after="0" w:line="240" w:lineRule="auto"/>
        <w:ind w:firstLine="0"/>
        <w:jc w:val="left"/>
      </w:pPr>
      <w:r>
        <w:rPr>
          <w:rFonts w:ascii="Courier New" w:hAnsi="Courier New" w:cs="Courier New"/>
          <w:sz w:val="16"/>
          <w:szCs w:val="16"/>
          <w:lang w:val="ru-RU"/>
        </w:rPr>
        <w:t xml:space="preserve">    if not downloaded:</w:t>
      </w:r>
    </w:p>
    <w:p>
      <w:pPr>
        <w:spacing w:before="0" w:after="0" w:line="240" w:lineRule="auto"/>
        <w:ind w:firstLine="0"/>
        <w:jc w:val="left"/>
      </w:pPr>
      <w:r>
        <w:rPr>
          <w:rFonts w:ascii="Courier New" w:hAnsi="Courier New" w:cs="Courier New"/>
          <w:sz w:val="16"/>
          <w:szCs w:val="16"/>
          <w:lang w:val="ru-RU"/>
        </w:rPr>
        <w:t xml:space="preserve">        return None, "не удалось скачать страницу"</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result = trafilatura.extract(</w:t>
      </w:r>
    </w:p>
    <w:p>
      <w:pPr>
        <w:spacing w:before="0" w:after="0" w:line="240" w:lineRule="auto"/>
        <w:ind w:firstLine="0"/>
        <w:jc w:val="left"/>
      </w:pPr>
      <w:r>
        <w:rPr>
          <w:rFonts w:ascii="Courier New" w:hAnsi="Courier New" w:cs="Courier New"/>
          <w:sz w:val="16"/>
          <w:szCs w:val="16"/>
          <w:lang w:val="ru-RU"/>
        </w:rPr>
        <w:t xml:space="preserve">        downloaded,</w:t>
      </w:r>
    </w:p>
    <w:p>
      <w:pPr>
        <w:spacing w:before="0" w:after="0" w:line="240" w:lineRule="auto"/>
        <w:ind w:firstLine="0"/>
        <w:jc w:val="left"/>
      </w:pPr>
      <w:r>
        <w:rPr>
          <w:rFonts w:ascii="Courier New" w:hAnsi="Courier New" w:cs="Courier New"/>
          <w:sz w:val="16"/>
          <w:szCs w:val="16"/>
          <w:lang w:val="ru-RU"/>
        </w:rPr>
        <w:t xml:space="preserve">        include_comments=False,</w:t>
      </w:r>
    </w:p>
    <w:p>
      <w:pPr>
        <w:spacing w:before="0" w:after="0" w:line="240" w:lineRule="auto"/>
        <w:ind w:firstLine="0"/>
        <w:jc w:val="left"/>
      </w:pPr>
      <w:r>
        <w:rPr>
          <w:rFonts w:ascii="Courier New" w:hAnsi="Courier New" w:cs="Courier New"/>
          <w:sz w:val="16"/>
          <w:szCs w:val="16"/>
          <w:lang w:val="ru-RU"/>
        </w:rPr>
        <w:t xml:space="preserve">        include_tables=False,</w:t>
      </w:r>
    </w:p>
    <w:p>
      <w:pPr>
        <w:spacing w:before="0" w:after="0" w:line="240" w:lineRule="auto"/>
        <w:ind w:firstLine="0"/>
        <w:jc w:val="left"/>
      </w:pPr>
      <w:r>
        <w:rPr>
          <w:rFonts w:ascii="Courier New" w:hAnsi="Courier New" w:cs="Courier New"/>
          <w:sz w:val="16"/>
          <w:szCs w:val="16"/>
          <w:lang w:val="ru-RU"/>
        </w:rPr>
        <w:t xml:space="preserve">        output_format="json",</w:t>
      </w:r>
    </w:p>
    <w:p>
      <w:pPr>
        <w:spacing w:before="0" w:after="0" w:line="240" w:lineRule="auto"/>
        <w:ind w:firstLine="0"/>
        <w:jc w:val="left"/>
      </w:pPr>
      <w:r>
        <w:rPr>
          <w:rFonts w:ascii="Courier New" w:hAnsi="Courier New" w:cs="Courier New"/>
          <w:sz w:val="16"/>
          <w:szCs w:val="16"/>
          <w:lang w:val="ru-RU"/>
        </w:rPr>
        <w:t xml:space="preserve">        with_metadata=True,</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if not result:</w:t>
      </w:r>
    </w:p>
    <w:p>
      <w:pPr>
        <w:spacing w:before="0" w:after="0" w:line="240" w:lineRule="auto"/>
        <w:ind w:firstLine="0"/>
        <w:jc w:val="left"/>
      </w:pPr>
      <w:r>
        <w:rPr>
          <w:rFonts w:ascii="Courier New" w:hAnsi="Courier New" w:cs="Courier New"/>
          <w:sz w:val="16"/>
          <w:szCs w:val="16"/>
          <w:lang w:val="ru-RU"/>
        </w:rPr>
        <w:t xml:space="preserve">        return None, "trafilatura не смогла извлечь текст"</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parsed = json.loads(result)</w:t>
      </w:r>
    </w:p>
    <w:p>
      <w:pPr>
        <w:spacing w:before="0" w:after="0" w:line="240" w:lineRule="auto"/>
        <w:ind w:firstLine="0"/>
        <w:jc w:val="left"/>
      </w:pPr>
      <w:r>
        <w:rPr>
          <w:rFonts w:ascii="Courier New" w:hAnsi="Courier New" w:cs="Courier New"/>
          <w:sz w:val="16"/>
          <w:szCs w:val="16"/>
          <w:lang w:val="ru-RU"/>
        </w:rPr>
        <w:t xml:space="preserve">    text = parsed.get("text", "")</w:t>
      </w:r>
    </w:p>
    <w:p>
      <w:pPr>
        <w:spacing w:before="0" w:after="0" w:line="240" w:lineRule="auto"/>
        <w:ind w:firstLine="0"/>
        <w:jc w:val="left"/>
      </w:pPr>
      <w:r>
        <w:rPr>
          <w:rFonts w:ascii="Courier New" w:hAnsi="Courier New" w:cs="Courier New"/>
          <w:sz w:val="16"/>
          <w:szCs w:val="16"/>
          <w:lang w:val="ru-RU"/>
        </w:rPr>
        <w:t xml:space="preserve">    if len(text) &lt; MIN_TEXT_LENGTH:</w:t>
      </w:r>
    </w:p>
    <w:p>
      <w:pPr>
        <w:spacing w:before="0" w:after="0" w:line="240" w:lineRule="auto"/>
        <w:ind w:firstLine="0"/>
        <w:jc w:val="left"/>
      </w:pPr>
      <w:r>
        <w:rPr>
          <w:rFonts w:ascii="Courier New" w:hAnsi="Courier New" w:cs="Courier New"/>
          <w:sz w:val="16"/>
          <w:szCs w:val="16"/>
          <w:lang w:val="ru-RU"/>
        </w:rPr>
        <w:t xml:space="preserve">        return None, f"извлечённый текст слишком короткий ({len(text)} симв.)"</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return text, None</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def main():</w:t>
      </w:r>
    </w:p>
    <w:p>
      <w:pPr>
        <w:spacing w:before="0" w:after="0" w:line="240" w:lineRule="auto"/>
        <w:ind w:firstLine="0"/>
        <w:jc w:val="left"/>
      </w:pPr>
      <w:r>
        <w:rPr>
          <w:rFonts w:ascii="Courier New" w:hAnsi="Courier New" w:cs="Courier New"/>
          <w:sz w:val="16"/>
          <w:szCs w:val="16"/>
          <w:lang w:val="ru-RU"/>
        </w:rPr>
        <w:t xml:space="preserve">    with open(INPUT_FILE, encoding="utf-8") as f:</w:t>
      </w:r>
    </w:p>
    <w:p>
      <w:pPr>
        <w:spacing w:before="0" w:after="0" w:line="240" w:lineRule="auto"/>
        <w:ind w:firstLine="0"/>
        <w:jc w:val="left"/>
      </w:pPr>
      <w:r>
        <w:rPr>
          <w:rFonts w:ascii="Courier New" w:hAnsi="Courier New" w:cs="Courier New"/>
          <w:sz w:val="16"/>
          <w:szCs w:val="16"/>
          <w:lang w:val="ru-RU"/>
        </w:rPr>
        <w:t xml:space="preserve">        items = json.load(f)</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print(f"Всего URL для обработки: {len(items)}")</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corpus = []</w:t>
      </w:r>
    </w:p>
    <w:p>
      <w:pPr>
        <w:spacing w:before="0" w:after="0" w:line="240" w:lineRule="auto"/>
        <w:ind w:firstLine="0"/>
        <w:jc w:val="left"/>
      </w:pPr>
      <w:r>
        <w:rPr>
          <w:rFonts w:ascii="Courier New" w:hAnsi="Courier New" w:cs="Courier New"/>
          <w:sz w:val="16"/>
          <w:szCs w:val="16"/>
          <w:lang w:val="ru-RU"/>
        </w:rPr>
        <w:t xml:space="preserve">    failed = []</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for item in tqdm(items, desc="Извлечение текста"):</w:t>
      </w:r>
    </w:p>
    <w:p>
      <w:pPr>
        <w:spacing w:before="0" w:after="0" w:line="240" w:lineRule="auto"/>
        <w:ind w:firstLine="0"/>
        <w:jc w:val="left"/>
      </w:pPr>
      <w:r>
        <w:rPr>
          <w:rFonts w:ascii="Courier New" w:hAnsi="Courier New" w:cs="Courier New"/>
          <w:sz w:val="16"/>
          <w:szCs w:val="16"/>
          <w:lang w:val="ru-RU"/>
        </w:rPr>
        <w:t xml:space="preserve">        url = item["url"]</w:t>
      </w:r>
    </w:p>
    <w:p>
      <w:pPr>
        <w:spacing w:before="0" w:after="0" w:line="240" w:lineRule="auto"/>
        <w:ind w:firstLine="0"/>
        <w:jc w:val="left"/>
      </w:pPr>
      <w:r>
        <w:rPr>
          <w:rFonts w:ascii="Courier New" w:hAnsi="Courier New" w:cs="Courier New"/>
          <w:sz w:val="16"/>
          <w:szCs w:val="16"/>
          <w:lang w:val="ru-RU"/>
        </w:rPr>
        <w:t xml:space="preserve">        text, error = fetch_clean_text(url)</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if text is None:</w:t>
      </w:r>
    </w:p>
    <w:p>
      <w:pPr>
        <w:spacing w:before="0" w:after="0" w:line="240" w:lineRule="auto"/>
        <w:ind w:firstLine="0"/>
        <w:jc w:val="left"/>
      </w:pPr>
      <w:r>
        <w:rPr>
          <w:rFonts w:ascii="Courier New" w:hAnsi="Courier New" w:cs="Courier New"/>
          <w:sz w:val="16"/>
          <w:szCs w:val="16"/>
          <w:lang w:val="ru-RU"/>
        </w:rPr>
        <w:t xml:space="preserve">            failed.append({**item, "error": error})</w:t>
      </w:r>
    </w:p>
    <w:p>
      <w:pPr>
        <w:spacing w:before="0" w:after="0" w:line="240" w:lineRule="auto"/>
        <w:ind w:firstLine="0"/>
        <w:jc w:val="left"/>
      </w:pPr>
      <w:r>
        <w:rPr>
          <w:rFonts w:ascii="Courier New" w:hAnsi="Courier New" w:cs="Courier New"/>
          <w:sz w:val="16"/>
          <w:szCs w:val="16"/>
          <w:lang w:val="ru-RU"/>
        </w:rPr>
        <w:t xml:space="preserve">            print(f"  [!] id={item['id']} ({item['source']}): {error}")</w:t>
      </w:r>
    </w:p>
    <w:p>
      <w:pPr>
        <w:spacing w:before="0" w:after="0" w:line="240" w:lineRule="auto"/>
        <w:ind w:firstLine="0"/>
        <w:jc w:val="left"/>
      </w:pPr>
      <w:r>
        <w:rPr>
          <w:rFonts w:ascii="Courier New" w:hAnsi="Courier New" w:cs="Courier New"/>
          <w:sz w:val="16"/>
          <w:szCs w:val="16"/>
          <w:lang w:val="ru-RU"/>
        </w:rPr>
        <w:t xml:space="preserve">            time.sleep(0.5)</w:t>
      </w:r>
    </w:p>
    <w:p>
      <w:pPr>
        <w:spacing w:before="0" w:after="0" w:line="240" w:lineRule="auto"/>
        <w:ind w:firstLine="0"/>
        <w:jc w:val="left"/>
      </w:pPr>
      <w:r>
        <w:rPr>
          <w:rFonts w:ascii="Courier New" w:hAnsi="Courier New" w:cs="Courier New"/>
          <w:sz w:val="16"/>
          <w:szCs w:val="16"/>
          <w:lang w:val="ru-RU"/>
        </w:rPr>
        <w:t xml:space="preserve">            continue</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entry = dict(item)  # копируем id/source/genre/author/date/title/url</w:t>
      </w:r>
    </w:p>
    <w:p>
      <w:pPr>
        <w:spacing w:before="0" w:after="0" w:line="240" w:lineRule="auto"/>
        <w:ind w:firstLine="0"/>
        <w:jc w:val="left"/>
      </w:pPr>
      <w:r>
        <w:rPr>
          <w:rFonts w:ascii="Courier New" w:hAnsi="Courier New" w:cs="Courier New"/>
          <w:sz w:val="16"/>
          <w:szCs w:val="16"/>
          <w:lang w:val="ru-RU"/>
        </w:rPr>
        <w:t xml:space="preserve">        entry["text"] = text</w:t>
      </w:r>
    </w:p>
    <w:p>
      <w:pPr>
        <w:spacing w:before="0" w:after="0" w:line="240" w:lineRule="auto"/>
        <w:ind w:firstLine="0"/>
        <w:jc w:val="left"/>
      </w:pPr>
      <w:r>
        <w:rPr>
          <w:rFonts w:ascii="Courier New" w:hAnsi="Courier New" w:cs="Courier New"/>
          <w:sz w:val="16"/>
          <w:szCs w:val="16"/>
          <w:lang w:val="ru-RU"/>
        </w:rPr>
        <w:t xml:space="preserve">        corpus.append(entry)</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time.sleep(0.5)  # вежливая пауза между запросами</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corpus.sort(key=lambda d: d["id"])</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with open(OUTPUT_FILE, "w", encoding="utf-8") as f:</w:t>
      </w:r>
    </w:p>
    <w:p>
      <w:pPr>
        <w:spacing w:before="0" w:after="0" w:line="240" w:lineRule="auto"/>
        <w:ind w:firstLine="0"/>
        <w:jc w:val="left"/>
      </w:pPr>
      <w:r>
        <w:rPr>
          <w:rFonts w:ascii="Courier New" w:hAnsi="Courier New" w:cs="Courier New"/>
          <w:sz w:val="16"/>
          <w:szCs w:val="16"/>
          <w:lang w:val="ru-RU"/>
        </w:rPr>
        <w:t xml:space="preserve">        json.dump(corpus, f, ensure_ascii=False, indent=2)</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with open(FAILED_FILE, "w", encoding="utf-8") as f:</w:t>
      </w:r>
    </w:p>
    <w:p>
      <w:pPr>
        <w:spacing w:before="0" w:after="0" w:line="240" w:lineRule="auto"/>
        <w:ind w:firstLine="0"/>
        <w:jc w:val="left"/>
      </w:pPr>
      <w:r>
        <w:rPr>
          <w:rFonts w:ascii="Courier New" w:hAnsi="Courier New" w:cs="Courier New"/>
          <w:sz w:val="16"/>
          <w:szCs w:val="16"/>
          <w:lang w:val="ru-RU"/>
        </w:rPr>
        <w:t xml:space="preserve">        json.dump(failed, f, ensure_ascii=False, indent=2)</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print(f"\n=== ИТОГ ===")</w:t>
      </w:r>
    </w:p>
    <w:p>
      <w:pPr>
        <w:spacing w:before="0" w:after="0" w:line="240" w:lineRule="auto"/>
        <w:ind w:firstLine="0"/>
        <w:jc w:val="left"/>
      </w:pPr>
      <w:r>
        <w:rPr>
          <w:rFonts w:ascii="Courier New" w:hAnsi="Courier New" w:cs="Courier New"/>
          <w:sz w:val="16"/>
          <w:szCs w:val="16"/>
          <w:lang w:val="ru-RU"/>
        </w:rPr>
        <w:t xml:space="preserve">    print(f"Успешно извлечено: {len(corpus)} из {len(items)}")</w:t>
      </w:r>
    </w:p>
    <w:p>
      <w:pPr>
        <w:spacing w:before="0" w:after="0" w:line="240" w:lineRule="auto"/>
        <w:ind w:firstLine="0"/>
        <w:jc w:val="left"/>
      </w:pPr>
      <w:r>
        <w:rPr>
          <w:rFonts w:ascii="Courier New" w:hAnsi="Courier New" w:cs="Courier New"/>
          <w:sz w:val="16"/>
          <w:szCs w:val="16"/>
          <w:lang w:val="ru-RU"/>
        </w:rPr>
        <w:t xml:space="preserve">    print(f"Не удалось извлечь: {len(failed)} — см. {FAILED_FILE}")</w:t>
      </w:r>
    </w:p>
    <w:p>
      <w:pPr>
        <w:spacing w:before="0" w:after="0" w:line="240" w:lineRule="auto"/>
        <w:ind w:firstLine="0"/>
        <w:jc w:val="left"/>
      </w:pPr>
      <w:r>
        <w:rPr>
          <w:rFonts w:ascii="Courier New" w:hAnsi="Courier New" w:cs="Courier New"/>
          <w:sz w:val="16"/>
          <w:szCs w:val="16"/>
          <w:lang w:val="ru-RU"/>
        </w:rPr>
        <w:t xml:space="preserve">    print(f"Результат сохранён в {OUTPUT_FILE}")</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 </w:t>
      </w:r>
    </w:p>
    <w:p>
      <w:pPr>
        <w:spacing w:before="0" w:after="0" w:line="240" w:lineRule="auto"/>
        <w:ind w:firstLine="0"/>
        <w:jc w:val="left"/>
      </w:pPr>
      <w:r>
        <w:rPr>
          <w:rFonts w:ascii="Courier New" w:hAnsi="Courier New" w:cs="Courier New"/>
          <w:sz w:val="16"/>
          <w:szCs w:val="16"/>
          <w:lang w:val="ru-RU"/>
        </w:rPr>
        <w:t xml:space="preserve">if __name__ == "__main__":</w:t>
      </w:r>
    </w:p>
    <w:p>
      <w:pPr>
        <w:spacing w:before="0" w:after="0" w:line="240" w:lineRule="auto"/>
        <w:ind w:firstLine="0"/>
        <w:jc w:val="left"/>
      </w:pPr>
      <w:r>
        <w:rPr>
          <w:rFonts w:ascii="Courier New" w:hAnsi="Courier New" w:cs="Courier New"/>
          <w:sz w:val="16"/>
          <w:szCs w:val="16"/>
          <w:lang w:val="ru-RU"/>
        </w:rPr>
        <w:t xml:space="preserve">    main()</w:t>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ПРИЛОЖЕНИЕ Б</w:t>
      </w:r>
    </w:p>
    <w:p>
      <w:pPr>
        <w:pStyle w:val="Основной текст"/>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Паспорт корпуса: метаданные 202 текстов</w:t>
      </w:r>
    </w:p>
    <w:p>
      <w:pPr>
        <w:pStyle w:val="Основной текст"/>
        <w:spacing w:before="0" w:after="0" w:line="360" w:lineRule="auto"/>
        <w:ind w:firstLine="0"/>
        <w:rPr>
          <w:rFonts w:ascii="Times New Roman" w:hAnsi="Times New Roman" w:cs="Times New Roman"/>
          <w:sz w:val="28"/>
          <w:szCs w:val="28"/>
        </w:rPr>
      </w:pPr>
    </w:p>
    <w:p>
      <w:pPr>
        <w:keepNext/>
        <w:spacing w:before="240" w:after="120" w:line="240" w:lineRule="auto"/>
        <w:ind w:firstLine="0"/>
        <w:jc w:val="left"/>
      </w:pPr>
      <w:r>
        <w:rPr>
          <w:rFonts w:ascii="Times New Roman" w:hAnsi="Times New Roman" w:cs="Times New Roman"/>
          <w:sz w:val="28"/>
          <w:szCs w:val="28"/>
          <w:lang w:val="ru-RU"/>
        </w:rPr>
        <w:t xml:space="preserve">Таблица Б.1 — Метаданные текстов корпуса (№ — идентификатор текста; длина — в словах)</w:t>
      </w:r>
    </w:p>
    <w:tbl>
      <w:tblPr>
        <w:tblW w:w="86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10"/>
        <w:gridCol w:w="1360"/>
        <w:gridCol w:w="1304"/>
        <w:gridCol w:w="1077"/>
        <w:gridCol w:w="623"/>
        <w:gridCol w:w="3742"/>
      </w:tblGrid>
      <w:tr>
        <w:trPr>
          <w:cantSplit/>
          <w:tblHeader/>
        </w:trPr>
        <w:tc>
          <w:tcPr>
            <w:tcW w:w="510"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w:t>
            </w:r>
          </w:p>
        </w:tc>
        <w:tc>
          <w:tcPr>
            <w:tcW w:w="1360"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Источник</w:t>
            </w:r>
          </w:p>
        </w:tc>
        <w:tc>
          <w:tcPr>
            <w:tcW w:w="1304"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Жанр</w:t>
            </w:r>
          </w:p>
        </w:tc>
        <w:tc>
          <w:tcPr>
            <w:tcW w:w="1077"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Дата</w:t>
            </w:r>
          </w:p>
        </w:tc>
        <w:tc>
          <w:tcPr>
            <w:tcW w:w="623"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Слов</w:t>
            </w:r>
          </w:p>
        </w:tc>
        <w:tc>
          <w:tcPr>
            <w:tcW w:w="3742" w:type="dxa"/>
            <w:shd w:val="clear" w:color="auto" w:fill="F2F2F2"/>
            <w:vAlign w:val="center"/>
          </w:tcPr>
          <w:p>
            <w:pPr>
              <w:spacing w:before="0" w:after="0" w:line="240" w:lineRule="auto"/>
              <w:ind w:firstLine="0"/>
              <w:jc w:val="center"/>
            </w:pPr>
            <w:r>
              <w:rPr>
                <w:rFonts w:ascii="Times New Roman" w:hAnsi="Times New Roman" w:cs="Times New Roman"/>
                <w:b/>
                <w:sz w:val="16"/>
                <w:szCs w:val="16"/>
                <w:lang w:val="ru-RU"/>
              </w:rPr>
              <w:t xml:space="preserve">Заголовок</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503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Козырь в рукаве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487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Квадратное уравнение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956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Хоть за смертью посылай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2026-07-31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515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выглядят самые модные брюки на осень-2026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601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Только подпоясаться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714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Восток-3000</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2843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«Иногда “плохо” — это новое хорошо»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герои/лонгрид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1477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Парадокс Вивьен Вествуд: почему «королева панка» так любила кринолины и корсеты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От создателей The Row: где найти джемпер, как у королевы интеллектуального люкса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Voice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Джинсы-сигариллы — это стильная альтернатива скинни, которую ты так ждала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440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Под водой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1016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Портрет совершенства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индустрия/гид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1621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Гид по винтажным магазинам Санкт-Петербурга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личность/интервью</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3466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Интервью с СЕО Lamoda Максимом Гришаковым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Арина и соболя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3349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 Долли Партон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туфли будут в тренде осенью-2026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895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готовый осенний гардероб и ювелирные новинки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индустрия/финансы</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2026-08-04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1407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Свели счеты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746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Дайте ремня!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тенденции/гид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Бери южнее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733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 джазовках только девушки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939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Все на матч</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559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Цветная революция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914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Без широких штанин?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Модные женские кроссовки на осень-2026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415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7 хитов осени-26, которые уже наверняка есть в вашем гардеробе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7 пар красивых вельветовых брюк, которые будут в моде осенью-2026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2026-08-06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939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будет в моде осенью-2026: 8 главных трендов сезона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надеть стильной маме на 1 сентября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1620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It-girl поневоле: как Шарлотта Генсбур создала стиль новой парижанки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835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Почему шелковый платок Hermès Carré — это вещь-легенда?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1214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Ядерная красота: как купальник бикини уравнял женщин с атомной бомбой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1232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Снижение тревоги, стирание классовых различий и еще 6 скрытых смыслов джинсов по мнению учен…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804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Знакомьтесь: Джули Кегельс — победитель LVMH Prize-2026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706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Знакомьтесь: Коррадо де Биасе — автор самой красивой, но самой неудобной обуви Saint Laurent</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модные показы нельзя пропустить этой осенью</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1724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Венецианский кинофестиваль-2026: красная дорожка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39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326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Дизайнер из Санкт-Петербурга в Нью-Йорке: какой получилась дебютная коллекция Генри Занкова…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341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Свобода от хорошего вкуса: как «испортили» первый кутюр Дюрана Лантинка для Jean Paul Gaultier</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431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Возвращение к истокам: показ Balenciaga Пьерпаоло Пиччоли — любовное письмо красоте женского…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457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На самом ожидаемом показе Chanel подиум превратили в лес, а финал обошелся без невесты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446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 Париже стартовала Неделя высокой моды: Schiaparelli заставил кутюр буквально светиться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Этот прием стилизации браслетов все еще актуален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 этом сезоне в моду вернулись украшения из бусин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 цвета морской волны: 6 красивых находок от российских брендов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Это самые модные и доступные украшения лета-2026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383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Почему этим летом вам нужно акцентное золотое ожерелье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49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752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На грани разрушения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1872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26 трендов на осень и зиму 2026/2027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2026-01-28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Мужские тренды осень–зима 2026/2027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1005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10 трендов в аксессуарах осень—зима 2026/2027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517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Просто красиво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237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Шапочный разбор</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328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Белый свет</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679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Всем по футболке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1473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Пора завязывать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2026-08-31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725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Курточный домик</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59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650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На все пуговицы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2026-08-04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Деним — и ничего под ним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осенние коллекции и итальянская дольче вита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468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Дуэт люкса и спорта: 3 главные коллаборации 2026 года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выглядят модные сапоги осень-зима 2026/27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7 красивых замшевых юбок, которые станут основой для модных осенних образов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Этой осенью носите узкие джинсы, как Кейт Мосс</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осень в стиле бохо и готовый гардероб для всей семьи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Кто сказал «гав»?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767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Сделай сам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69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703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Душа нараспашку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 вкусах не спорят</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Вот это куртка!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2026-04-30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926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Закольцевали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568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 Каннах и штанах</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552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Дьявол носит</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Мощный хуп</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1059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So be it-bag</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614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Быть Раскольниковым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658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Вам письмо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79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331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Будь здоров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406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им снег</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615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Шоугерл в этом клубе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1090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Узкое горлышко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Гусары, молчать!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874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Сплошная джинса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641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Сверкать молнией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419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«Эмми-2026»: победители и лучшие образы на красной дорожке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3542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Главные тренды осени 2026: где покупать и как носить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400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Открытая спина: главный вечерний тренд 2026 года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89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 какой обувью носить брючный костюм весной и летом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336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Модные пушистые сумки — аксессуар, который поможет снизить тревожность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оттенки джинсов будут в тренде летом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тенденции/украшения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418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5 аксессуаров осени-2026, чтобы чувствовать себя стильно и уверенно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439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цвета будут в моде осенью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498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Трендовые кожаные куртки для осени 2026 года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476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Главные тренды сезона осень-зима 2026 для женщин любого возраста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 осени 2026 года — белые перчатки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носить джинсовую юбку-макси осенью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Красный тренч — хит осени 2026 года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99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 сезона: обувь на резинке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444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Красная сумка — хит сезона осень-зима 2026/27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герои/интервью</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2902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«Из моды ушла мечта»: фотограф Бардо Фабиани — об итальянском Vogue и конце прекрасной эпохи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468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Это по-мужски. Как изящные наряды для мужчин вернулись в моду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герои/интервью</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573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«Я порву этот костюм»: как создавались образы для балета «Анна Каренина»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427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Gucci весна-лето 2027: как мимикрировать под роскошную итальянку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545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Форма и содержание: 5 силуэтов, которые определяют моду сезона осень-зима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712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Неделя моды в Лондоне: хайлайты и хедлайнеры сезона весна-лето 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384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 сезоне весна-лето 2027 Prada объявляет диктатуру юбки! Интересно, почему?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417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Город, каток, 1980-е: какой получилась новая капсула 2MOOD Club</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109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762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Записки на манжетах: сколько рубашек нужно в гардеробе и как их выбрать?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111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Верхом на звезде: российские бренды на красной дорожке Канн-2026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782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Лучшие и худшие образы «Оскара-2026»: редакционная подборка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2026-07-30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176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На широкую ногу: супермодель Роузи Хантингтон-Уайтли снялась для российского бренда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герои/интервью</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1006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Интервью дизайнера Яны Бесфамильной — о трендах и проблемах современной моды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индустрия/гид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Главные события осени 2026: выставки и фестивали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862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5 осенних формул 2026, которые избавят от вопроса «что сегодня надеть»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871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У моды нервный срыв, но есть пять трендов, которые будут актуальны долгое время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788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Главные тренды осени 2026 года с улиц Лондона: военная эстетика и сочетание стилей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119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732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будем носить вместо привычного тренча: верхняя одежда осени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Главные обувные тренды осени 2026: 8 пар, которые будут носить все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761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стильно носить лоферы в 2026 году: 5 модных сочетаний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846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бельевой тренд из элемента соблазнения стал манифестом про уязвимость</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2026-05-30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1774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Модные женские джинсы 2026: обзор трендов, фасонов и оттенков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1059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Дедушка был хипстер. Колонка Антона Котенева о нишевости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658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Оливковая «такса», пляжный тоут и люксовая авоська: какие сумки мы будем носить этим летом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2026-02-04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204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Все по колено: юбки миди — в числе главных героев SS'26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Красота, которой не существует: как ИИ меняет наше представление о норме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На клеточном уровне: как носить главный осенний принт?</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129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261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Горячие тренды лета 2026: что будут носить все модные девушки — версия стилиста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130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Модный дом ESVE отметил десятилетие бренда показом на Московской неделе моды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191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Style Notes: дочь Моники Беллуччи и Венсана Касселя Леони дебютировала в качестве модели у D…</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тенденции/гид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2026-02-06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674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От ярких красок Гаити до монгольского традиционного костюма: смотрим самую эффектную форму н…</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2026-07-31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Мода. Хроники недели: Рози Хантингтон-Уайтли для Ekonika, новый сериал про Джорджио Армани,…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1654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Фотоувеличение с Дианой Джанелли: разбираем лучшие ювелирные образы звезд с церемонии «Оскар…</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2026-01-28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Фотоувеличение: аксессуары на шоу Dior Couture — винтажные ткани, миниатюры XVIII века, мете…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Maison Margiela Fall 2026: модная революция в Шанхае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184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Фотоувеличение: от ностальгии до «барбикора» — лучшие образы Деми Мур на Каннском кинофестивале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1115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в лук грядущий нам готовить: ключевые цвета сезона весна-лето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139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надеть: главные тренды сезона весна-лето –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герои/интервью</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1190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«Мы пишем новую историю российской моды»: Артем Кривда — о показе Яндекс Маркет Fashion Show…</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1646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Выпустите нас! Марат Мингалимов — о том, как менялись образы выпускниц в разные годы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Бэмби, мех и штрипки: «Москвичка» выбирает осенние тренды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Moskvichka</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336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Baby blue: как стилизовать главный цвет лета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2026-05-02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195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Новый объект желания – красные джинсы, обещающие стать базой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Чтоооооо????? Платформа?!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носить трендовый зеленый?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FRWF</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модно стилизовать рубашку этой весной: одна вещь – десятки образов</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Десять главных трендов Парижской недели моды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149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1035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10 главных трендов лета 2026: полный гид</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2026-07-28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Блузы осени 2026: от барокко до небрежности — тренды и российские бренды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849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7 трендов осени 2026, которые уже есть в вашем гардеробе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2026-03-04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Бельевой стиль и мягкий блеск шелка: три главных фешн тренда 2026 года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MarieClaire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1041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Леопардовый принт и другие модные тенденции осени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герои/репортаж</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162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Перья, минимализм и немного ретро: лучшие образы с красной дорожки «Оскара-2026»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156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Классика в новом прочтении и фантазийные минодьеры: почему все модницы мира хотят сумки с по…</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2026-02-27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935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Fashion Digest: шоу Burberry в Лондоне, тема бала Института костюма и свежие коллаборации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Мода. Хроники недели: гоночные амбиции Gucci, Памела Андерсон, Джейкоб Элорди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228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Тимоти Шаламе, Лионель Месси и Bad Bunny: adidas выпустил мини-фильм к Чемпионату мира по фу…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159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Posta-Magazine</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2026-06-10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208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Men in Style. Искусство «вилледжатуры»: как прошел показ Zegna в Лос-Анджелесе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Русалочьи грезы: выбираем самый модный купальник лета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2026-05-26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683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Грязевой перевал: почему в моде эстетика небрежности и бренды намеренно состаривают одежду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525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Chanel Haute Couture осень-зима 2026: земную жизнь пройдя до половины, я очутился в празднич…</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427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Возвращение к истокам: этот классический тренч будет в моде всегда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2026-09-03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349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Плащевая ткань — тренд осени 2026: какие вещи носить в этом сезоне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366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туфли будут в тренде осенью-2026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 сентября — укороченный тренч. Какие фасоны особенно актуальны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1478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Тренды свадебных платьев на 2026 год</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732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Тренды аксессуаров на весну-лето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169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949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40 самых модных женских купальников на лето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544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Карго — мужской и женский модный тренд лета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2327</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31 модный тренд сезона весна-лето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948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57 пар модных солнцезащитных очков на весну-лето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264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Вещи с пайетками — самый модный тренд лета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2026-04-17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390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 стилизовать джинсовые капри в 2026 году: 6 формул</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434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Какие ремни будут в моде в 2026 году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6304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Модный женский гардероб на лето-2026: 30 актуальных моделей</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469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Воплощение французского шика: стиль Сильви Грато в «Эмили в Париже»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1750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Лиля Брик — главный символ русского авангарда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179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икона стиля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515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10 составляющих стиля Кэролин Бессетт-Кеннеди, которые будут актуальны всегда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Трудно быть богом: впечатления от кутюрной коллекции Dior осень-зима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Шоу красивых мутантов: все о кутюрной коллекции Schiaparelli осень-зима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Боги строжайшие или твари дрожащие: все о показе Dolce &amp; Gabbana Alta Moda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10 из 10: Dries Van Noten весна-лето 2027 — лучшая коллекция Недели мужской моды в Париже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254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Показ мужской коллекции Saint Laurent весна-лето 2027 — в деталях и пяти главных именах</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745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Большие перемены: главные тренды мужской моды весна-лето 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 редакции</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2026-06-11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695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Почему главные игроки Чемпионата мира по футболу 2026 выбирают розовые бутсы</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тенденции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2026-02-13</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1409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«Очень странные дела»: как мода восьмидесятых вернулась спустя полвека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Snob</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мнение</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2026-03-31</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1760</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Джон Гальяно в Zara — это будущее моды, и вот почему</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189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389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16 — 23 января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2026-01-30</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372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30 января — 6 февраля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2026-02-27</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792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27 февраля — 5 марта</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2026-04-24</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674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24 апреля — 1 мая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2026-09-25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463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новые коллекции и приятные подарки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194</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SYMBOL</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выбор/дайджест</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2026-02-06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641</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Шопинг-дайджест: 6 — 13 февраля</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195</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2026-08-26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2642</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Состояние российского рынка перепродажи в 2026-м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196</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индустрия/гид</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2026-06-22</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2186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Лучшие коллекции выпускников Школы дизайна НИУ ВШЭ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197</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2026-03-16</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753</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17 лучших образов недели моды в Париже сезона осень-зима 2026/2027</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198</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816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Первая кутюрная коллекция Balenciaga Пьерпаоло Пиччоли</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199</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2026-07-08</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829</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Jean Paul Gaultier Haute Couture 2027: Дюран Лантинк дебютировал в кутюре</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200</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коллекции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2026-03-19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838</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5 самых ярких показов с Московской недели моды 2026</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201</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2026-04-05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2956</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Где покупать модную российскую обувь? И кто ее делает?</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202</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индустрия</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2026-08-09</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905</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Pantis Кати Мадонич: новая марка с большим будущим</w:t>
            </w:r>
          </w:p>
        </w:tc>
      </w:tr>
      <w:tr>
        <w:trPr>
          <w:cantSplit/>
        </w:trPr>
        <w:tc>
          <w:tcPr>
            <w:tcW w:w="510" w:type="dxa"/>
            <w:vAlign w:val="center"/>
          </w:tcPr>
          <w:p>
            <w:pPr>
              <w:spacing w:before="0" w:after="0" w:line="240" w:lineRule="auto"/>
              <w:ind w:firstLine="0"/>
              <w:jc w:val="center"/>
            </w:pPr>
            <w:r>
              <w:rPr>
                <w:rFonts w:ascii="Times New Roman" w:hAnsi="Times New Roman" w:cs="Times New Roman"/>
                <w:sz w:val="16"/>
                <w:szCs w:val="16"/>
                <w:lang w:val="ru-RU"/>
              </w:rPr>
              <w:t xml:space="preserve">203</w:t>
            </w:r>
          </w:p>
        </w:tc>
        <w:tc>
          <w:tcPr>
            <w:tcW w:w="1360" w:type="dxa"/>
            <w:vAlign w:val="center"/>
          </w:tcPr>
          <w:p>
            <w:pPr>
              <w:spacing w:before="0" w:after="0" w:line="240" w:lineRule="auto"/>
              <w:ind w:firstLine="0"/>
              <w:jc w:val="left"/>
            </w:pPr>
            <w:r>
              <w:rPr>
                <w:rFonts w:ascii="Times New Roman" w:hAnsi="Times New Roman" w:cs="Times New Roman"/>
                <w:sz w:val="16"/>
                <w:szCs w:val="16"/>
                <w:lang w:val="ru-RU"/>
              </w:rPr>
              <w:t xml:space="preserve">The Blueprint</w:t>
            </w:r>
          </w:p>
        </w:tc>
        <w:tc>
          <w:tcPr>
            <w:tcW w:w="1304" w:type="dxa"/>
            <w:vAlign w:val="center"/>
          </w:tcPr>
          <w:p>
            <w:pPr>
              <w:spacing w:before="0" w:after="0" w:line="240" w:lineRule="auto"/>
              <w:ind w:firstLine="0"/>
              <w:jc w:val="left"/>
            </w:pPr>
            <w:r>
              <w:rPr>
                <w:rFonts w:ascii="Times New Roman" w:hAnsi="Times New Roman" w:cs="Times New Roman"/>
                <w:sz w:val="16"/>
                <w:szCs w:val="16"/>
                <w:lang w:val="ru-RU"/>
              </w:rPr>
              <w:t xml:space="preserve">герои</w:t>
            </w:r>
          </w:p>
        </w:tc>
        <w:tc>
          <w:tcPr>
            <w:tcW w:w="1077" w:type="dxa"/>
            <w:vAlign w:val="center"/>
          </w:tcPr>
          <w:p>
            <w:pPr>
              <w:spacing w:before="0" w:after="0" w:line="240" w:lineRule="auto"/>
              <w:ind w:firstLine="0"/>
              <w:jc w:val="center"/>
            </w:pPr>
            <w:r>
              <w:rPr>
                <w:rFonts w:ascii="Times New Roman" w:hAnsi="Times New Roman" w:cs="Times New Roman"/>
                <w:sz w:val="16"/>
                <w:szCs w:val="16"/>
                <w:lang w:val="ru-RU"/>
              </w:rPr>
              <w:t xml:space="preserve">2026-07-15</w:t>
            </w:r>
          </w:p>
        </w:tc>
        <w:tc>
          <w:tcPr>
            <w:tcW w:w="623" w:type="dxa"/>
            <w:vAlign w:val="center"/>
          </w:tcPr>
          <w:p>
            <w:pPr>
              <w:spacing w:before="0" w:after="0" w:line="240" w:lineRule="auto"/>
              <w:ind w:firstLine="0"/>
              <w:jc w:val="center"/>
            </w:pPr>
            <w:r>
              <w:rPr>
                <w:rFonts w:ascii="Times New Roman" w:hAnsi="Times New Roman" w:cs="Times New Roman"/>
                <w:sz w:val="16"/>
                <w:szCs w:val="16"/>
                <w:lang w:val="ru-RU"/>
              </w:rPr>
              <w:t xml:space="preserve">1304</w:t>
            </w:r>
          </w:p>
        </w:tc>
        <w:tc>
          <w:tcPr>
            <w:tcW w:w="3742" w:type="dxa"/>
            <w:vAlign w:val="center"/>
          </w:tcPr>
          <w:p>
            <w:pPr>
              <w:spacing w:before="0" w:after="0" w:line="240" w:lineRule="auto"/>
              <w:ind w:firstLine="0"/>
              <w:jc w:val="left"/>
            </w:pPr>
            <w:r>
              <w:rPr>
                <w:rFonts w:ascii="Times New Roman" w:hAnsi="Times New Roman" w:cs="Times New Roman"/>
                <w:sz w:val="16"/>
                <w:szCs w:val="16"/>
                <w:lang w:val="ru-RU"/>
              </w:rPr>
              <w:t xml:space="preserve">Что читают российские модели во время показов в Милане и Париже</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ПРИЛОЖЕНИЕ В</w:t>
      </w:r>
    </w:p>
    <w:p>
      <w:pPr>
        <w:pStyle w:val="Основной текст"/>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Результаты частотного и коллокационного анализа</w:t>
      </w:r>
    </w:p>
    <w:p>
      <w:pPr>
        <w:pStyle w:val="Основной текст"/>
        <w:spacing w:before="0" w:after="0" w:line="360" w:lineRule="auto"/>
        <w:ind w:firstLine="0"/>
        <w:rPr>
          <w:rFonts w:ascii="Times New Roman" w:hAnsi="Times New Roman" w:cs="Times New Roman"/>
          <w:sz w:val="28"/>
          <w:szCs w:val="28"/>
        </w:rPr>
      </w:pPr>
    </w:p>
    <w:p>
      <w:pPr>
        <w:keepNext/>
        <w:spacing w:before="240" w:after="120" w:line="240" w:lineRule="auto"/>
        <w:ind w:firstLine="0"/>
        <w:jc w:val="left"/>
      </w:pPr>
      <w:r>
        <w:rPr>
          <w:rFonts w:ascii="Times New Roman" w:hAnsi="Times New Roman" w:cs="Times New Roman"/>
          <w:sz w:val="28"/>
          <w:szCs w:val="28"/>
          <w:lang w:val="ru-RU"/>
        </w:rPr>
        <w:t xml:space="preserve">Таблица В.1 — Пятьдесят наиболее частотных лемм корпуса</w:t>
      </w:r>
    </w:p>
    <w:tbl>
      <w:tblPr>
        <w:tblW w:w="74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67"/>
        <w:gridCol w:w="2041"/>
        <w:gridCol w:w="1134"/>
        <w:gridCol w:w="567"/>
        <w:gridCol w:w="2041"/>
        <w:gridCol w:w="1134"/>
      </w:tblGrid>
      <w:tr>
        <w:trPr>
          <w:cantSplit/>
          <w:tblHeader/>
        </w:trPr>
        <w:tc>
          <w:tcPr>
            <w:tcW w:w="56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w:t>
            </w:r>
          </w:p>
        </w:tc>
        <w:tc>
          <w:tcPr>
            <w:tcW w:w="2041"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Лемма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Частота</w:t>
            </w:r>
          </w:p>
        </w:tc>
        <w:tc>
          <w:tcPr>
            <w:tcW w:w="56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w:t>
            </w:r>
          </w:p>
        </w:tc>
        <w:tc>
          <w:tcPr>
            <w:tcW w:w="2041"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Лемма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Частота</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весна-лето</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588</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26</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например</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224</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бренд</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571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27</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юбка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образ</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511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28</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одежда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221</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модный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501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29</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сумка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220</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мода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439</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30</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чёрный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208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коллекция</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427</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31</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оттенок</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7</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сезон</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409</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32</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силуэт</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198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8</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модель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391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33</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зима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194</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9</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осень-зима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361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34</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показ</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193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10</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платье</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353</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35</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рубашка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191</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11</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джинсы</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345</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36</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человек</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180</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12</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вещь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344</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37</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пара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179</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13</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тренд</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328</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38</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работать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178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14</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осень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322</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39</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белый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177</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15</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главный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308</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40</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казаться</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16</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дизайнер</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308</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41</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сделать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17</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носить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287</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42</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очень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168</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18</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цвет</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261</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43</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каждый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167</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19</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первый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253</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44</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костюм</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167</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20</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выглядеть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249</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45</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день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165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21</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время</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238</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46</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делать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154</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22</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гардероб</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233</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47</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лето</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153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23</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обувь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230</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48</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кожа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153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24</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стиль</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225</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49</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chanel</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151</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25</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брюки</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225</w:t>
            </w:r>
          </w:p>
        </w:tc>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50</w:t>
            </w:r>
          </w:p>
        </w:tc>
        <w:tc>
          <w:tcPr>
            <w:tcW w:w="2041" w:type="dxa"/>
            <w:vAlign w:val="center"/>
          </w:tcPr>
          <w:p>
            <w:pPr>
              <w:spacing w:before="0" w:after="0" w:line="240" w:lineRule="auto"/>
              <w:ind w:firstLine="0"/>
              <w:jc w:val="left"/>
            </w:pPr>
            <w:r>
              <w:rPr>
                <w:rFonts w:ascii="Times New Roman" w:hAnsi="Times New Roman" w:cs="Times New Roman"/>
                <w:sz w:val="20"/>
                <w:szCs w:val="20"/>
                <w:lang w:val="ru-RU"/>
              </w:rPr>
              <w:t xml:space="preserve">просто</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150</w:t>
            </w:r>
          </w:p>
        </w:tc>
      </w:tr>
    </w:tbl>
    <w:p>
      <w:pPr>
        <w:spacing w:before="0" w:after="120" w:line="240" w:lineRule="auto"/>
        <w:ind w:firstLine="0"/>
      </w:pPr>
      <w:r>
        <w:rPr>
          <w:rFonts w:ascii="Times New Roman" w:hAnsi="Times New Roman" w:cs="Times New Roman"/>
          <w:sz w:val="24"/>
          <w:szCs w:val="24"/>
          <w:lang w:val="ru-RU"/>
        </w:rPr>
        <w:t xml:space="preserve"/>
      </w:r>
    </w:p>
    <w:p>
      <w:pPr>
        <w:keepNext/>
        <w:spacing w:before="240" w:after="120" w:line="240" w:lineRule="auto"/>
        <w:ind w:firstLine="0"/>
        <w:jc w:val="left"/>
      </w:pPr>
      <w:r>
        <w:rPr>
          <w:rFonts w:ascii="Times New Roman" w:hAnsi="Times New Roman" w:cs="Times New Roman"/>
          <w:sz w:val="28"/>
          <w:szCs w:val="28"/>
          <w:lang w:val="ru-RU"/>
        </w:rPr>
        <w:t xml:space="preserve">Таблица В.2 — Тридцать биграмм с наибольшим значением PMI (частота ≥ 5)</w:t>
      </w:r>
    </w:p>
    <w:tbl>
      <w:tblPr>
        <w:tblW w:w="62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67"/>
        <w:gridCol w:w="3402"/>
        <w:gridCol w:w="1134"/>
        <w:gridCol w:w="1134"/>
      </w:tblGrid>
      <w:tr>
        <w:trPr>
          <w:cantSplit/>
          <w:tblHeader/>
        </w:trPr>
        <w:tc>
          <w:tcPr>
            <w:tcW w:w="56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w:t>
            </w:r>
          </w:p>
        </w:tc>
        <w:tc>
          <w:tcPr>
            <w:tcW w:w="3402"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Биграмма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Частота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PMI</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harper bazaar</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бхавит мандава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марго робби</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brunello cucinelli</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elie saab</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phoebe philo</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7</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gianni chiarini</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8</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vanity fair</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9</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шон макгирра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10</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николь кидман</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11</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alta moda</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12</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victorian slutty</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13</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viktor rolf</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14</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бурак озчивита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15</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этери тутберидзе</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16</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счётный палата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17</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семейство дженнер-кардашьян</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18</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втб rwb</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19</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rwb russ</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14,32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20</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loro piana</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21</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alrosa diamonds</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22</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gentle monster</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23</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pitti uomo</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24</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los angeles</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25</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питер мюлье</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26</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julie kegels</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27</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diane von</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28</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von furstenberg</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29</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carolina herrera</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30</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орландо блум</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14,05</w:t>
            </w:r>
          </w:p>
        </w:tc>
      </w:tr>
    </w:tbl>
    <w:p>
      <w:pPr>
        <w:spacing w:before="0" w:after="120" w:line="240" w:lineRule="auto"/>
        <w:ind w:firstLine="0"/>
      </w:pPr>
      <w:r>
        <w:rPr>
          <w:rFonts w:ascii="Times New Roman" w:hAnsi="Times New Roman" w:cs="Times New Roman"/>
          <w:sz w:val="24"/>
          <w:szCs w:val="24"/>
          <w:lang w:val="ru-RU"/>
        </w:rPr>
        <w:t xml:space="preserve"/>
      </w:r>
    </w:p>
    <w:p>
      <w:pPr>
        <w:keepNext/>
        <w:spacing w:before="240" w:after="120" w:line="240" w:lineRule="auto"/>
        <w:ind w:firstLine="0"/>
        <w:jc w:val="left"/>
      </w:pPr>
      <w:r>
        <w:rPr>
          <w:rFonts w:ascii="Times New Roman" w:hAnsi="Times New Roman" w:cs="Times New Roman"/>
          <w:sz w:val="28"/>
          <w:szCs w:val="28"/>
          <w:lang w:val="ru-RU"/>
        </w:rPr>
        <w:t xml:space="preserve">Таблица В.3 — Двадцать наиболее частотных биграмм</w:t>
      </w:r>
    </w:p>
    <w:tbl>
      <w:tblPr>
        <w:tblW w:w="510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567"/>
        <w:gridCol w:w="3402"/>
        <w:gridCol w:w="1134"/>
      </w:tblGrid>
      <w:tr>
        <w:trPr>
          <w:cantSplit/>
          <w:tblHeader/>
        </w:trPr>
        <w:tc>
          <w:tcPr>
            <w:tcW w:w="56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w:t>
            </w:r>
          </w:p>
        </w:tc>
        <w:tc>
          <w:tcPr>
            <w:tcW w:w="3402"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Биграмма</w:t>
            </w:r>
          </w:p>
        </w:tc>
        <w:tc>
          <w:tcPr>
            <w:tcW w:w="113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Частота</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осень зима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179</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saint laurent</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91</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неделя мода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76</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bottega veneta</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louis vuitton</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65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miu miu</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59</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7</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креативный директор</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55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8</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рассказать ниже</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49</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9</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ниже подробный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47</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10</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подробный модный</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47</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11</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dolce gabbana</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46</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12</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van noten</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45</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13</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dries van</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44</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14</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кожаный куртка</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44</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15</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джонатан андерсон</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16</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jean paul</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17</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paul gaultier</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43</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18</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российский бренд</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42</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19</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acne studios</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41</w:t>
            </w:r>
          </w:p>
        </w:tc>
      </w:tr>
      <w:tr>
        <w:trPr>
          <w:cantSplit/>
        </w:trPr>
        <w:tc>
          <w:tcPr>
            <w:tcW w:w="567" w:type="dxa"/>
            <w:vAlign w:val="center"/>
          </w:tcPr>
          <w:p>
            <w:pPr>
              <w:spacing w:before="0" w:after="0" w:line="240" w:lineRule="auto"/>
              <w:ind w:firstLine="0"/>
              <w:jc w:val="center"/>
            </w:pPr>
            <w:r>
              <w:rPr>
                <w:rFonts w:ascii="Times New Roman" w:hAnsi="Times New Roman" w:cs="Times New Roman"/>
                <w:sz w:val="20"/>
                <w:szCs w:val="20"/>
                <w:lang w:val="ru-RU"/>
              </w:rPr>
              <w:t xml:space="preserve">20</w:t>
            </w:r>
          </w:p>
        </w:tc>
        <w:tc>
          <w:tcPr>
            <w:tcW w:w="3402" w:type="dxa"/>
            <w:vAlign w:val="center"/>
          </w:tcPr>
          <w:p>
            <w:pPr>
              <w:spacing w:before="0" w:after="0" w:line="240" w:lineRule="auto"/>
              <w:ind w:firstLine="0"/>
              <w:jc w:val="left"/>
            </w:pPr>
            <w:r>
              <w:rPr>
                <w:rFonts w:ascii="Times New Roman" w:hAnsi="Times New Roman" w:cs="Times New Roman"/>
                <w:sz w:val="20"/>
                <w:szCs w:val="20"/>
                <w:lang w:val="ru-RU"/>
              </w:rPr>
              <w:t xml:space="preserve">матья блази</w:t>
            </w:r>
          </w:p>
        </w:tc>
        <w:tc>
          <w:tcPr>
            <w:tcW w:w="1134" w:type="dxa"/>
            <w:vAlign w:val="center"/>
          </w:tcPr>
          <w:p>
            <w:pPr>
              <w:spacing w:before="0" w:after="0" w:line="240" w:lineRule="auto"/>
              <w:ind w:firstLine="0"/>
              <w:jc w:val="center"/>
            </w:pPr>
            <w:r>
              <w:rPr>
                <w:rFonts w:ascii="Times New Roman" w:hAnsi="Times New Roman" w:cs="Times New Roman"/>
                <w:sz w:val="20"/>
                <w:szCs w:val="20"/>
                <w:lang w:val="ru-RU"/>
              </w:rPr>
              <w:t xml:space="preserve">39</w:t>
            </w:r>
          </w:p>
        </w:tc>
      </w:tr>
    </w:tbl>
    <w:p>
      <w:pPr>
        <w:spacing w:before="0" w:after="120" w:line="240" w:lineRule="auto"/>
        <w:ind w:firstLine="0"/>
      </w:pPr>
      <w:r>
        <w:rPr>
          <w:rFonts w:ascii="Times New Roman" w:hAnsi="Times New Roman" w:cs="Times New Roman"/>
          <w:sz w:val="24"/>
          <w:szCs w:val="24"/>
          <w:lang w:val="ru-RU"/>
        </w:rPr>
        <w:t xml:space="preserve"/>
      </w:r>
    </w:p>
    <w:p>
      <w:pPr>
        <w:pStyle w:val="Основной текст"/>
        <w:pageBreakBefore/>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ПРИЛОЖЕНИЕ Г</w:t>
      </w:r>
    </w:p>
    <w:p>
      <w:pPr>
        <w:pStyle w:val="Основной текст"/>
        <w:spacing w:before="0" w:after="0" w:line="360" w:lineRule="auto"/>
        <w:ind w:left="0" w:right="0" w:firstLine="0"/>
        <w:jc w:val="center"/>
        <w:rPr>
          <w:rFonts w:ascii="Times New Roman" w:hAnsi="Times New Roman" w:cs="Times New Roman"/>
          <w:b/>
          <w:bCs/>
          <w:sz w:val="28"/>
          <w:szCs w:val="28"/>
        </w:rPr>
      </w:pPr>
      <w:r>
        <w:rPr>
          <w:rFonts w:ascii="Times New Roman" w:hAnsi="Times New Roman" w:cs="Times New Roman"/>
          <w:b/>
          <w:bCs/>
          <w:sz w:val="28"/>
          <w:szCs w:val="28"/>
          <w:lang w:val="ru-RU"/>
        </w:rPr>
        <w:t xml:space="preserve">Контексты употребления лексики цифровой сферы и распределение тем по источникам</w:t>
      </w:r>
    </w:p>
    <w:p>
      <w:pPr>
        <w:pStyle w:val="Основной текст"/>
        <w:spacing w:before="0" w:after="0" w:line="360" w:lineRule="auto"/>
        <w:ind w:firstLine="0"/>
        <w:rPr>
          <w:rFonts w:ascii="Times New Roman" w:hAnsi="Times New Roman" w:cs="Times New Roman"/>
          <w:sz w:val="28"/>
          <w:szCs w:val="28"/>
        </w:rPr>
      </w:pPr>
    </w:p>
    <w:p>
      <w:pPr>
        <w:keepNext/>
        <w:spacing w:before="240" w:after="120" w:line="240" w:lineRule="auto"/>
        <w:ind w:firstLine="0"/>
        <w:jc w:val="left"/>
      </w:pPr>
      <w:r>
        <w:rPr>
          <w:rFonts w:ascii="Times New Roman" w:hAnsi="Times New Roman" w:cs="Times New Roman"/>
          <w:sz w:val="28"/>
          <w:szCs w:val="28"/>
          <w:lang w:val="ru-RU"/>
        </w:rPr>
        <w:t xml:space="preserve">Таблица Г.1 — Примеры контекстов употребления лексики цифровой сферы</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247"/>
        <w:gridCol w:w="2154"/>
        <w:gridCol w:w="5386"/>
      </w:tblGrid>
      <w:tr>
        <w:trPr>
          <w:cantSplit/>
          <w:tblHeader/>
        </w:trPr>
        <w:tc>
          <w:tcPr>
            <w:tcW w:w="1247"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Слово</w:t>
            </w:r>
          </w:p>
        </w:tc>
        <w:tc>
          <w:tcPr>
            <w:tcW w:w="2154"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Источник, № текста</w:t>
            </w:r>
          </w:p>
        </w:tc>
        <w:tc>
          <w:tcPr>
            <w:tcW w:w="5386"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Фрагмент</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ИИ</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 № 6</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«стремительное развитие ИИ, а заодно робототехники и биотехнологий заставило зумеров и альфа чаще представлять, как будет выглядеть жизнь в 3000 году, уверяет тренд-аналитик из Stylus Эрика Нг.»</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ИИ</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 № 14</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«Чат-бот с ИИ-стилистом не пошел.»</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ИИ</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 № 6</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«ИИ-образ» Кэти Перри на Met Gala — с зеркальной маской Miodrag Guberinic»</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нейросеть</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FRWF, № 127</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«Я хочу выглядеть как модель, созданная нейросетью»»</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GPT</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Moskvichka, № 124</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«Снобский неймдроппинг можно перевести в чате GPT или просто прогуглить.»</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алгоритм</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Posta-Magazine, № 156</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«в мире, подчиненном алгоритмам, именно ночь сохраняет свободу и непредсказуемость.»</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алгоритм</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Moskvichka, № 141</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«жизнь фиксируется в сетке алгоритмов.»</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виртуальный</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 № 14</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«Виртуальная примерка помогает бороться с невыкупами и возвратами?»</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соцсети</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 № 7</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«53% зумеров говорят, что контент в соцсетях смотреть интереснее, чем фильмы и сериалы, а 50% чувствуют более сильную связь с интернет-креаторами, чем с актерами и телеведущими.»</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цифровой</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Moskvichka, № 141</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«У цифровой триады — миллениалов, зумеров и альф — жизнь фиксируется в сетке алгоритмов.»</w:t>
            </w:r>
          </w:p>
        </w:tc>
      </w:tr>
      <w:tr>
        <w:trPr>
          <w:cantSplit/>
        </w:trPr>
        <w:tc>
          <w:tcPr>
            <w:tcW w:w="1247" w:type="dxa"/>
            <w:vAlign w:val="center"/>
          </w:tcPr>
          <w:p>
            <w:pPr>
              <w:spacing w:before="0" w:after="0" w:line="240" w:lineRule="auto"/>
              <w:ind w:firstLine="0"/>
              <w:jc w:val="left"/>
            </w:pPr>
            <w:r>
              <w:rPr>
                <w:rFonts w:ascii="Times New Roman" w:hAnsi="Times New Roman" w:cs="Times New Roman"/>
                <w:sz w:val="20"/>
                <w:szCs w:val="20"/>
                <w:lang w:val="ru-RU"/>
              </w:rPr>
              <w:t xml:space="preserve">цифровой</w:t>
            </w:r>
          </w:p>
        </w:tc>
        <w:tc>
          <w:tcPr>
            <w:tcW w:w="2154" w:type="dxa"/>
            <w:vAlign w:val="center"/>
          </w:tcPr>
          <w:p>
            <w:pPr>
              <w:spacing w:before="0" w:after="0" w:line="240" w:lineRule="auto"/>
              <w:ind w:firstLine="0"/>
              <w:jc w:val="left"/>
            </w:pPr>
            <w:r>
              <w:rPr>
                <w:rFonts w:ascii="Times New Roman" w:hAnsi="Times New Roman" w:cs="Times New Roman"/>
                <w:sz w:val="20"/>
                <w:szCs w:val="20"/>
                <w:lang w:val="ru-RU"/>
              </w:rPr>
              <w:t xml:space="preserve">MarieClaire, № 153</w:t>
            </w:r>
          </w:p>
        </w:tc>
        <w:tc>
          <w:tcPr>
            <w:tcW w:w="5386" w:type="dxa"/>
            <w:vAlign w:val="center"/>
          </w:tcPr>
          <w:p>
            <w:pPr>
              <w:spacing w:before="0" w:after="0" w:line="240" w:lineRule="auto"/>
              <w:ind w:firstLine="0"/>
              <w:jc w:val="left"/>
            </w:pPr>
            <w:r>
              <w:rPr>
                <w:rFonts w:ascii="Times New Roman" w:hAnsi="Times New Roman" w:cs="Times New Roman"/>
                <w:sz w:val="20"/>
                <w:szCs w:val="20"/>
                <w:lang w:val="ru-RU"/>
              </w:rPr>
              <w:t xml:space="preserve">«цифровая ностальгия»</w:t>
            </w:r>
          </w:p>
        </w:tc>
      </w:tr>
    </w:tbl>
    <w:p>
      <w:pPr>
        <w:spacing w:before="0" w:after="120" w:line="240" w:lineRule="auto"/>
        <w:ind w:firstLine="0"/>
      </w:pPr>
      <w:r>
        <w:rPr>
          <w:rFonts w:ascii="Times New Roman" w:hAnsi="Times New Roman" w:cs="Times New Roman"/>
          <w:sz w:val="24"/>
          <w:szCs w:val="24"/>
          <w:lang w:val="ru-RU"/>
        </w:rPr>
        <w:t xml:space="preserve"/>
      </w:r>
    </w:p>
    <w:p>
      <w:pPr>
        <w:keepNext/>
        <w:spacing w:before="240" w:after="120" w:line="240" w:lineRule="auto"/>
        <w:ind w:firstLine="0"/>
        <w:jc w:val="left"/>
      </w:pPr>
      <w:r>
        <w:rPr>
          <w:rFonts w:ascii="Times New Roman" w:hAnsi="Times New Roman" w:cs="Times New Roman"/>
          <w:sz w:val="28"/>
          <w:szCs w:val="28"/>
          <w:lang w:val="ru-RU"/>
        </w:rPr>
        <w:t xml:space="preserve">Таблица Г.2 — Число текстов с доминирующей темой Т1–Т8 по источникам</w:t>
      </w:r>
    </w:p>
    <w:tbl>
      <w:tblPr>
        <w:tblW w:w="86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68"/>
        <w:gridCol w:w="793"/>
        <w:gridCol w:w="793"/>
        <w:gridCol w:w="793"/>
        <w:gridCol w:w="793"/>
        <w:gridCol w:w="793"/>
        <w:gridCol w:w="793"/>
        <w:gridCol w:w="793"/>
        <w:gridCol w:w="793"/>
      </w:tblGrid>
      <w:tr>
        <w:trPr>
          <w:cantSplit/>
          <w:tblHeader/>
        </w:trPr>
        <w:tc>
          <w:tcPr>
            <w:tcW w:w="2268"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Источник</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Т1</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Т2</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Т3</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Т4</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Т5</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Т6</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Т7</w:t>
            </w:r>
          </w:p>
        </w:tc>
        <w:tc>
          <w:tcPr>
            <w:tcW w:w="793" w:type="dxa"/>
            <w:shd w:val="clear" w:color="auto" w:fill="F2F2F2"/>
            <w:vAlign w:val="center"/>
          </w:tcPr>
          <w:p>
            <w:pPr>
              <w:spacing w:before="0" w:after="0" w:line="240" w:lineRule="auto"/>
              <w:ind w:firstLine="0"/>
              <w:jc w:val="center"/>
            </w:pPr>
            <w:r>
              <w:rPr>
                <w:rFonts w:ascii="Times New Roman" w:hAnsi="Times New Roman" w:cs="Times New Roman"/>
                <w:b/>
                <w:sz w:val="20"/>
                <w:szCs w:val="20"/>
                <w:lang w:val="ru-RU"/>
              </w:rPr>
              <w:t xml:space="preserve">Т8</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The Blueprint</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7</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19</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SYMBOL</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14</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13</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26</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«Мнение редакции»</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Posta-Magazine</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6</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MarieClaire</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Moskvichka</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4</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Snob</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3</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2</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FRWF</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5</w:t>
            </w:r>
          </w:p>
        </w:tc>
      </w:tr>
      <w:tr>
        <w:trPr>
          <w:cantSplit/>
        </w:trPr>
        <w:tc>
          <w:tcPr>
            <w:tcW w:w="2268" w:type="dxa"/>
            <w:vAlign w:val="center"/>
          </w:tcPr>
          <w:p>
            <w:pPr>
              <w:spacing w:before="0" w:after="0" w:line="240" w:lineRule="auto"/>
              <w:ind w:firstLine="0"/>
              <w:jc w:val="left"/>
            </w:pPr>
            <w:r>
              <w:rPr>
                <w:rFonts w:ascii="Times New Roman" w:hAnsi="Times New Roman" w:cs="Times New Roman"/>
                <w:sz w:val="20"/>
                <w:szCs w:val="20"/>
                <w:lang w:val="ru-RU"/>
              </w:rPr>
              <w:t xml:space="preserve">The Voice</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1</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c>
          <w:tcPr>
            <w:tcW w:w="793" w:type="dxa"/>
            <w:vAlign w:val="center"/>
          </w:tcPr>
          <w:p>
            <w:pPr>
              <w:spacing w:before="0" w:after="0" w:line="240" w:lineRule="auto"/>
              <w:ind w:firstLine="0"/>
              <w:jc w:val="center"/>
            </w:pPr>
            <w:r>
              <w:rPr>
                <w:rFonts w:ascii="Times New Roman" w:hAnsi="Times New Roman" w:cs="Times New Roman"/>
                <w:sz w:val="20"/>
                <w:szCs w:val="20"/>
                <w:lang w:val="ru-RU"/>
              </w:rPr>
              <w:t xml:space="preserve">0</w:t>
            </w:r>
          </w:p>
        </w:tc>
      </w:tr>
    </w:tbl>
    <w:p>
      <w:pPr>
        <w:spacing w:before="0" w:after="120" w:line="240" w:lineRule="auto"/>
        <w:ind w:firstLine="0"/>
      </w:pPr>
      <w:r>
        <w:rPr>
          <w:rFonts w:ascii="Times New Roman" w:hAnsi="Times New Roman" w:cs="Times New Roman"/>
          <w:sz w:val="24"/>
          <w:szCs w:val="24"/>
          <w:lang w:val="ru-RU"/>
        </w:rPr>
        <w:t xml:space="preserve"/>
      </w:r>
    </w:p>
    <w:sectPr>
      <w:headerReference w:type="default" r:id="rId4"/>
      <w:footerReference w:type="default" r:id="rId5"/>
      <w:footerReference w:type="first" r:id="rId7"/>
      <w:pgSz w:w="11906" w:h="16838" w:orient="portrait"/>
      <w:pgMar w:top="1417" w:right="1134" w:bottom="1417" w:left="1701" w:header="709" w:footer="850"/>
      <w:titlePg/>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s>
</file>

<file path=word/footer1.xml><?xml version="1.0" encoding="utf-8"?>
<w:ftr xmlns:r="http://schemas.openxmlformats.org/officeDocument/2006/relationships" xmlns:w="http://schemas.openxmlformats.org/wordprocessingml/2006/main">
  <w:p>
    <w:pPr>
      <w:jc w:val="center"/>
      <w:rPr>
        <w:rFonts w:ascii="Times New Roman" w:hAnsi="Times New Roman" w:cs="Times New Roman"/>
        <w:sz w:val="24"/>
      </w:rPr>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2</w:t>
    </w:r>
    <w:r>
      <w:rPr>
        <w:rFonts w:ascii="Times New Roman" w:hAnsi="Times New Roman" w:cs="Times New Roman"/>
        <w:sz w:val="24"/>
      </w:rPr>
      <w:fldChar w:fldCharType="end"/>
    </w:r>
  </w:p>
</w:ftr>
</file>

<file path=word/footer2.xml><?xml version="1.0" encoding="utf-8"?>
<w:ftr xmlns:r="http://schemas.openxmlformats.org/officeDocument/2006/relationships" xmlns:w="http://schemas.openxmlformats.org/wordprocessingml/2006/main">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По умолчанию">
    <w:name w:val="По умолчанию"/>
    <w:next w:val="По умолчанию"/>
    <w:pPr>
      <w:keepNext w:val="0"/>
      <w:keepLines w:val="0"/>
      <w:pageBreakBefore w:val="0"/>
      <w:widowControl w:val="1"/>
      <w:shd w:val="clear" w:color="auto" w:fill="auto"/>
      <w:suppressAutoHyphens w:val="0"/>
      <w:bidi w:val="0"/>
      <w:spacing w:before="16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