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ЦИФРОВАЯ ТРАНСФОРМАЦИЯ МОДНОГО ДИСКУРСА</w:t>
      </w:r>
    </w:p>
    <w:p>
      <w:pPr>
        <w:jc w:val="center"/>
      </w:pPr>
      <w:r>
        <w:rPr>
          <w:sz w:val="28"/>
        </w:rPr>
        <w:t>Обзор проекта выпускной квалификационной работы</w:t>
      </w:r>
    </w:p>
    <w:p>
      <w:pPr>
        <w:jc w:val="center"/>
      </w:pPr>
      <w:r>
        <w:rPr>
          <w:sz w:val="22"/>
        </w:rPr>
        <w:t>Спринчан Ирина Андреевна. Направление 45.03.04 «Интеллектуальные системы в гуманитарной сфере». Южный федеральный университет</w:t>
      </w:r>
    </w:p>
    <w:p/>
    <w:p>
      <w:pPr>
        <w:pStyle w:val="Heading1"/>
      </w:pPr>
      <w:r>
        <w:t>1. Краткое описание проекта</w:t>
      </w:r>
    </w:p>
    <w:p>
      <w:r>
        <w:rPr>
          <w:i w:val="0"/>
        </w:rPr>
        <w:t>Работа посвящена русскоязычным онлайн-изданиям о моде. Сформирован корпус из 202 текстов девяти цифровых изданий за январь–сентябрь 2026 года и выполнен его анализ методами автоматической обработки текста. Исследуются три характеристики: жанровая структура, лексико-тематическое ядро и оценочность (тональность) текстов. Проверяется, зависят ли эти характеристики от жанра и от издания. Отдельно оценивается надёжность результатов; по итогам проверки часть первоначальных выводов уточнена. Теоретическая часть задаёт рамку: модный дискурс как институциональный тип дискурса, который трансформируется под влиянием цифровых платформ.</w:t>
      </w:r>
    </w:p>
    <w:p>
      <w:pPr>
        <w:pStyle w:val="Heading1"/>
      </w:pPr>
      <w:r>
        <w:t>2. Тема и её уточнение</w:t>
      </w:r>
    </w:p>
    <w:p>
      <w:r>
        <w:rPr>
          <w:i w:val="0"/>
        </w:rPr>
        <w:t>Действующая формулировка: «Цифровая трансформация модного дискурса: исследование с применением методов NLP». Формулировка охватывает широкую область (экономика, маркетинг, метавселенная, производство), тогда как предметом анализа являются тексты. Содержание исследования в тексте можно сформулировать так:</w:t>
      </w:r>
    </w:p>
    <w:p>
      <w:pPr>
        <w:spacing w:after="120"/>
        <w:ind w:left="567" w:right="283"/>
      </w:pPr>
      <w:r>
        <w:rPr>
          <w:i/>
        </w:rPr>
        <w:t>«В текстах русскоязычных онлайн-изданий о моде изучаются жанровая организация, преобладающие темы и лексика, а также выраженная в них оценка (тональность); проверяется зависимость этих характеристик от жанра и от издания»</w:t>
      </w:r>
      <w:r>
        <w:rPr>
          <w:sz w:val="21"/>
        </w:rPr>
        <w:t xml:space="preserve"> — предлагаемая формулировка содержания исследования</w:t>
      </w:r>
    </w:p>
    <w:p>
      <w:r>
        <w:rPr>
          <w:b/>
          <w:i w:val="0"/>
        </w:rPr>
        <w:t>Предлагаемая уточнённая тема (вариант А).</w:t>
      </w:r>
    </w:p>
    <w:p>
      <w:pPr>
        <w:ind w:left="454"/>
      </w:pPr>
      <w:r>
        <w:rPr>
          <w:i w:val="0"/>
        </w:rPr>
        <w:t>«Жанровые, тематические и оценочные характеристики русскоязычного модного медиадискурса в цифровых изданиях (корпусное исследование на материале 2026 года)». Вариант опирается на выполненную работу. «Цифровая трансформация» остаётся контекстом: цифровые издания как среда существования текстов. Изменение названия на титульном листе требует согласования.</w:t>
      </w:r>
    </w:p>
    <w:p>
      <w:pPr>
        <w:ind w:left="454"/>
      </w:pPr>
      <w:r>
        <w:rPr>
          <w:i w:val="0"/>
        </w:rPr>
        <w:t>Вариант Б: «Лексика цифровой сферы (искусственный интеллект, социальные сети, блогеры) в русскоязычных модных онлайн-медиа 2026 года». Материала недостаточно для самостоятельной работы: 301 употребление в 85 текстах из 202, слово «метавселенная» в корпусе отсутствует. Рекомендуется сохранить как отдельный параграф (§2.5).</w:t>
      </w:r>
    </w:p>
    <w:p>
      <w:pPr>
        <w:pStyle w:val="Heading1"/>
      </w:pPr>
      <w:r>
        <w:t>3. Объект, предмет, цель, задачи, гипотезы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1"/>
              </w:rPr>
              <w:t>Элемент</w:t>
            </w:r>
          </w:p>
        </w:tc>
        <w:tc>
          <w:tcPr>
            <w:tcW w:type="dxa" w:w="7540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1"/>
              </w:rPr>
              <w:t>Формулировка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Объект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Русскоязычный модный медиадискурс в цифровых изданиях.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Предмет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Жанровая принадлежность, лексико-тематическая организация и оценочность (тональность) текстов этого дискурса, а также их зависимость от жанра и издания.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Цель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Выявить и описать жанровые, лексико-тематические и оценочные особенности русскоязычного цифрового модного дискурса методами корпусного анализа и обработки естественного языка.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Материал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Корпус из 202 текстов девяти российских цифровых изданий о моде, опубликованных в январе–сентябре 2026 года (около 162 тысяч слов).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Методы</w:t>
            </w:r>
          </w:p>
        </w:tc>
        <w:tc>
          <w:tcPr>
            <w:tcW w:type="dxa" w:w="7540"/>
          </w:tcPr>
          <w:p>
            <w:pPr>
              <w:spacing w:after="40" w:line="240" w:lineRule="auto"/>
            </w:pPr>
            <w:r/>
            <w:r>
              <w:rPr>
                <w:sz w:val="21"/>
              </w:rPr>
              <w:t>Дискурс-анализ; формирование корпуса; частотный анализ; коллокации (PMI); ключевые слова (G²); тематическое моделирование (LDA); стилометрия (длина предложения, TTR, MATTR); анализ тональности (нейросетевая модель); точный тест Фишера; проверка устойчивости результатов.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Задачи:</w:t>
      </w:r>
    </w:p>
    <w:p>
      <w:pPr>
        <w:spacing w:after="60"/>
        <w:ind w:left="510" w:hanging="340"/>
      </w:pPr>
      <w:r>
        <w:t xml:space="preserve">1. </w:t>
      </w:r>
      <w:r>
        <w:t>Описать модный дискурс и его жанры по литературе.</w:t>
      </w:r>
    </w:p>
    <w:p>
      <w:pPr>
        <w:spacing w:after="60"/>
        <w:ind w:left="510" w:hanging="340"/>
      </w:pPr>
      <w:r>
        <w:t xml:space="preserve">2. </w:t>
      </w:r>
      <w:r>
        <w:t>Сформировать корпус и зафиксировать критерии отбора и разметки.</w:t>
      </w:r>
    </w:p>
    <w:p>
      <w:pPr>
        <w:spacing w:after="60"/>
        <w:ind w:left="510" w:hanging="340"/>
      </w:pPr>
      <w:r>
        <w:t xml:space="preserve">3. </w:t>
      </w:r>
      <w:r>
        <w:t>Описать лексическое ядро и устойчивые сочетания.</w:t>
      </w:r>
    </w:p>
    <w:p>
      <w:pPr>
        <w:spacing w:after="60"/>
        <w:ind w:left="510" w:hanging="340"/>
      </w:pPr>
      <w:r>
        <w:t xml:space="preserve">4. </w:t>
      </w:r>
      <w:r>
        <w:t>Выявить темы и сопоставить их с жанрами.</w:t>
      </w:r>
    </w:p>
    <w:p>
      <w:pPr>
        <w:spacing w:after="60"/>
        <w:ind w:left="510" w:hanging="340"/>
      </w:pPr>
      <w:r>
        <w:t xml:space="preserve">5. </w:t>
      </w:r>
      <w:r>
        <w:t>Оценить тональность и сравнить издания.</w:t>
      </w:r>
    </w:p>
    <w:p>
      <w:pPr>
        <w:spacing w:after="60"/>
        <w:ind w:left="510" w:hanging="340"/>
      </w:pPr>
      <w:r>
        <w:t xml:space="preserve">6. </w:t>
      </w:r>
      <w:r>
        <w:t>Проверить устойчивость результатов и определить границы их интерпретации.</w:t>
      </w:r>
    </w:p>
    <w:p>
      <w:r>
        <w:rPr>
          <w:b/>
          <w:i w:val="0"/>
        </w:rPr>
        <w:t>Гипотезы:</w:t>
      </w:r>
    </w:p>
    <w:p>
      <w:pPr>
        <w:pStyle w:val="ListBullet"/>
        <w:spacing w:after="60"/>
        <w:ind w:left="510"/>
      </w:pPr>
      <w:r>
        <w:rPr>
          <w:b/>
        </w:rPr>
        <w:t>Г1.</w:t>
      </w:r>
      <w:r>
        <w:t xml:space="preserve"> тематическая организация текстов связана с жанром. Итог: подтверждается с оговорками (связь реальна, но умеренна; темы нестабильны при пересчёте).</w:t>
      </w:r>
    </w:p>
    <w:p>
      <w:pPr>
        <w:pStyle w:val="ListBullet"/>
        <w:spacing w:after="60"/>
        <w:ind w:left="510"/>
      </w:pPr>
      <w:r>
        <w:rPr>
          <w:b/>
        </w:rPr>
        <w:t>Г2.</w:t>
      </w:r>
      <w:r>
        <w:t xml:space="preserve"> тональность зависит от издания, а не только от жанра. Итог: внутри жанра «тенденции» различие The Blueprint и SYMBOL значимо (p = 0,0156); расчёт тональности подлежит повторной проверке.</w:t>
      </w:r>
    </w:p>
    <w:p>
      <w:pPr>
        <w:pStyle w:val="ListBullet"/>
        <w:spacing w:after="60"/>
        <w:ind w:left="510"/>
      </w:pPr>
      <w:r>
        <w:rPr>
          <w:b/>
        </w:rPr>
        <w:t>Г3.</w:t>
      </w:r>
      <w:r>
        <w:t xml:space="preserve"> цифровая трансформация отражается в лексике заметными слоями платформенной и технологической лексики. Итог: подтверждается частично (соцсети, блогеры, искусственный интеллект), но не как терминология метавселенной.</w:t>
      </w:r>
    </w:p>
    <w:p>
      <w:pPr>
        <w:pStyle w:val="Heading1"/>
      </w:pPr>
      <w:r>
        <w:t>4. Теоретические концепции</w:t>
      </w:r>
    </w:p>
    <w:p>
      <w:r>
        <w:rPr>
          <w:i w:val="0"/>
        </w:rPr>
        <w:t>Источники указаны по тексту Главы 1; часть из них не проверялась по первоисточнику и подлежит сверке.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1871"/>
        <w:gridCol w:w="2721"/>
        <w:gridCol w:w="2438"/>
        <w:gridCol w:w="2324"/>
      </w:tblGrid>
      <w:tr>
        <w:trPr>
          <w:tblHeader/>
        </w:trPr>
        <w:tc>
          <w:tcPr>
            <w:tcW w:type="dxa" w:w="1871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Концепция</w:t>
            </w:r>
          </w:p>
        </w:tc>
        <w:tc>
          <w:tcPr>
            <w:tcW w:type="dxa" w:w="2721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Назначение в работе</w:t>
            </w:r>
          </w:p>
        </w:tc>
        <w:tc>
          <w:tcPr>
            <w:tcW w:type="dxa" w:w="2438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Опора в списке литературы</w:t>
            </w:r>
          </w:p>
        </w:tc>
        <w:tc>
          <w:tcPr>
            <w:tcW w:type="dxa" w:w="232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Где используется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Дискурс, институциональный дискурс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Модный дискурс — речь институтов (дома, издания, организаторы показов), а не частных лиц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Никитина (2015), Гаран (2018)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§1.1; обоснование выбора изданий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Функции и терминология модного дискурса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Рекламная, информирующая, инструктирующая, имидж-функции; французский и английский пласты терминов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Гаран, Дедюхина и Дедюхин, Борисова и Федорова, Уренкова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§1.1; §2.2 (лексика, латиница)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Неологизация и заимствования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Постоянное обновление моды; освоение англицизмов словообразованием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Ерпилова, Гальцева, Маринова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§1.1; §2.2 (суффикс -инг, дефисные единицы)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Цифровая трансформация индустрии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Три уровня: экономика, маркетинг и коммуникация, технологии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Долженко, Календжян, Коробцева и Романов, Панькина и др., Шумский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§1.2; §2.5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Жанр медиатекста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Жанр как устойчивый тип высказывания; типология медиатекстов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Сыресина и Медведева (через Бахтина), Добросклонская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§1.3; разметка жанров в §2.1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Платформенная логика и алгоритмы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Ленты и алгоритмы поощряют быстрый, «трендовый» контент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The Business of Fashion через The Blueprint (§2.4)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§2.4; прямых лексических свидетельств в корпусе мало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Анализ тональности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Оценка как измеримая характеристика текста; на русском языке точность ниже, чем на английском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Двойникова и Карпов (2020), Наумов и Кореева (2026)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§1.4; §2.3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Корпусные и статистические методы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Частоты, коллокации, ключевые слова, темы; ограничения каждого метода</w:t>
            </w:r>
          </w:p>
        </w:tc>
        <w:tc>
          <w:tcPr>
            <w:tcW w:type="dxa" w:w="243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Большакова и др.; Church и Hanks (1990), Dunning (1993), Blei и др. (2003), Bestgen, Devlin и др. (2019)</w:t>
            </w:r>
          </w:p>
        </w:tc>
        <w:tc>
          <w:tcPr>
            <w:tcW w:type="dxa" w:w="232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§1.4; §2.2; §2.6</w:t>
            </w:r>
          </w:p>
        </w:tc>
      </w:tr>
    </w:tbl>
    <w:p>
      <w:pPr>
        <w:spacing w:after="80"/>
      </w:pPr>
    </w:p>
    <w:p>
      <w:pPr>
        <w:pStyle w:val="Heading1"/>
      </w:pPr>
      <w:r>
        <w:t>5. Материал исследования</w:t>
      </w:r>
    </w:p>
    <w:p>
      <w:pPr>
        <w:pStyle w:val="Heading2"/>
      </w:pPr>
      <w:r>
        <w:t>5.1. Принцип отбора изданий</w:t>
      </w:r>
    </w:p>
    <w:p>
      <w:r>
        <w:rPr>
          <w:i w:val="0"/>
        </w:rPr>
        <w:t>Отбор выполнялся по трём содержательным критериям и одному техническому.</w:t>
      </w:r>
    </w:p>
    <w:p>
      <w:pPr>
        <w:pStyle w:val="ListBullet"/>
        <w:spacing w:after="60"/>
        <w:ind w:left="510"/>
      </w:pPr>
      <w:r>
        <w:rPr>
          <w:b/>
        </w:rPr>
        <w:t>Цифровая природа:</w:t>
      </w:r>
      <w:r>
        <w:t xml:space="preserve"> источник по природе цифровой или полностью перешёл в цифровой формат; оцифрованные копии печатных изданий не рассматривались;</w:t>
      </w:r>
    </w:p>
    <w:p>
      <w:pPr>
        <w:pStyle w:val="ListBullet"/>
        <w:spacing w:after="60"/>
        <w:ind w:left="510"/>
      </w:pPr>
      <w:r>
        <w:rPr>
          <w:b/>
        </w:rPr>
        <w:t>Актуальность:</w:t>
      </w:r>
      <w:r>
        <w:t xml:space="preserve"> издание активно обновляется, что обеспечивает синхронный срез 2026 года;</w:t>
      </w:r>
    </w:p>
    <w:p>
      <w:pPr>
        <w:pStyle w:val="ListBullet"/>
        <w:spacing w:after="60"/>
        <w:ind w:left="510"/>
      </w:pPr>
      <w:r>
        <w:rPr>
          <w:b/>
        </w:rPr>
        <w:t>Жанровая неоднородность:</w:t>
      </w:r>
      <w:r>
        <w:t xml:space="preserve"> в корпусе представлены разные жанры, что необходимо для анализа жанровой специфики;</w:t>
      </w:r>
    </w:p>
    <w:p>
      <w:pPr>
        <w:pStyle w:val="ListBullet"/>
        <w:spacing w:after="60"/>
        <w:ind w:left="510"/>
      </w:pPr>
      <w:r>
        <w:rPr>
          <w:b/>
        </w:rPr>
        <w:t>Техническая доступность:</w:t>
      </w:r>
      <w:r>
        <w:t xml:space="preserve"> сбор выполняется программно, поэтому использованы только сайты, правила которых (файл robots.txt) допускают автоматическое извлечение; ограничения не обходились.</w:t>
      </w:r>
    </w:p>
    <w:p>
      <w:r>
        <w:rPr>
          <w:i w:val="0"/>
        </w:rPr>
        <w:t>Принцип отбора — критерии с учётом технической доступности; теоретическая (вероятностная) выборка не применялась. Это необходимо указать в тексте работы.</w:t>
      </w:r>
    </w:p>
    <w:p>
      <w:pPr>
        <w:pStyle w:val="Heading2"/>
      </w:pPr>
      <w:r>
        <w:t>5.2. Состав корпуса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2154"/>
        <w:gridCol w:w="1020"/>
        <w:gridCol w:w="850"/>
        <w:gridCol w:w="5329"/>
      </w:tblGrid>
      <w:tr>
        <w:trPr>
          <w:tblHeader/>
        </w:trPr>
        <w:tc>
          <w:tcPr>
            <w:tcW w:type="dxa" w:w="215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1020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Текстов</w:t>
            </w:r>
          </w:p>
        </w:tc>
        <w:tc>
          <w:tcPr>
            <w:tcW w:type="dxa" w:w="850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Доля</w:t>
            </w:r>
          </w:p>
        </w:tc>
        <w:tc>
          <w:tcPr>
            <w:tcW w:type="dxa" w:w="5329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Сведения об издании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The Blueprint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66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33%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Независимое аналитическое издание; исходно выбранный источник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SYMBOL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65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32%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Глянцевый журнал; исходно выбранный источник; входил в материал Уренковой (2023)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«Мнение редакции»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9%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Требуется описание (тип издания, рубрики)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Posta-Magazine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7%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Требуется описание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MarieClaire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6%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Требуется описание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Moskvichka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4%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Требуется описание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Snob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Требуется описание; самые длинные тексты (в среднем около 1 260 слов)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FRWF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3%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Требуется описание; короткие тексты (около 320 слов)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The Voice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&lt;1%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Преемник Cosmopolitan Russia; технически доступен, но плохо поддаётся автоматическому сбору</w:t>
            </w:r>
          </w:p>
        </w:tc>
      </w:tr>
      <w:tr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Всего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202</w:t>
            </w:r>
          </w:p>
        </w:tc>
        <w:tc>
          <w:tcPr>
            <w:tcW w:type="dxa" w:w="850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100%</w:t>
            </w:r>
          </w:p>
        </w:tc>
        <w:tc>
          <w:tcPr>
            <w:tcW w:type="dxa" w:w="5329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около 162 тысяч слов, январь–сентябрь 2026 года</w:t>
            </w:r>
          </w:p>
        </w:tc>
      </w:tr>
    </w:tbl>
    <w:p>
      <w:pPr>
        <w:spacing w:after="80"/>
      </w:pPr>
    </w:p>
    <w:p>
      <w:r>
        <w:rPr>
          <w:i w:val="0"/>
        </w:rPr>
        <w:t>Ограничения состава: два издания дают 65% текстов, The Voice представлен одним текстом, сведения о шести изданиях в тексте работы отсутствуют. Для каждого из них необходимо дать краткую характеристику по сайту издания: тип, аудитория, рубрики, соответствие критериям отбора.</w:t>
      </w:r>
    </w:p>
    <w:p>
      <w:pPr>
        <w:pStyle w:val="Heading2"/>
      </w:pPr>
      <w:r>
        <w:t>5.3. Исключённые источники</w:t>
      </w:r>
    </w:p>
    <w:p>
      <w:pPr>
        <w:pStyle w:val="ListBullet"/>
        <w:spacing w:after="60"/>
        <w:ind w:left="510"/>
      </w:pPr>
      <w:r>
        <w:rPr>
          <w:b/>
        </w:rPr>
        <w:t>Elle.ru и Buro247.ru:</w:t>
      </w:r>
      <w:r>
        <w:t xml:space="preserve"> автоматический сбор запрещён в robots.txt;</w:t>
      </w:r>
    </w:p>
    <w:p>
      <w:pPr>
        <w:pStyle w:val="ListBullet"/>
        <w:spacing w:after="60"/>
        <w:ind w:left="510"/>
      </w:pPr>
      <w:r>
        <w:rPr>
          <w:b/>
        </w:rPr>
        <w:t>Forbes.ru и Pravilamag.ru:</w:t>
      </w:r>
      <w:r>
        <w:t xml:space="preserve"> пустое содержимое страниц (вероятно, требуется JavaScript или действует пейвол);</w:t>
      </w:r>
    </w:p>
    <w:p>
      <w:pPr>
        <w:pStyle w:val="ListBullet"/>
        <w:spacing w:after="60"/>
        <w:ind w:left="510"/>
      </w:pPr>
      <w:r>
        <w:rPr>
          <w:b/>
        </w:rPr>
        <w:t>PROfashion:</w:t>
      </w:r>
      <w:r>
        <w:t xml:space="preserve"> деловое B2B-издание; технические сбои при сборе;</w:t>
      </w:r>
    </w:p>
    <w:p>
      <w:pPr>
        <w:pStyle w:val="ListBullet"/>
        <w:spacing w:after="60"/>
        <w:ind w:left="510"/>
      </w:pPr>
      <w:r>
        <w:rPr>
          <w:b/>
        </w:rPr>
        <w:t>Нетематические ресурсы:</w:t>
      </w:r>
      <w:r>
        <w:t xml:space="preserve"> издания по истории, поп-культуре и блог патентного бюро; не специализируются на моде.</w:t>
      </w:r>
    </w:p>
    <w:p>
      <w:pPr>
        <w:pStyle w:val="Heading2"/>
      </w:pPr>
      <w:r>
        <w:t>5.4. Порядок сбора и подготовки материала</w:t>
      </w:r>
    </w:p>
    <w:p>
      <w:pPr>
        <w:spacing w:after="60"/>
        <w:ind w:left="510" w:hanging="340"/>
      </w:pPr>
      <w:r>
        <w:t xml:space="preserve">1. </w:t>
      </w:r>
      <w:r>
        <w:rPr>
          <w:b/>
        </w:rPr>
        <w:t xml:space="preserve">Критерии и проверка доступа. </w:t>
      </w:r>
      <w:r>
        <w:t>Выбор изданий по критериям; проверка robots.txt каждого сайта.</w:t>
      </w:r>
    </w:p>
    <w:p>
      <w:pPr>
        <w:spacing w:after="60"/>
        <w:ind w:left="510" w:hanging="340"/>
      </w:pPr>
      <w:r>
        <w:t xml:space="preserve">2. </w:t>
      </w:r>
      <w:r>
        <w:rPr>
          <w:b/>
        </w:rPr>
        <w:t xml:space="preserve">Список адресов. </w:t>
      </w:r>
      <w:r>
        <w:t>Сбор адресов статей из модных рубрик изданий (тренды, показы, подборки, интервью, колонки).</w:t>
      </w:r>
    </w:p>
    <w:p>
      <w:pPr>
        <w:spacing w:after="60"/>
        <w:ind w:left="510" w:hanging="340"/>
      </w:pPr>
      <w:r>
        <w:t xml:space="preserve">3. </w:t>
      </w:r>
      <w:r>
        <w:rPr>
          <w:b/>
        </w:rPr>
        <w:t xml:space="preserve">Проверка даты. </w:t>
      </w:r>
      <w:r>
        <w:t>Дата публикации каждой страницы проверена по метаданным; тексты, опубликованные до 2026 года (в том числе с «ss26» в адресе), исключены.</w:t>
      </w:r>
    </w:p>
    <w:p>
      <w:pPr>
        <w:spacing w:after="60"/>
        <w:ind w:left="510" w:hanging="340"/>
      </w:pPr>
      <w:r>
        <w:t xml:space="preserve">4. </w:t>
      </w:r>
      <w:r>
        <w:rPr>
          <w:b/>
        </w:rPr>
        <w:t xml:space="preserve">Извлечение текста. </w:t>
      </w:r>
      <w:r>
        <w:t>Программа на Python с библиотекой trafilatura скачивает страницу и выделяет основной текст без навигации и рекламы. На раннем этапе использовались пересказы; методологическая проблема выявлена и устранена, в корпусе — подлинный текст.</w:t>
      </w:r>
    </w:p>
    <w:p>
      <w:pPr>
        <w:spacing w:after="60"/>
        <w:ind w:left="510" w:hanging="340"/>
      </w:pPr>
      <w:r>
        <w:t xml:space="preserve">5. </w:t>
      </w:r>
      <w:r>
        <w:rPr>
          <w:b/>
        </w:rPr>
        <w:t xml:space="preserve">Метаданные. </w:t>
      </w:r>
      <w:r>
        <w:t>Для каждого текста: номер, источник, жанр, автор, дата, заголовок, адрес, текст. Формат хранения — JSON.</w:t>
      </w:r>
    </w:p>
    <w:p>
      <w:pPr>
        <w:spacing w:after="60"/>
        <w:ind w:left="510" w:hanging="340"/>
      </w:pPr>
      <w:r>
        <w:t xml:space="preserve">6. </w:t>
      </w:r>
      <w:r>
        <w:rPr>
          <w:b/>
        </w:rPr>
        <w:t xml:space="preserve">Жанровая разметка. </w:t>
      </w:r>
      <w:r>
        <w:t>Каждому тексту присвоена жанровая метка (20 меток, из них 11 с не менее чем пятью текстами). Критерии разметки и порядок её выполнения требуют описания; необходима ручная проверка выборки (около 30 текстов).</w:t>
      </w:r>
    </w:p>
    <w:p>
      <w:pPr>
        <w:spacing w:after="60"/>
        <w:ind w:left="510" w:hanging="340"/>
      </w:pPr>
      <w:r>
        <w:t xml:space="preserve">7. </w:t>
      </w:r>
      <w:r>
        <w:rPr>
          <w:b/>
        </w:rPr>
        <w:t xml:space="preserve">Предобработка. </w:t>
      </w:r>
      <w:r>
        <w:t>Токенизация, приведение к нижнему регистру, удаление пунктуации, цифр и стоп-слов, лемматизация (pymorphy3). Из 154 706 токенов получено 101 847 лемм; словарь — 16 395 уникальных лемм.</w:t>
      </w:r>
    </w:p>
    <w:p>
      <w:pPr>
        <w:pStyle w:val="Heading1"/>
      </w:pPr>
      <w:r>
        <w:t>6. Методы обработки текстов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1814"/>
        <w:gridCol w:w="3402"/>
        <w:gridCol w:w="4139"/>
      </w:tblGrid>
      <w:tr>
        <w:trPr>
          <w:tblHeader/>
        </w:trPr>
        <w:tc>
          <w:tcPr>
            <w:tcW w:type="dxa" w:w="1814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Шаг</w:t>
            </w:r>
          </w:p>
        </w:tc>
        <w:tc>
          <w:tcPr>
            <w:tcW w:type="dxa" w:w="3402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4139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Частоты лемм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Определение терминологического ядра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весна-лето (588), бренд (571), образ (511), модный (501), мода (439), коллекция (427), сезон (409)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Коллокации (PMI, частота)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Выявление устойчивых сочетаний соседних слов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По частоте: осень зима (179), saint laurent (91), неделя мода (76); по PMI преобладают имена собственные; выявлены навигационные шаблоны («рассказать ниже»)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Латиница, модные дома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Доля слов латиницей и упоминания брендов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Латиница — 6% токенов (преимущественно названия брендов); чаще всего упоминаются Chanel (163), Dior (157), Prada (152)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Ключевые слова (G²)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Сравнение лексики изданий и жанров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The Blueprint — показы, рынок, бренды; SYMBOL — подборки, гардероб, палитра, комплект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Темы (LDA, 8 тем)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Автоматическое выделение тем и сопоставление с жанрами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Тема «кампании и капсулы» совпала с жанром «выбор/дайджест» в 11 из 13 текстов; разбиение нестабильно при пересчёте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Стилометрия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Длина предложения, лексическая плотность, лексическое разнообразие (TTR, MATTR)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Короткие предложения в жанрах «выбор» и «украшения» (14,6 и 12,9 слов); «мнение» — наибольшее разнообразие по MATTR (0,804)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Тональность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Классификация текстов: позитивная, нейтральная, негативная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110 позитивных (54,5%), 89 нейтральных, 3 негативных; различие The Blueprint и SYMBOL внутри «тенденций» (p = 0,0156)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Цифровая лексика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Подсчёт слов по темам: искусственный интеллект, соцсети, блогеры, алгоритмы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301 употребление в 85 текстах; «метавселенная» — 0; «алгоритм» — 4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Проверка устойчивости</w:t>
            </w:r>
          </w:p>
        </w:tc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Десять запусков LDA с разной инициализацией; сопоставление TTR и MATTR</w:t>
            </w:r>
          </w:p>
        </w:tc>
        <w:tc>
          <w:tcPr>
            <w:tcW w:type="dxa" w:w="4139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Темы воспроизводятся частично; простой TTR зависит от длины текста</w:t>
            </w:r>
          </w:p>
        </w:tc>
      </w:tr>
    </w:tbl>
    <w:p>
      <w:pPr>
        <w:spacing w:after="80"/>
      </w:pPr>
    </w:p>
    <w:p>
      <w:pPr>
        <w:pStyle w:val="Heading1"/>
      </w:pPr>
      <w:r>
        <w:t>7. Структура работы</w:t>
      </w:r>
    </w:p>
    <w:p>
      <w:pPr>
        <w:pStyle w:val="Heading3"/>
      </w:pPr>
      <w:r>
        <w:t>Введение</w:t>
      </w:r>
    </w:p>
    <w:p>
      <w:r>
        <w:rPr>
          <w:i w:val="0"/>
        </w:rPr>
        <w:t>Актуальность, степень разработанности, объект, предмет, цель, задачи, гипотезы, материал, методы, значимость, структура. Исходный тезис: индустрия моды переходит в цифровую среду, а язык цифровых модных медиа на русском материале количественными методами изучен недостаточно.</w:t>
      </w:r>
    </w:p>
    <w:p>
      <w:pPr>
        <w:pStyle w:val="Heading3"/>
      </w:pPr>
      <w:r>
        <w:t>Глава 1. Теоретические основы</w:t>
      </w:r>
    </w:p>
    <w:p>
      <w:pPr>
        <w:pStyle w:val="ListBullet"/>
        <w:spacing w:after="60"/>
        <w:ind w:left="510"/>
      </w:pPr>
      <w:r>
        <w:rPr>
          <w:b/>
        </w:rPr>
        <w:t>1.1.</w:t>
      </w:r>
      <w:r>
        <w:t xml:space="preserve"> модный дискурс как институциональный тип дискурса: функции (рекламная, информирующая, инструктирующая, имидж-определяющая), гибридная терминология (французские термины и англицизмы, в частности fashion), высокая неологизация.</w:t>
      </w:r>
    </w:p>
    <w:p>
      <w:pPr>
        <w:pStyle w:val="ListBullet"/>
        <w:spacing w:after="60"/>
        <w:ind w:left="510"/>
      </w:pPr>
      <w:r>
        <w:rPr>
          <w:b/>
        </w:rPr>
        <w:t>1.2.</w:t>
      </w:r>
      <w:r>
        <w:t xml:space="preserve"> цифровая трансформация на трёх уровнях: организационно-экономическом, маркетингово-коммуникативном и технологическом (метавселенная, цифровая одежда, искусственный интеллект); кейсы Hanifa, Шуду, игровые коллаборации Gucci.</w:t>
      </w:r>
    </w:p>
    <w:p>
      <w:pPr>
        <w:pStyle w:val="ListBullet"/>
        <w:spacing w:after="60"/>
        <w:ind w:left="510"/>
      </w:pPr>
      <w:r>
        <w:rPr>
          <w:b/>
        </w:rPr>
        <w:t>1.3.</w:t>
      </w:r>
      <w:r>
        <w:t xml:space="preserve"> новые жанровые формы цифровой среды (модный блог, гибридные показы); интернет как источник новой лексики; рабочая жанровая разметка.</w:t>
      </w:r>
    </w:p>
    <w:p>
      <w:pPr>
        <w:pStyle w:val="ListBullet"/>
        <w:spacing w:after="60"/>
        <w:ind w:left="510"/>
      </w:pPr>
      <w:r>
        <w:rPr>
          <w:b/>
        </w:rPr>
        <w:t>1.4.</w:t>
      </w:r>
      <w:r>
        <w:t xml:space="preserve"> методы автоматического анализа: предобработка, PMI, LDA, BERT, TTR и MATTR, G², тест Фишера и их ограничения.</w:t>
      </w:r>
    </w:p>
    <w:p>
      <w:pPr>
        <w:pStyle w:val="Heading3"/>
      </w:pPr>
      <w:r>
        <w:t>Глава 2. Эмпирическое исследование</w:t>
      </w:r>
    </w:p>
    <w:p>
      <w:pPr>
        <w:pStyle w:val="ListBullet"/>
        <w:spacing w:after="60"/>
        <w:ind w:left="510"/>
      </w:pPr>
      <w:r>
        <w:rPr>
          <w:b/>
        </w:rPr>
        <w:t>2.1.</w:t>
      </w:r>
      <w:r>
        <w:t xml:space="preserve"> критерии отбора, состав корпуса, порядок сбора, метаданные, жанровая разметка, связь жанра и источника, раскрытие использования ИИ.</w:t>
      </w:r>
    </w:p>
    <w:p>
      <w:pPr>
        <w:pStyle w:val="ListBullet"/>
        <w:spacing w:after="60"/>
        <w:ind w:left="510"/>
      </w:pPr>
      <w:r>
        <w:rPr>
          <w:b/>
        </w:rPr>
        <w:t>2.2.</w:t>
      </w:r>
      <w:r>
        <w:t xml:space="preserve"> частоты, коллокации, латиница, бренды, ключевые слова, темы LDA, стилометрия.</w:t>
      </w:r>
    </w:p>
    <w:p>
      <w:pPr>
        <w:pStyle w:val="ListBullet"/>
        <w:spacing w:after="60"/>
        <w:ind w:left="510"/>
      </w:pPr>
      <w:r>
        <w:rPr>
          <w:b/>
        </w:rPr>
        <w:t>2.3.</w:t>
      </w:r>
      <w:r>
        <w:t xml:space="preserve"> распределение тональности, различие изданий.</w:t>
      </w:r>
    </w:p>
    <w:p>
      <w:pPr>
        <w:pStyle w:val="ListBullet"/>
        <w:spacing w:after="60"/>
        <w:ind w:left="510"/>
      </w:pPr>
      <w:r>
        <w:rPr>
          <w:b/>
        </w:rPr>
        <w:t>2.4.</w:t>
      </w:r>
      <w:r>
        <w:t xml:space="preserve"> платформенные алгоритмы как объяснительная рамка: доля жанра «тенденции» (36%), позитивность, соотношение коротких и длинных текстов.</w:t>
      </w:r>
    </w:p>
    <w:p>
      <w:pPr>
        <w:pStyle w:val="ListBullet"/>
        <w:spacing w:after="60"/>
        <w:ind w:left="510"/>
      </w:pPr>
      <w:r>
        <w:rPr>
          <w:b/>
        </w:rPr>
        <w:t>2.5.</w:t>
      </w:r>
      <w:r>
        <w:t xml:space="preserve"> объём и характер цифровой лексики в корпусе.</w:t>
      </w:r>
    </w:p>
    <w:p>
      <w:pPr>
        <w:pStyle w:val="ListBullet"/>
        <w:spacing w:after="60"/>
        <w:ind w:left="510"/>
      </w:pPr>
      <w:r>
        <w:rPr>
          <w:b/>
        </w:rPr>
        <w:t>2.6.</w:t>
      </w:r>
      <w:r>
        <w:t xml:space="preserve"> ограничения, устойчивость, воспроизводимость.</w:t>
      </w:r>
    </w:p>
    <w:p>
      <w:pPr>
        <w:pStyle w:val="Heading3"/>
      </w:pPr>
      <w:r>
        <w:t>Заключение, список литературы, приложения</w:t>
      </w:r>
    </w:p>
    <w:p>
      <w:r>
        <w:rPr>
          <w:i w:val="0"/>
        </w:rPr>
        <w:t>Заключение содержит итоги по гипотезам и перспективы (деловой B2B-сегмент, аспектный анализ тональности, модели без ограничения на длину текста). Приложения: А — код сбора корпуса; Б — паспорт 202 текстов; В — таблицы частот и PMI; Г — контексты цифровой лексики и распределение тем по источникам.</w:t>
      </w:r>
    </w:p>
    <w:p>
      <w:pPr>
        <w:pStyle w:val="Heading1"/>
      </w:pPr>
      <w:r>
        <w:t>8. Основные результаты и ограничения</w:t>
      </w:r>
    </w:p>
    <w:p>
      <w:pPr>
        <w:spacing w:after="60"/>
        <w:ind w:left="510" w:hanging="340"/>
      </w:pPr>
      <w:r>
        <w:t xml:space="preserve">1. </w:t>
      </w:r>
      <w:r>
        <w:rPr>
          <w:b/>
        </w:rPr>
        <w:t>Лексика:</w:t>
      </w:r>
      <w:r>
        <w:t xml:space="preserve"> ядро — сезоны, бренды, коллекции, предметы гардероба и стилистическое описание; среди тридцати самых частотных лемм цифровых нет.</w:t>
      </w:r>
    </w:p>
    <w:p>
      <w:pPr>
        <w:spacing w:after="60"/>
        <w:ind w:left="510" w:hanging="340"/>
      </w:pPr>
      <w:r>
        <w:t xml:space="preserve">2. </w:t>
      </w:r>
      <w:r>
        <w:rPr>
          <w:b/>
        </w:rPr>
        <w:t>Жанры:</w:t>
      </w:r>
      <w:r>
        <w:t xml:space="preserve"> жанр «тенденции» — самый крупный (73 текста, 36%).</w:t>
      </w:r>
    </w:p>
    <w:p>
      <w:pPr>
        <w:spacing w:after="60"/>
        <w:ind w:left="510" w:hanging="340"/>
      </w:pPr>
      <w:r>
        <w:t xml:space="preserve">3. </w:t>
      </w:r>
      <w:r>
        <w:rPr>
          <w:b/>
        </w:rPr>
        <w:t>Лексическое разнообразие:</w:t>
      </w:r>
      <w:r>
        <w:t xml:space="preserve"> вывод о низкой лексической разнообразности жанра «тенденции» по простому TTR обусловлен объёмом выборки; по MATTR жанр занимает среднюю позицию, наибольшее разнообразие у жанра «мнение» (малая выборка, 5 текстов).</w:t>
      </w:r>
    </w:p>
    <w:p>
      <w:pPr>
        <w:spacing w:after="60"/>
        <w:ind w:left="510" w:hanging="340"/>
      </w:pPr>
      <w:r>
        <w:t xml:space="preserve">4. </w:t>
      </w:r>
      <w:r>
        <w:rPr>
          <w:b/>
        </w:rPr>
        <w:t>Темы:</w:t>
      </w:r>
      <w:r>
        <w:t xml:space="preserve"> связь тем с жанром реальна, но умеренна; темы нестабильны при смене инициализации (ARI 0,17–0,28).</w:t>
      </w:r>
    </w:p>
    <w:p>
      <w:pPr>
        <w:spacing w:after="60"/>
        <w:ind w:left="510" w:hanging="340"/>
      </w:pPr>
      <w:r>
        <w:t xml:space="preserve">5. </w:t>
      </w:r>
      <w:r>
        <w:rPr>
          <w:b/>
        </w:rPr>
        <w:t>Смешение факторов:</w:t>
      </w:r>
      <w:r>
        <w:t xml:space="preserve"> жанр и источник сильно связаны (V Крамера 0,50); часть жанровых различий отражает различия изданий.</w:t>
      </w:r>
    </w:p>
    <w:p>
      <w:pPr>
        <w:spacing w:after="60"/>
        <w:ind w:left="510" w:hanging="340"/>
      </w:pPr>
      <w:r>
        <w:t xml:space="preserve">6. </w:t>
      </w:r>
      <w:r>
        <w:rPr>
          <w:b/>
        </w:rPr>
        <w:t>Цифровая лексика:</w:t>
      </w:r>
      <w:r>
        <w:t xml:space="preserve"> цифровизация представлена соцсетями, блогерами, онлайн-средой и искусственным интеллектом; лексики метавселенной нет, слово «алгоритм» встречается 4 раза. Влияние платформенных алгоритмов остаётся объяснительной рамкой, а не доказанной причиной.</w:t>
      </w:r>
    </w:p>
    <w:p>
      <w:pPr>
        <w:spacing w:after="60"/>
        <w:ind w:left="510" w:hanging="340"/>
      </w:pPr>
      <w:r>
        <w:t xml:space="preserve">7. </w:t>
      </w:r>
      <w:r>
        <w:rPr>
          <w:b/>
        </w:rPr>
        <w:t>Тональность:</w:t>
      </w:r>
      <w:r>
        <w:t xml:space="preserve"> расчёт тональности в текущей среде не повторялся (нет доступа к репозиторию модели); значения взяты из исходной версии работы и подлежат повторной проверке запуском скрипта sentiment_bert.py.</w:t>
      </w:r>
    </w:p>
    <w:p>
      <w:pPr>
        <w:pStyle w:val="Heading1"/>
      </w:pPr>
      <w:r>
        <w:t>9. Примеры из теории и из корпуса</w:t>
      </w:r>
    </w:p>
    <w:p>
      <w:pPr>
        <w:pStyle w:val="Heading2"/>
      </w:pPr>
      <w:r>
        <w:t>9.1. Игровые коллаборации Gucci: теоретический пример, в корпусе отсутствует</w:t>
      </w:r>
    </w:p>
    <w:p>
      <w:r>
        <w:rPr>
          <w:i w:val="0"/>
        </w:rPr>
        <w:t>В Главе 1 (§1.2), со ссылкой на Панькину и др. (2022), приведено: несколько лет подряд Gucci выпускал коллаборации с Animal Crossing, Roblox, The Sims 4 и Pokémon Go; такие проекты повышают узнаваемость бренда, приносят разработчикам игр дополнительный доход и позволяют покупать дизайнерскую одежду для аватара. Приведена также оценка оборота внутриигровых покупок (около 450 млн долларов на российском рынке Dota 2 и CS:GO, около 3 млрд долларов в мире). Источник по первоисточнику не проверялся; цифры подлежат сверке.</w:t>
      </w:r>
    </w:p>
    <w:p>
      <w:r>
        <w:rPr>
          <w:i w:val="0"/>
        </w:rPr>
        <w:t>В корпусе подобных сюжетов нет: поиск не находит Roblox, Animal Crossing, The Sims, «метавселенную» и «цифровую одежду». Это результат исследования: теория описывает цифровую моду через игровые скины и метавселенную, тогда как русскоязычные модные медиа 2026 года пишут о показах, трендах и подборках. Возможное объяснение — хронологическое (работы о метавселенной относятся к 2022–2024 годам); проверка возможна только на материале разных лет.</w:t>
      </w:r>
    </w:p>
    <w:p>
      <w:r>
        <w:rPr>
          <w:i w:val="0"/>
        </w:rPr>
        <w:t>Другие теоретические кейсы: показ Hanifa (2020, полностью цифровой, без живых моделей, более 10 тысяч зрителей) и цифровая модель Шуду в кампаниях Louis Vuitton и Balmain — по Календжяну (2023); также подлежат сверке по первоисточнику.</w:t>
      </w:r>
    </w:p>
    <w:p>
      <w:pPr>
        <w:pStyle w:val="Heading2"/>
      </w:pPr>
      <w:r>
        <w:t>9.2. Цифровая тема в текстах корпуса</w:t>
      </w:r>
    </w:p>
    <w:p>
      <w:pPr>
        <w:spacing w:after="120"/>
        <w:ind w:left="567" w:right="283"/>
      </w:pPr>
      <w:r>
        <w:rPr>
          <w:i/>
        </w:rPr>
        <w:t>«Чат-бот с ИИ-стилистом не пошел. Вроде бы интересная штука, можно взять телефон, сказать: «Подбери одежду для первоклассника в школу». Но люди этим не пользуются»</w:t>
      </w:r>
      <w:r>
        <w:rPr>
          <w:sz w:val="21"/>
        </w:rPr>
        <w:t xml:space="preserve"> — The Blueprint, интервью с СЕО Lamoda, 01.09.2026 (№ 14)</w:t>
      </w:r>
    </w:p>
    <w:p>
      <w:pPr>
        <w:ind w:left="454"/>
      </w:pPr>
      <w:r>
        <w:rPr>
          <w:i w:val="0"/>
        </w:rPr>
        <w:t>В том же интервью о виртуальной примерке: невыкуп — «главная беда фэшн-ретейлера»; выкупается 40% доставленного, 60% — нет. Цифровая тема в реальном тексте выступает как бизнес-проблема, а не как метавселенная.</w:t>
      </w:r>
    </w:p>
    <w:p>
      <w:pPr>
        <w:spacing w:after="120"/>
        <w:ind w:left="567" w:right="283"/>
      </w:pPr>
      <w:r>
        <w:rPr>
          <w:i/>
        </w:rPr>
        <w:t>«Женщина может никогда не подумать: «Я хочу выглядеть как модель, созданная нейросетью». Вместо этого она начинает замечать то, что прежде не казалось проблемой…»</w:t>
      </w:r>
      <w:r>
        <w:rPr>
          <w:sz w:val="21"/>
        </w:rPr>
        <w:t xml:space="preserve"> — FRWF, колонка «Красота, которой не существует: как ИИ меняет наше представление о норме», 18.09.2026 (№ 127)</w:t>
      </w:r>
    </w:p>
    <w:p>
      <w:pPr>
        <w:ind w:left="454"/>
      </w:pPr>
      <w:r>
        <w:rPr>
          <w:i w:val="0"/>
        </w:rPr>
        <w:t>Один из пяти текстов жанра «мнение»; цифровая тема переходит в тему ценностей.</w:t>
      </w:r>
    </w:p>
    <w:p>
      <w:pPr>
        <w:spacing w:after="120"/>
        <w:ind w:left="567" w:right="283"/>
      </w:pPr>
      <w:r>
        <w:rPr>
          <w:i/>
        </w:rPr>
        <w:t>«…стремительное развитие ИИ, а заодно робототехники и биотехнологий заставило зумеров и альфа чаще представлять, как будет выглядеть жизнь в 3000 году»</w:t>
      </w:r>
      <w:r>
        <w:rPr>
          <w:sz w:val="21"/>
        </w:rPr>
        <w:t xml:space="preserve"> — The Blueprint, «Восток-3000», 07.09.2026 (№ 6): так возникает тренд Y3K — «смесь киберпанка и sci-fi»</w:t>
      </w:r>
    </w:p>
    <w:p>
      <w:pPr>
        <w:spacing w:after="120"/>
        <w:ind w:left="567" w:right="283"/>
      </w:pPr>
      <w:r>
        <w:rPr>
          <w:i/>
        </w:rPr>
        <w:t>«53% зумеров говорят, что контент в соцсетях смотреть интереснее, чем фильмы и сериалы, а 50% чувствуют более сильную связь с интернет-креаторами, чем с актерами и телеведущими»</w:t>
      </w:r>
      <w:r>
        <w:rPr>
          <w:sz w:val="21"/>
        </w:rPr>
        <w:t xml:space="preserve"> — The Blueprint, «Иногда “плохо” — это новое хорошо», 15.09.2026 (№ 7)</w:t>
      </w:r>
    </w:p>
    <w:p>
      <w:pPr>
        <w:spacing w:after="120"/>
        <w:ind w:left="567" w:right="283"/>
      </w:pPr>
      <w:r>
        <w:rPr>
          <w:i/>
        </w:rPr>
        <w:t>«в мире, подчиненном алгоритмам, именно ночь сохраняет свободу и непредсказуемость»</w:t>
      </w:r>
      <w:r>
        <w:rPr>
          <w:sz w:val="21"/>
        </w:rPr>
        <w:t xml:space="preserve"> — Posta-Magazine, Fashion Digest о шоу Burberry (№ 156): слово «алгоритм» использовано как образ, а не как предмет обсуждения</w:t>
      </w:r>
    </w:p>
    <w:p>
      <w:pPr>
        <w:spacing w:after="120"/>
        <w:ind w:left="567" w:right="283"/>
      </w:pPr>
      <w:r>
        <w:rPr>
          <w:i/>
        </w:rPr>
        <w:t>«У цифровой триады — миллениалов, зумеров и альф — жизнь фиксируется в сетке алгоритмов»</w:t>
      </w:r>
      <w:r>
        <w:rPr>
          <w:sz w:val="21"/>
        </w:rPr>
        <w:t xml:space="preserve"> — Moskvichka, колонка о выпускных (№ 141)</w:t>
      </w:r>
    </w:p>
    <w:p>
      <w:pPr>
        <w:pStyle w:val="Heading2"/>
      </w:pPr>
      <w:r>
        <w:t>9.3. Примеры, иллюстрирующие особенности метода</w:t>
      </w:r>
    </w:p>
    <w:p>
      <w:pPr>
        <w:pStyle w:val="ListBullet"/>
        <w:spacing w:after="60"/>
        <w:ind w:left="510"/>
      </w:pPr>
      <w:r>
        <w:rPr>
          <w:b/>
        </w:rPr>
        <w:t>Один текст — много слов.</w:t>
      </w:r>
      <w:r>
        <w:t xml:space="preserve"> «Икона стиля: Долли Партон» (The Blueprint, 3 349 слов): имя встречается 69 раз в одном тексте и попало в ключевые слова The Blueprint; один материал искажает лексическую картину издания.</w:t>
      </w:r>
    </w:p>
    <w:p>
      <w:pPr>
        <w:pStyle w:val="ListBullet"/>
        <w:spacing w:after="60"/>
        <w:ind w:left="510"/>
      </w:pPr>
      <w:r>
        <w:rPr>
          <w:b/>
        </w:rPr>
        <w:t>Навигационные фразы.</w:t>
      </w:r>
      <w:r>
        <w:t xml:space="preserve"> в «шопинг-дайджестах» SYMBOL повторяется шаблон «Подробнее о модных … ниже»; он даёт частотные биграммы «рассказать ниже», «ниже подробный» (47–49 раз). Это устройство жанра, а не лексика дискурса.</w:t>
      </w:r>
    </w:p>
    <w:p>
      <w:pPr>
        <w:pStyle w:val="ListBullet"/>
        <w:spacing w:after="60"/>
        <w:ind w:left="510"/>
      </w:pPr>
      <w:r>
        <w:rPr>
          <w:b/>
        </w:rPr>
        <w:t>Влияние одного текста.</w:t>
      </w:r>
      <w:r>
        <w:t xml:space="preserve"> подборка «Модный женский гардероб на лето-2026: 30 актуальных моделей» (SYMBOL) содержит 6 304 слова — около 4% корпуса. После удаления цифр из формул «лето-2026» и «осенью-2026» остаются фрагменты вроде «лето-».</w:t>
      </w:r>
    </w:p>
    <w:p>
      <w:pPr>
        <w:pStyle w:val="ListBullet"/>
        <w:spacing w:after="60"/>
        <w:ind w:left="510"/>
      </w:pPr>
      <w:r>
        <w:rPr>
          <w:b/>
        </w:rPr>
        <w:t>Бренд и сезон.</w:t>
      </w:r>
      <w:r>
        <w:t xml:space="preserve"> чаще всего упоминаются Chanel, Dior, Prada; хотя бы один из двадцати учтённых домов назван в 137 текстах из 202 (68%), сезонные обозначения — в 107 (53%): опорные точки корпуса — бренд и сезон.</w:t>
      </w:r>
    </w:p>
    <w:p>
      <w:pPr>
        <w:pStyle w:val="Heading1"/>
      </w:pPr>
      <w:r>
        <w:t>10. Реализуемость: что выполнено, что требует доработки, что вне рамок работы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2041"/>
        <w:gridCol w:w="3628"/>
        <w:gridCol w:w="3685"/>
      </w:tblGrid>
      <w:tr>
        <w:trPr>
          <w:tblHeader/>
        </w:trPr>
        <w:tc>
          <w:tcPr>
            <w:tcW w:type="dxa" w:w="2041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3628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</w:t>
            </w:r>
          </w:p>
        </w:tc>
        <w:tc>
          <w:tcPr>
            <w:tcW w:type="dxa" w:w="3685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Основание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Выполнено (данные и расчёты есть)</w:t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Корпус из 202 текстов девяти изданий; частотный и коллокационный анализ; жанровая структура; темы LDA с оговорками; стилометрия (TTR и MATTR); сравнение The Blueprint и SYMBOL; параграф о цифровой лексике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Расчёты воспроизводятся скриптами, ограничения описаны (§2.6)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Требует доработки</w:t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Анализ тональности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Модель не пересчитана в текущей среде; необходимо запустить скрипт и желательно проверить выборку вручную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Жанровая разметка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Не описаны критерии и порядок разметки; необходима проверка выборки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Описание шести изданий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 тексте нет сведений о Posta-Magazine, MarieClaire, Moskvichka, Snob, FRWF, «Мнение редакции»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Теоретическая глава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Часть источников не проверена по первоисточнику (Барт, Гетманцева, Гусова и Козлова, Гольдберг, Лейн, Гальцева, Арутюнова); цифры Панькиной и Календжяна подлежат сверке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Авторская переработка текста и раскрытие использования ИИ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Требования Положения ЮФУ (приказ № 184-ОД, п. 3.3, 4.2)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Вне рамок работы (не заявлять)</w:t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Выводы о динамике во времени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Корпус — один срез, смещённый к сентябрю 2026 года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Доказательство влияния платформенных алгоритмов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Слово «алгоритм» встретилось в 4 текстах; это объяснительная рамка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Сравнение всех девяти изданий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Семь изданий представлены 1–19 текстами; надёжно сопоставимы только The Blueprint и SYMBOL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Лексика метавселенной и цифровой одежды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 корпусе отсутствует (метавселенная — 0 употреблений)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В перспективы</w:t>
            </w:r>
          </w:p>
        </w:tc>
        <w:tc>
          <w:tcPr>
            <w:tcW w:type="dxa" w:w="3628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Деловое B2B-издание (PROfashion), аспектный анализ тональности, модели без ограничения на длину текста, распознавание именованных сущностей</w:t>
            </w:r>
          </w:p>
        </w:tc>
        <w:tc>
          <w:tcPr>
            <w:tcW w:type="dxa" w:w="3685"/>
          </w:tcPr>
          <w:p>
            <w:pPr>
              <w:spacing w:after="40" w:line="240" w:lineRule="auto"/>
            </w:pPr>
            <w:r/>
            <w:r>
              <w:rPr>
                <w:sz w:val="19"/>
              </w:rPr>
              <w:t>Не вошли по техническим причинам либо требуют отдельного исследования</w:t>
            </w:r>
          </w:p>
        </w:tc>
      </w:tr>
    </w:tbl>
    <w:p>
      <w:pPr>
        <w:spacing w:after="80"/>
      </w:pPr>
    </w:p>
    <w:p>
      <w:pPr>
        <w:pStyle w:val="Heading1"/>
      </w:pPr>
      <w:r>
        <w:t>11. Вопросы для согласования</w:t>
      </w:r>
    </w:p>
    <w:p>
      <w:r>
        <w:rPr>
          <w:b/>
        </w:rPr>
        <w:t>Тема и название: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Утверждается ли формулировка «Жанровые, тематические и оценочные характеристики русскоязычного модного медиадискурса в цифровых изданиях (корпусное исследование на материале 2026 года)»?</w:t>
      </w:r>
    </w:p>
    <w:p>
      <w:pPr>
        <w:pStyle w:val="ListBullet"/>
        <w:spacing w:after="60"/>
        <w:ind w:left="510"/>
      </w:pPr>
      <w:r>
        <w:t>Требуется ли изменение названия на титульном листе, или достаточно уточнить предмет во введении?</w:t>
      </w:r>
    </w:p>
    <w:p>
      <w:r>
        <w:rPr>
          <w:b/>
        </w:rPr>
        <w:t>Материал: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Достаточен ли корпус из 202 текстов девяти изданий? Требуется ли добавление изданий для выравнивания состава (The Blueprint и SYMBOL дают 65%)?</w:t>
      </w:r>
    </w:p>
    <w:p>
      <w:pPr>
        <w:pStyle w:val="ListBullet"/>
        <w:spacing w:after="60"/>
        <w:ind w:left="510"/>
      </w:pPr>
      <w:r>
        <w:t>Допустимо ли называть Snob, FRWF и «Мнение редакции» «журналами», или корректнее «цифровые издания и платформы»?</w:t>
      </w:r>
    </w:p>
    <w:p>
      <w:pPr>
        <w:pStyle w:val="ListBullet"/>
        <w:spacing w:after="60"/>
        <w:ind w:left="510"/>
      </w:pPr>
      <w:r>
        <w:t>Достаточно ли описания принципа отбора как «критерии с учётом технической доступности»?</w:t>
      </w:r>
    </w:p>
    <w:p>
      <w:pPr>
        <w:pStyle w:val="ListBullet"/>
        <w:spacing w:after="60"/>
        <w:ind w:left="510"/>
      </w:pPr>
      <w:r>
        <w:t>Каким образом оформить правовой и этический раздел об использовании текстов изданий в корпусе?</w:t>
      </w:r>
    </w:p>
    <w:p>
      <w:r>
        <w:rPr>
          <w:b/>
        </w:rPr>
        <w:t>Разметка и методы: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Кто выполняет жанровую разметку и требуется ли проверка вторым разметчиком (или ручная проверка выборки)?</w:t>
      </w:r>
    </w:p>
    <w:p>
      <w:pPr>
        <w:pStyle w:val="ListBullet"/>
        <w:spacing w:after="60"/>
        <w:ind w:left="510"/>
      </w:pPr>
      <w:r>
        <w:t>Достаточно ли одной готовой модели для анализа тональности или необходима сверка с ручной разметкой? Какой объём выборки считать достаточным?</w:t>
      </w:r>
    </w:p>
    <w:p>
      <w:pPr>
        <w:pStyle w:val="ListBullet"/>
        <w:spacing w:after="60"/>
        <w:ind w:left="510"/>
      </w:pPr>
      <w:r>
        <w:t>Нужно ли распознавание именованных сущностей (бренды, персоны) для отделения имён от заимствований?</w:t>
      </w:r>
    </w:p>
    <w:p>
      <w:pPr>
        <w:pStyle w:val="ListBullet"/>
        <w:spacing w:after="60"/>
        <w:ind w:left="510"/>
      </w:pPr>
      <w:r>
        <w:t>Допустимо ли сохранить тематическую модель LDA с оговоркой о нестабильности или заменить метод?</w:t>
      </w:r>
    </w:p>
    <w:p>
      <w:r>
        <w:rPr>
          <w:b/>
        </w:rPr>
        <w:t>Теория: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Глава 1 построена вокруг метавселенной и цифровой одежды, которые в корпусе не представлены. Перестроить главу под жанры, лексику и оценку или сохранить как контекст?</w:t>
      </w:r>
    </w:p>
    <w:p>
      <w:pPr>
        <w:pStyle w:val="ListBullet"/>
        <w:spacing w:after="60"/>
        <w:ind w:left="510"/>
      </w:pPr>
      <w:r>
        <w:t>Какие работы по оценочности и по жанру обязательны к цитированию?</w:t>
      </w:r>
    </w:p>
    <w:p>
      <w:r>
        <w:rPr>
          <w:b/>
        </w:rPr>
        <w:t>Объём и структура: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Как рассчитывается объём: основной текст (Введение–Заключение) или весь файл? Какой объём требуется?</w:t>
      </w:r>
    </w:p>
    <w:p>
      <w:pPr>
        <w:pStyle w:val="ListBullet"/>
        <w:spacing w:after="60"/>
        <w:ind w:left="510"/>
      </w:pPr>
      <w:r>
        <w:t>Нужны ли приложения (код, паспорт корпуса, таблицы) и в каком виде?</w:t>
      </w:r>
    </w:p>
    <w:p>
      <w:pPr>
        <w:pStyle w:val="ListBullet"/>
        <w:spacing w:after="60"/>
        <w:ind w:left="510"/>
      </w:pPr>
      <w:r>
        <w:t>Предусмотрены ли рецензент и презентация к защите для направления 45.03.04? Каковы сроки предзащиты?</w:t>
      </w:r>
    </w:p>
    <w:p>
      <w:r>
        <w:rPr>
          <w:b/>
        </w:rPr>
        <w:t>Использование ИИ: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Каким способом оформить раскрытие использования ИИ (раздел в §2.1, подраздел списка источников или Декларация по приложению к Положению)?</w:t>
      </w:r>
    </w:p>
    <w:p>
      <w:pPr>
        <w:pStyle w:val="ListBullet"/>
        <w:spacing w:after="60"/>
        <w:ind w:left="510"/>
      </w:pPr>
      <w:r>
        <w:t>Что считается существенной авторской переработкой текста, подготовленного с применением ИИ, и допустимо ли сохранить расчёты и код, подготовленные с его помощью?</w:t>
      </w:r>
    </w:p>
    <w:p>
      <w:r>
        <w:rPr>
          <w:b/>
        </w:rPr>
        <w:t>Сокращение:</w:t>
      </w:r>
      <w:r>
        <w:rPr>
          <w:i w:val="0"/>
        </w:rPr>
      </w:r>
    </w:p>
    <w:p>
      <w:pPr>
        <w:pStyle w:val="ListBullet"/>
        <w:spacing w:after="60"/>
        <w:ind w:left="510"/>
      </w:pPr>
      <w:r>
        <w:t>Что исключить при нехватке времени: §2.4 об алгоритмах, §1.2 о метавселенной, часть приложений?</w:t>
      </w:r>
    </w:p>
    <w:p>
      <w:pPr>
        <w:pStyle w:val="Heading1"/>
      </w:pPr>
      <w:r>
        <w:t>12. Возможные вопросы и ответы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402"/>
        <w:gridCol w:w="5953"/>
      </w:tblGrid>
      <w:tr>
        <w:trPr>
          <w:tblHeader/>
        </w:trPr>
        <w:tc>
          <w:tcPr>
            <w:tcW w:type="dxa" w:w="3402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5953"/>
            <w:shd w:val="clear" w:color="auto" w:fill="E8EDF2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Ответ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Тема широкая. Что именно изучается в текстах?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Жанры, лексико-тематическое ядро и тональность русскоязычных модных онлайн-изданий 2026 года и их зависимость от жанра и издания. Цифровая трансформация — контекст.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Почему выбраны именно эти издания?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Три критерия (цифровые, активные, жанрово разнородные) и техническая доступность. Elle и Buro247 исключены по robots.txt. Ограничение: два издания дают 65% корпуса.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Почему 2026 год?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Синхронный срез; даты проверены по метаданным. Корпус не пригоден для анализа динамики.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Откуда взяты жанры?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Из метки genre в метаданных. Критерии и порядок разметки подлежат описанию и проверке выборки (пока не описаны).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Где в корпусе материал первой главы (метавселенная, игровые коллаборации, Gucci)?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Отсутствует. Это самостоятельный результат §2.5: теория описывает цифровую моду через метавселенную, медиа — через показы, тренды и подборки; цифровое присутствует как соцсети, блогеры, онлайн-среда и искусственный интеллект.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Насколько надёжны результаты?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Описательные характеристики надёжны; различия между жанрами и темами — с оговорками (§2.6): простой TTR зависит от объёма, LDA нестабильна, жанр смешан с источником.</w:t>
            </w:r>
          </w:p>
        </w:tc>
      </w:tr>
      <w:tr>
        <w:tc>
          <w:tcPr>
            <w:tcW w:type="dxa" w:w="3402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Как использовался ИИ?</w:t>
            </w:r>
          </w:p>
        </w:tc>
        <w:tc>
          <w:tcPr>
            <w:tcW w:type="dxa" w:w="5953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Раскрытие по п. 3.3 Положения: инструмент, версия, даты, цели использования. Подготовленный с его помощью текст подлежит существенной авторской переработке (п. 4.2).</w:t>
            </w:r>
          </w:p>
        </w:tc>
      </w:tr>
    </w:tbl>
    <w:p>
      <w:pPr>
        <w:spacing w:after="80"/>
      </w:pPr>
    </w:p>
    <w:p>
      <w:pPr>
        <w:pStyle w:val="Heading1"/>
      </w:pPr>
      <w:r>
        <w:t>13. Дальнейшие шаги</w:t>
      </w:r>
    </w:p>
    <w:p>
      <w:pPr>
        <w:spacing w:after="60"/>
        <w:ind w:left="510" w:hanging="340"/>
      </w:pPr>
      <w:r>
        <w:t xml:space="preserve">1. </w:t>
      </w:r>
      <w:r>
        <w:t>Повторить расчёт тональности (sentiment_bert.py), сверить значения и пересчитать тест Фишера.</w:t>
      </w:r>
    </w:p>
    <w:p>
      <w:pPr>
        <w:spacing w:after="60"/>
        <w:ind w:left="510" w:hanging="340"/>
      </w:pPr>
      <w:r>
        <w:t xml:space="preserve">2. </w:t>
      </w:r>
      <w:r>
        <w:t>Описать шесть изданий по их сайтам и сформулировать критерии жанров; проверить вручную около 30 текстов.</w:t>
      </w:r>
    </w:p>
    <w:p>
      <w:pPr>
        <w:spacing w:after="60"/>
        <w:ind w:left="510" w:hanging="340"/>
      </w:pPr>
      <w:r>
        <w:t xml:space="preserve">3. </w:t>
      </w:r>
      <w:r>
        <w:t>Проверить недостающие источники (Барт, Гетманцева, Гусова и Козлова, Гольдберг, Лейн, Гальцева, Арутюнова) либо исключить ссылки на них; сверить данные Панькиной и Календжяна.</w:t>
      </w:r>
    </w:p>
    <w:p>
      <w:pPr>
        <w:spacing w:after="60"/>
        <w:ind w:left="510" w:hanging="340"/>
      </w:pPr>
      <w:r>
        <w:t xml:space="preserve">4. </w:t>
      </w:r>
      <w:r>
        <w:t>Выполнить авторскую переработку текстов, подготовленных с применением ИИ (перечень — в файле «Тексты_для_переписывания»).</w:t>
      </w:r>
    </w:p>
    <w:p>
      <w:pPr>
        <w:spacing w:after="60"/>
        <w:ind w:left="510" w:hanging="340"/>
      </w:pPr>
      <w:r>
        <w:t xml:space="preserve">5. </w:t>
      </w:r>
      <w:r>
        <w:t>Оформить раскрытие использования ИИ в §2.1 (инструмент, версия, даты, цель) либо Декларацию; согласовать способ раскрытия.</w:t>
      </w:r>
    </w:p>
    <w:p>
      <w:pPr>
        <w:spacing w:after="60"/>
        <w:ind w:left="510" w:hanging="340"/>
      </w:pPr>
      <w:r>
        <w:t xml:space="preserve">6. </w:t>
      </w:r>
      <w:r>
        <w:t>Согласовать уточнение темы и, при необходимости, новое название.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Times New Roman"/>
      <w:b/>
      <w:bCs/>
      <w:color w:val="1F2D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 w:eastAsia="Times New Roman"/>
      <w:b/>
      <w:bCs/>
      <w:color w:val="1F2D3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Times New Roman" w:hAnsi="Times New Roman" w:eastAsia="Times New Roman"/>
      <w:b/>
      <w:bCs/>
      <w:color w:val="1F2D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