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Основной текст"/>
        <w:spacing w:before="0" w:after="0" w:line="360" w:lineRule="auto"/>
        <w:ind w:firstLine="0"/>
        <w:jc w:val="center"/>
        <w:rPr>
          <w:rFonts w:ascii="Times New Roman" w:hAnsi="Times New Roman" w:cs="Times New Roman"/>
          <w:sz w:val="28"/>
          <w:szCs w:val="28"/>
        </w:rPr>
      </w:pPr>
      <w:r>
        <w:rPr>
          <w:rFonts w:ascii="Times New Roman" w:hAnsi="Times New Roman" w:cs="Times New Roman"/>
          <w:sz w:val="28"/>
          <w:szCs w:val="28"/>
          <w:lang w:val="ru-RU"/>
        </w:rPr>
        <w:t xml:space="preserve">МИНИСТЕРСТВО НАУКИ И ВЫСШЕГО ОБРАЗОВАНИЯ РОССИЙСКОЙ ФЕДЕРАЦИИ</w:t>
      </w:r>
    </w:p>
    <w:p>
      <w:pPr>
        <w:pStyle w:val="Основной текст"/>
        <w:spacing w:before="0" w:after="0" w:line="360" w:lineRule="auto"/>
        <w:ind w:firstLine="0"/>
        <w:jc w:val="center"/>
        <w:rPr>
          <w:rFonts w:ascii="Times New Roman" w:hAnsi="Times New Roman" w:cs="Times New Roman"/>
          <w:sz w:val="28"/>
          <w:szCs w:val="28"/>
        </w:rPr>
      </w:pPr>
      <w:r>
        <w:rPr>
          <w:rFonts w:ascii="Times New Roman" w:hAnsi="Times New Roman" w:cs="Times New Roman"/>
          <w:sz w:val="28"/>
          <w:szCs w:val="28"/>
          <w:lang w:val="ru-RU"/>
        </w:rPr>
        <w:t xml:space="preserve">Федеральное государственное автономное образовательное учреждение высшего образования</w:t>
      </w:r>
    </w:p>
    <w:p>
      <w:pPr>
        <w:pStyle w:val="Основной текст"/>
        <w:spacing w:before="0" w:after="0" w:line="360" w:lineRule="auto"/>
        <w:ind w:firstLine="0"/>
        <w:jc w:val="center"/>
        <w:rPr>
          <w:rFonts w:ascii="Times New Roman" w:hAnsi="Times New Roman" w:cs="Times New Roman"/>
          <w:sz w:val="28"/>
          <w:szCs w:val="28"/>
          <w:b/>
          <w:bCs/>
        </w:rPr>
      </w:pPr>
      <w:r>
        <w:rPr>
          <w:rFonts w:ascii="Times New Roman" w:hAnsi="Times New Roman" w:cs="Times New Roman"/>
          <w:sz w:val="28"/>
          <w:szCs w:val="28"/>
          <w:b/>
          <w:bCs/>
          <w:lang w:val="ru-RU"/>
        </w:rPr>
        <w:t xml:space="preserve">«ЮЖНЫЙ ФЕДЕРАЛЬНЫЙ УНИВЕРСИТЕТ»</w:t>
      </w:r>
    </w:p>
    <w:p>
      <w:pPr>
        <w:pStyle w:val="Основной текст"/>
        <w:spacing w:before="0" w:after="0" w:line="360" w:lineRule="auto"/>
        <w:ind w:firstLine="0"/>
        <w:jc w:val="center"/>
        <w:rPr>
          <w:rFonts w:ascii="Times New Roman" w:hAnsi="Times New Roman" w:cs="Times New Roman"/>
          <w:sz w:val="28"/>
          <w:szCs w:val="28"/>
          <w:b/>
          <w:bCs/>
        </w:rPr>
      </w:pPr>
      <w:r>
        <w:rPr>
          <w:rFonts w:ascii="Times New Roman" w:hAnsi="Times New Roman" w:cs="Times New Roman"/>
          <w:sz w:val="28"/>
          <w:szCs w:val="28"/>
          <w:b/>
          <w:bCs/>
          <w:lang w:val="ru-RU"/>
        </w:rPr>
        <w:t xml:space="preserve">Институт филологии, журналистики и межкультурной коммуникации</w:t>
      </w:r>
    </w:p>
    <w:p>
      <w:pPr>
        <w:pStyle w:val="Основной текст"/>
        <w:spacing w:before="0" w:after="0" w:line="360" w:lineRule="auto"/>
        <w:ind w:firstLine="0"/>
        <w:rPr>
          <w:rFonts w:ascii="Times New Roman" w:hAnsi="Times New Roman" w:cs="Times New Roman"/>
          <w:sz w:val="28"/>
          <w:szCs w:val="28"/>
        </w:rPr>
      </w:pPr>
    </w:p>
    <w:p>
      <w:pPr>
        <w:pStyle w:val="Основной текст"/>
        <w:spacing w:before="0" w:after="0" w:line="360" w:lineRule="auto"/>
        <w:ind w:firstLine="0"/>
        <w:rPr>
          <w:rFonts w:ascii="Times New Roman" w:hAnsi="Times New Roman" w:cs="Times New Roman"/>
          <w:sz w:val="28"/>
          <w:szCs w:val="28"/>
        </w:rPr>
      </w:pPr>
    </w:p>
    <w:p>
      <w:pPr>
        <w:pStyle w:val="Основной текст"/>
        <w:spacing w:before="0" w:after="0" w:line="360" w:lineRule="auto"/>
        <w:ind w:firstLine="0"/>
        <w:rPr>
          <w:rFonts w:ascii="Times New Roman" w:hAnsi="Times New Roman" w:cs="Times New Roman"/>
          <w:sz w:val="28"/>
          <w:szCs w:val="28"/>
        </w:rPr>
      </w:pPr>
    </w:p>
    <w:p>
      <w:pPr>
        <w:pStyle w:val="Основной текст"/>
        <w:spacing w:before="0" w:after="0" w:line="360" w:lineRule="auto"/>
        <w:ind w:firstLine="0"/>
        <w:jc w:val="center"/>
        <w:rPr>
          <w:rFonts w:ascii="Times New Roman" w:hAnsi="Times New Roman" w:cs="Times New Roman"/>
          <w:sz w:val="28"/>
          <w:szCs w:val="28"/>
          <w:b/>
          <w:bCs/>
        </w:rPr>
      </w:pPr>
      <w:r>
        <w:rPr>
          <w:rFonts w:ascii="Times New Roman" w:hAnsi="Times New Roman" w:cs="Times New Roman"/>
          <w:sz w:val="28"/>
          <w:szCs w:val="28"/>
          <w:b/>
          <w:bCs/>
          <w:lang w:val="ru-RU"/>
        </w:rPr>
        <w:t xml:space="preserve">Спринчан Ирина Андреевна</w:t>
      </w:r>
    </w:p>
    <w:p>
      <w:pPr>
        <w:pStyle w:val="Основной текст"/>
        <w:spacing w:before="0" w:after="0" w:line="360" w:lineRule="auto"/>
        <w:ind w:firstLine="0"/>
        <w:rPr>
          <w:rFonts w:ascii="Times New Roman" w:hAnsi="Times New Roman" w:cs="Times New Roman"/>
          <w:sz w:val="28"/>
          <w:szCs w:val="28"/>
        </w:rPr>
      </w:pPr>
    </w:p>
    <w:p>
      <w:pPr>
        <w:pStyle w:val="Основной текст"/>
        <w:spacing w:before="0" w:after="0" w:line="360" w:lineRule="auto"/>
        <w:ind w:firstLine="0"/>
        <w:jc w:val="center"/>
        <w:rPr>
          <w:rFonts w:ascii="Times New Roman" w:hAnsi="Times New Roman" w:cs="Times New Roman"/>
          <w:sz w:val="28"/>
          <w:szCs w:val="28"/>
          <w:b/>
          <w:bCs/>
        </w:rPr>
      </w:pPr>
      <w:r>
        <w:rPr>
          <w:rFonts w:ascii="Times New Roman" w:hAnsi="Times New Roman" w:cs="Times New Roman"/>
          <w:sz w:val="28"/>
          <w:szCs w:val="28"/>
          <w:b/>
          <w:bCs/>
          <w:lang w:val="ru-RU"/>
        </w:rPr>
        <w:t xml:space="preserve">ВЫПУСКНАЯ КВАЛИФИКАЦИОННАЯ РАБОТА БАКАЛАВРА</w:t>
      </w:r>
    </w:p>
    <w:p>
      <w:pPr>
        <w:pStyle w:val="Основной текст"/>
        <w:spacing w:before="0" w:after="0" w:line="360" w:lineRule="auto"/>
        <w:ind w:firstLine="0"/>
        <w:jc w:val="center"/>
        <w:rPr>
          <w:rFonts w:ascii="Times New Roman" w:hAnsi="Times New Roman" w:cs="Times New Roman"/>
          <w:sz w:val="28"/>
          <w:szCs w:val="28"/>
        </w:rPr>
      </w:pPr>
      <w:r>
        <w:rPr>
          <w:rFonts w:ascii="Times New Roman" w:hAnsi="Times New Roman" w:cs="Times New Roman"/>
          <w:sz w:val="28"/>
          <w:szCs w:val="28"/>
          <w:lang w:val="ru-RU"/>
        </w:rPr>
        <w:t xml:space="preserve">по направлению подготовки</w:t>
      </w:r>
    </w:p>
    <w:p>
      <w:pPr>
        <w:pStyle w:val="Основной текст"/>
        <w:spacing w:before="0" w:after="0" w:line="360" w:lineRule="auto"/>
        <w:ind w:firstLine="0"/>
        <w:jc w:val="center"/>
        <w:rPr>
          <w:rFonts w:ascii="Times New Roman" w:hAnsi="Times New Roman" w:cs="Times New Roman"/>
          <w:sz w:val="28"/>
          <w:szCs w:val="28"/>
        </w:rPr>
      </w:pPr>
      <w:r>
        <w:rPr>
          <w:rFonts w:ascii="Times New Roman" w:hAnsi="Times New Roman" w:cs="Times New Roman"/>
          <w:sz w:val="28"/>
          <w:szCs w:val="28"/>
          <w:lang w:val="ru-RU"/>
        </w:rPr>
        <w:t xml:space="preserve">45.03.04 Интеллектуальные системы в гуманитарной сфере</w:t>
      </w:r>
    </w:p>
    <w:p>
      <w:pPr>
        <w:pStyle w:val="Основной текст"/>
        <w:spacing w:before="0" w:after="0" w:line="360" w:lineRule="auto"/>
        <w:ind w:firstLine="0"/>
        <w:rPr>
          <w:rFonts w:ascii="Times New Roman" w:hAnsi="Times New Roman" w:cs="Times New Roman"/>
          <w:sz w:val="28"/>
          <w:szCs w:val="28"/>
        </w:rPr>
      </w:pPr>
    </w:p>
    <w:p>
      <w:pPr>
        <w:pStyle w:val="Основной текст"/>
        <w:spacing w:before="0" w:after="0" w:line="360" w:lineRule="auto"/>
        <w:ind w:firstLine="0"/>
        <w:jc w:val="center"/>
        <w:rPr>
          <w:rFonts w:ascii="Times New Roman" w:hAnsi="Times New Roman" w:cs="Times New Roman"/>
          <w:sz w:val="28"/>
          <w:szCs w:val="28"/>
          <w:b/>
          <w:bCs/>
        </w:rPr>
      </w:pPr>
      <w:r>
        <w:rPr>
          <w:rFonts w:ascii="Times New Roman" w:hAnsi="Times New Roman" w:cs="Times New Roman"/>
          <w:sz w:val="28"/>
          <w:szCs w:val="28"/>
          <w:b/>
          <w:bCs/>
          <w:lang w:val="ru-RU"/>
        </w:rPr>
        <w:t xml:space="preserve">ЦИФРОВАЯ ТРАНСФОРМАЦИЯ МОДНОГО ДИСКУРСА: ИССЛЕДОВАНИЕ С ПРИМЕНЕНИЕМ МЕТОДОВ ОБРАБОТКИ ЕСТЕСТВЕННОГО ЯЗЫКА</w:t>
      </w:r>
    </w:p>
    <w:p>
      <w:pPr>
        <w:pStyle w:val="Основной текст"/>
        <w:spacing w:before="0" w:after="0" w:line="360" w:lineRule="auto"/>
        <w:ind w:firstLine="0"/>
        <w:rPr>
          <w:rFonts w:ascii="Times New Roman" w:hAnsi="Times New Roman" w:cs="Times New Roman"/>
          <w:sz w:val="28"/>
          <w:szCs w:val="28"/>
        </w:rPr>
      </w:pPr>
    </w:p>
    <w:p>
      <w:pPr>
        <w:pStyle w:val="Основной текст"/>
        <w:spacing w:before="0" w:after="0" w:line="360" w:lineRule="auto"/>
        <w:ind w:firstLine="0"/>
        <w:rPr>
          <w:rFonts w:ascii="Times New Roman" w:hAnsi="Times New Roman" w:cs="Times New Roman"/>
          <w:sz w:val="28"/>
          <w:szCs w:val="28"/>
        </w:rPr>
      </w:pPr>
    </w:p>
    <w:p>
      <w:pPr>
        <w:pStyle w:val="Основной текст"/>
        <w:spacing w:before="0" w:after="0" w:line="360" w:lineRule="auto"/>
        <w:ind w:firstLine="0"/>
        <w:rPr>
          <w:rFonts w:ascii="Times New Roman" w:hAnsi="Times New Roman" w:cs="Times New Roman"/>
          <w:sz w:val="28"/>
          <w:szCs w:val="28"/>
        </w:rPr>
      </w:pPr>
    </w:p>
    <w:p>
      <w:pPr>
        <w:pStyle w:val="Основной текст"/>
        <w:spacing w:before="0" w:after="0" w:line="360" w:lineRule="auto"/>
        <w:ind w:firstLine="0"/>
        <w:rPr>
          <w:rFonts w:ascii="Times New Roman" w:hAnsi="Times New Roman" w:cs="Times New Roman"/>
          <w:sz w:val="28"/>
          <w:szCs w:val="28"/>
        </w:rPr>
      </w:pPr>
    </w:p>
    <w:p>
      <w:pPr>
        <w:pStyle w:val="Основной текст"/>
        <w:spacing w:before="0" w:after="0" w:line="360" w:lineRule="auto"/>
        <w:ind w:firstLine="0"/>
        <w:jc w:val="right"/>
        <w:rPr>
          <w:rFonts w:ascii="Times New Roman" w:hAnsi="Times New Roman" w:cs="Times New Roman"/>
          <w:sz w:val="28"/>
          <w:szCs w:val="28"/>
        </w:rPr>
      </w:pPr>
      <w:r>
        <w:rPr>
          <w:rFonts w:ascii="Times New Roman" w:hAnsi="Times New Roman" w:cs="Times New Roman"/>
          <w:sz w:val="28"/>
          <w:szCs w:val="28"/>
          <w:lang w:val="ru-RU"/>
        </w:rPr>
        <w:t xml:space="preserve">Научный руководитель: канд. филол. наук, ст. преподаватель</w:t>
      </w:r>
    </w:p>
    <w:p>
      <w:pPr>
        <w:pStyle w:val="Основной текст"/>
        <w:spacing w:before="0" w:after="0" w:line="360" w:lineRule="auto"/>
        <w:ind w:firstLine="0"/>
        <w:jc w:val="right"/>
        <w:rPr>
          <w:rFonts w:ascii="Times New Roman" w:hAnsi="Times New Roman" w:cs="Times New Roman"/>
          <w:sz w:val="28"/>
          <w:szCs w:val="28"/>
        </w:rPr>
      </w:pPr>
      <w:r>
        <w:rPr>
          <w:rFonts w:ascii="Times New Roman" w:hAnsi="Times New Roman" w:cs="Times New Roman"/>
          <w:sz w:val="28"/>
          <w:szCs w:val="28"/>
          <w:lang w:val="ru-RU"/>
        </w:rPr>
        <w:t xml:space="preserve">Полоян Анна Васильевна</w:t>
      </w:r>
    </w:p>
    <w:p>
      <w:pPr>
        <w:pStyle w:val="Основной текст"/>
        <w:spacing w:before="0" w:after="0" w:line="360" w:lineRule="auto"/>
        <w:ind w:firstLine="0"/>
        <w:rPr>
          <w:rFonts w:ascii="Times New Roman" w:hAnsi="Times New Roman" w:cs="Times New Roman"/>
          <w:sz w:val="28"/>
          <w:szCs w:val="28"/>
        </w:rPr>
      </w:pPr>
    </w:p>
    <w:p>
      <w:pPr>
        <w:pStyle w:val="Основной текст"/>
        <w:spacing w:before="0" w:after="0" w:line="360" w:lineRule="auto"/>
        <w:ind w:firstLine="0"/>
        <w:rPr>
          <w:rFonts w:ascii="Times New Roman" w:hAnsi="Times New Roman" w:cs="Times New Roman"/>
          <w:sz w:val="28"/>
          <w:szCs w:val="28"/>
        </w:rPr>
      </w:pPr>
    </w:p>
    <w:p>
      <w:pPr>
        <w:pStyle w:val="Основной текст"/>
        <w:spacing w:before="0" w:after="0" w:line="360" w:lineRule="auto"/>
        <w:ind w:firstLine="0"/>
        <w:rPr>
          <w:rFonts w:ascii="Times New Roman" w:hAnsi="Times New Roman" w:cs="Times New Roman"/>
          <w:sz w:val="28"/>
          <w:szCs w:val="28"/>
        </w:rPr>
      </w:pPr>
    </w:p>
    <w:p>
      <w:pPr>
        <w:pStyle w:val="Основной текст"/>
        <w:spacing w:before="0" w:after="0" w:line="360" w:lineRule="auto"/>
        <w:ind w:firstLine="0"/>
        <w:jc w:val="center"/>
        <w:rPr>
          <w:rFonts w:ascii="Times New Roman" w:hAnsi="Times New Roman" w:cs="Times New Roman"/>
          <w:sz w:val="28"/>
          <w:szCs w:val="28"/>
        </w:rPr>
      </w:pPr>
      <w:r>
        <w:rPr>
          <w:rFonts w:ascii="Times New Roman" w:hAnsi="Times New Roman" w:cs="Times New Roman"/>
          <w:sz w:val="28"/>
          <w:szCs w:val="28"/>
          <w:lang w:val="ru-RU"/>
        </w:rPr>
        <w:t xml:space="preserve">Ростов-на-Дону — 2026</w:t>
      </w:r>
    </w:p>
    <w:p>
      <w:pPr>
        <w:pStyle w:val="Основной текст"/>
        <w:pageBreakBefore/>
        <w:spacing w:before="0" w:after="0" w:line="360" w:lineRule="auto"/>
        <w:ind w:firstLine="0"/>
        <w:jc w:val="center"/>
        <w:rPr>
          <w:rFonts w:ascii="Times New Roman" w:hAnsi="Times New Roman" w:cs="Times New Roman"/>
          <w:sz w:val="28"/>
          <w:szCs w:val="28"/>
          <w:b/>
          <w:bCs/>
        </w:rPr>
      </w:pPr>
      <w:r>
        <w:rPr>
          <w:rFonts w:ascii="Times New Roman" w:hAnsi="Times New Roman" w:cs="Times New Roman"/>
          <w:sz w:val="28"/>
          <w:szCs w:val="28"/>
          <w:b/>
          <w:bCs/>
          <w:lang w:val="ru-RU"/>
        </w:rPr>
        <w:t xml:space="preserve">ОГЛАВЛЕНИЕ</w:t>
      </w:r>
    </w:p>
    <w:p>
      <w:pPr>
        <w:pStyle w:val="Основной текст"/>
        <w:spacing w:before="0" w:after="0" w:line="360" w:lineRule="auto"/>
        <w:ind w:firstLine="0"/>
        <w:rPr>
          <w:rFonts w:ascii="Times New Roman" w:hAnsi="Times New Roman" w:cs="Times New Roman"/>
          <w:sz w:val="28"/>
          <w:szCs w:val="28"/>
        </w:rPr>
      </w:pPr>
    </w:p>
    <w:p>
      <w:pPr>
        <w:pStyle w:val="Основной текст"/>
        <w:tabs>
          <w:tab w:val="right" w:leader="dot" w:pos="9071"/>
        </w:tabs>
        <w:spacing w:before="0" w:after="0" w:line="360" w:lineRule="auto"/>
        <w:ind w:firstLine="0"/>
        <w:rPr>
          <w:rFonts w:ascii="Times New Roman" w:hAnsi="Times New Roman" w:cs="Times New Roman"/>
          <w:sz w:val="28"/>
          <w:szCs w:val="28"/>
          <w:b/>
          <w:bCs/>
        </w:rPr>
      </w:pPr>
      <w:r>
        <w:rPr>
          <w:rFonts w:ascii="Times New Roman" w:hAnsi="Times New Roman" w:cs="Times New Roman"/>
          <w:sz w:val="28"/>
          <w:szCs w:val="28"/>
          <w:b/>
          <w:bCs/>
          <w:lang w:val="ru-RU"/>
        </w:rPr>
        <w:t xml:space="preserve">ВВЕДЕНИЕ</w:t>
        <w:tab/>
        <w:t>3</w:t>
      </w:r>
    </w:p>
    <w:p>
      <w:pPr>
        <w:pStyle w:val="Основной текст"/>
        <w:tabs>
          <w:tab w:val="right" w:leader="dot" w:pos="9071"/>
        </w:tabs>
        <w:spacing w:before="0" w:after="0" w:line="360" w:lineRule="auto"/>
        <w:ind w:firstLine="0"/>
        <w:rPr>
          <w:rFonts w:ascii="Times New Roman" w:hAnsi="Times New Roman" w:cs="Times New Roman"/>
          <w:sz w:val="28"/>
          <w:szCs w:val="28"/>
          <w:b/>
          <w:bCs/>
        </w:rPr>
      </w:pPr>
      <w:r>
        <w:rPr>
          <w:rFonts w:ascii="Times New Roman" w:hAnsi="Times New Roman" w:cs="Times New Roman"/>
          <w:sz w:val="28"/>
          <w:szCs w:val="28"/>
          <w:b/>
          <w:bCs/>
          <w:lang w:val="ru-RU"/>
        </w:rPr>
        <w:t xml:space="preserve">ГЛАВА 1. ТЕОРЕТИЧЕСКИЕ ОСНОВЫ ИССЛЕДОВАНИЯ МОДНОГО ДИСКУРСА В ЦИФРОВОЙ СРЕДЕ</w:t>
        <w:tab/>
        <w:t>7</w:t>
      </w:r>
    </w:p>
    <w:p>
      <w:pPr>
        <w:pStyle w:val="Основной текст"/>
        <w:tabs>
          <w:tab w:val="right" w:leader="dot" w:pos="9071"/>
        </w:tabs>
        <w:spacing w:before="0" w:after="0" w:line="360" w:lineRule="auto"/>
        <w:ind w:firstLine="0"/>
        <w:rPr>
          <w:rFonts w:ascii="Times New Roman" w:hAnsi="Times New Roman" w:cs="Times New Roman"/>
          <w:sz w:val="28"/>
          <w:szCs w:val="28"/>
        </w:rPr>
      </w:pPr>
      <w:r>
        <w:rPr>
          <w:rFonts w:ascii="Times New Roman" w:hAnsi="Times New Roman" w:cs="Times New Roman"/>
          <w:sz w:val="28"/>
          <w:szCs w:val="28"/>
          <w:lang w:val="ru-RU"/>
        </w:rPr>
        <w:t xml:space="preserve">1.1 Модный дискурс как социокультурный и коммуникативный феномен</w:t>
        <w:tab/>
        <w:t>7</w:t>
      </w:r>
    </w:p>
    <w:p>
      <w:pPr>
        <w:pStyle w:val="Основной текст"/>
        <w:tabs>
          <w:tab w:val="right" w:leader="dot" w:pos="9071"/>
        </w:tabs>
        <w:spacing w:before="0" w:after="0" w:line="360" w:lineRule="auto"/>
        <w:ind w:firstLine="0"/>
        <w:rPr>
          <w:rFonts w:ascii="Times New Roman" w:hAnsi="Times New Roman" w:cs="Times New Roman"/>
          <w:sz w:val="28"/>
          <w:szCs w:val="28"/>
        </w:rPr>
      </w:pPr>
      <w:r>
        <w:rPr>
          <w:rFonts w:ascii="Times New Roman" w:hAnsi="Times New Roman" w:cs="Times New Roman"/>
          <w:sz w:val="28"/>
          <w:szCs w:val="28"/>
          <w:lang w:val="ru-RU"/>
        </w:rPr>
        <w:t xml:space="preserve">1.2 Цифровая коммуникация и платформенная организация модной индустрии</w:t>
        <w:tab/>
        <w:t>10</w:t>
      </w:r>
    </w:p>
    <w:p>
      <w:pPr>
        <w:pStyle w:val="Основной текст"/>
        <w:tabs>
          <w:tab w:val="right" w:leader="dot" w:pos="9071"/>
        </w:tabs>
        <w:spacing w:before="0" w:after="0" w:line="360" w:lineRule="auto"/>
        <w:ind w:firstLine="0"/>
        <w:rPr>
          <w:rFonts w:ascii="Times New Roman" w:hAnsi="Times New Roman" w:cs="Times New Roman"/>
          <w:sz w:val="28"/>
          <w:szCs w:val="28"/>
        </w:rPr>
      </w:pPr>
      <w:r>
        <w:rPr>
          <w:rFonts w:ascii="Times New Roman" w:hAnsi="Times New Roman" w:cs="Times New Roman"/>
          <w:sz w:val="28"/>
          <w:szCs w:val="28"/>
          <w:lang w:val="ru-RU"/>
        </w:rPr>
        <w:t xml:space="preserve">1.3 Жанрово-стилистические особенности цифрового модного дискурса</w:t>
        <w:tab/>
        <w:t>13</w:t>
      </w:r>
    </w:p>
    <w:p>
      <w:pPr>
        <w:pStyle w:val="Основной текст"/>
        <w:tabs>
          <w:tab w:val="right" w:leader="dot" w:pos="9071"/>
        </w:tabs>
        <w:spacing w:before="0" w:after="0" w:line="360" w:lineRule="auto"/>
        <w:ind w:firstLine="0"/>
        <w:rPr>
          <w:rFonts w:ascii="Times New Roman" w:hAnsi="Times New Roman" w:cs="Times New Roman"/>
          <w:sz w:val="28"/>
          <w:szCs w:val="28"/>
        </w:rPr>
      </w:pPr>
      <w:r>
        <w:rPr>
          <w:rFonts w:ascii="Times New Roman" w:hAnsi="Times New Roman" w:cs="Times New Roman"/>
          <w:sz w:val="28"/>
          <w:szCs w:val="28"/>
          <w:lang w:val="ru-RU"/>
        </w:rPr>
        <w:t xml:space="preserve">1.4 Методы обработки естественного языка в исследованиях дискурса</w:t>
        <w:tab/>
        <w:t>16</w:t>
      </w:r>
    </w:p>
    <w:p>
      <w:pPr>
        <w:pStyle w:val="Основной текст"/>
        <w:tabs>
          <w:tab w:val="right" w:leader="dot" w:pos="9071"/>
        </w:tabs>
        <w:spacing w:before="0" w:after="0" w:line="360" w:lineRule="auto"/>
        <w:ind w:firstLine="0"/>
        <w:rPr>
          <w:rFonts w:ascii="Times New Roman" w:hAnsi="Times New Roman" w:cs="Times New Roman"/>
          <w:sz w:val="28"/>
          <w:szCs w:val="28"/>
        </w:rPr>
      </w:pPr>
      <w:r>
        <w:rPr>
          <w:rFonts w:ascii="Times New Roman" w:hAnsi="Times New Roman" w:cs="Times New Roman"/>
          <w:sz w:val="28"/>
          <w:szCs w:val="28"/>
          <w:lang w:val="ru-RU"/>
        </w:rPr>
        <w:t xml:space="preserve">Выводы по главе 1</w:t>
        <w:tab/>
        <w:t>20</w:t>
      </w:r>
    </w:p>
    <w:p>
      <w:pPr>
        <w:pStyle w:val="Основной текст"/>
        <w:tabs>
          <w:tab w:val="right" w:leader="dot" w:pos="9071"/>
        </w:tabs>
        <w:spacing w:before="0" w:after="0" w:line="360" w:lineRule="auto"/>
        <w:ind w:firstLine="0"/>
        <w:rPr>
          <w:rFonts w:ascii="Times New Roman" w:hAnsi="Times New Roman" w:cs="Times New Roman"/>
          <w:sz w:val="28"/>
          <w:szCs w:val="28"/>
          <w:b/>
          <w:bCs/>
        </w:rPr>
      </w:pPr>
      <w:r>
        <w:rPr>
          <w:rFonts w:ascii="Times New Roman" w:hAnsi="Times New Roman" w:cs="Times New Roman"/>
          <w:sz w:val="28"/>
          <w:szCs w:val="28"/>
          <w:b/>
          <w:bCs/>
          <w:lang w:val="ru-RU"/>
        </w:rPr>
        <w:t xml:space="preserve">ГЛАВА 2. ЭМПИРИЧЕСКОЕ ИССЛЕДОВАНИЕ ЦИФРОВОГО МОДНОГО ДИСКУРСА МЕТОДАМИ NLP</w:t>
        <w:tab/>
        <w:t>23</w:t>
      </w:r>
    </w:p>
    <w:p>
      <w:pPr>
        <w:pStyle w:val="Основной текст"/>
        <w:tabs>
          <w:tab w:val="right" w:leader="dot" w:pos="9071"/>
        </w:tabs>
        <w:spacing w:before="0" w:after="0" w:line="360" w:lineRule="auto"/>
        <w:ind w:firstLine="0"/>
        <w:rPr>
          <w:rFonts w:ascii="Times New Roman" w:hAnsi="Times New Roman" w:cs="Times New Roman"/>
          <w:sz w:val="28"/>
          <w:szCs w:val="28"/>
        </w:rPr>
      </w:pPr>
      <w:r>
        <w:rPr>
          <w:rFonts w:ascii="Times New Roman" w:hAnsi="Times New Roman" w:cs="Times New Roman"/>
          <w:sz w:val="28"/>
          <w:szCs w:val="28"/>
          <w:lang w:val="ru-RU"/>
        </w:rPr>
        <w:t xml:space="preserve">2.1 Принципы формирования и аннотирования корпуса</w:t>
        <w:tab/>
        <w:t>23</w:t>
      </w:r>
    </w:p>
    <w:p>
      <w:pPr>
        <w:pStyle w:val="Основной текст"/>
        <w:tabs>
          <w:tab w:val="right" w:leader="dot" w:pos="9071"/>
        </w:tabs>
        <w:spacing w:before="0" w:after="0" w:line="360" w:lineRule="auto"/>
        <w:ind w:firstLine="0"/>
        <w:rPr>
          <w:rFonts w:ascii="Times New Roman" w:hAnsi="Times New Roman" w:cs="Times New Roman"/>
          <w:sz w:val="28"/>
          <w:szCs w:val="28"/>
        </w:rPr>
      </w:pPr>
      <w:r>
        <w:rPr>
          <w:rFonts w:ascii="Times New Roman" w:hAnsi="Times New Roman" w:cs="Times New Roman"/>
          <w:sz w:val="28"/>
          <w:szCs w:val="28"/>
          <w:lang w:val="ru-RU"/>
        </w:rPr>
        <w:t xml:space="preserve">2.2 Частотный, коллокационный и тематический анализ корпуса</w:t>
        <w:tab/>
        <w:t>27</w:t>
      </w:r>
    </w:p>
    <w:p>
      <w:pPr>
        <w:pStyle w:val="Основной текст"/>
        <w:tabs>
          <w:tab w:val="right" w:leader="dot" w:pos="9071"/>
        </w:tabs>
        <w:spacing w:before="0" w:after="0" w:line="360" w:lineRule="auto"/>
        <w:ind w:firstLine="0"/>
        <w:rPr>
          <w:rFonts w:ascii="Times New Roman" w:hAnsi="Times New Roman" w:cs="Times New Roman"/>
          <w:sz w:val="28"/>
          <w:szCs w:val="28"/>
        </w:rPr>
      </w:pPr>
      <w:r>
        <w:rPr>
          <w:rFonts w:ascii="Times New Roman" w:hAnsi="Times New Roman" w:cs="Times New Roman"/>
          <w:sz w:val="28"/>
          <w:szCs w:val="28"/>
          <w:lang w:val="ru-RU"/>
        </w:rPr>
        <w:t xml:space="preserve">2.3 Тональность и жанрово-стилистическая специфика цифрового модного дискурса</w:t>
        <w:tab/>
        <w:t>29</w:t>
      </w:r>
    </w:p>
    <w:p>
      <w:pPr>
        <w:pStyle w:val="Основной текст"/>
        <w:tabs>
          <w:tab w:val="right" w:leader="dot" w:pos="9071"/>
        </w:tabs>
        <w:spacing w:before="0" w:after="0" w:line="360" w:lineRule="auto"/>
        <w:ind w:firstLine="0"/>
        <w:rPr>
          <w:rFonts w:ascii="Times New Roman" w:hAnsi="Times New Roman" w:cs="Times New Roman"/>
          <w:sz w:val="28"/>
          <w:szCs w:val="28"/>
        </w:rPr>
      </w:pPr>
      <w:r>
        <w:rPr>
          <w:rFonts w:ascii="Times New Roman" w:hAnsi="Times New Roman" w:cs="Times New Roman"/>
          <w:sz w:val="28"/>
          <w:szCs w:val="28"/>
          <w:lang w:val="ru-RU"/>
        </w:rPr>
        <w:t xml:space="preserve">2.4 Влияние платформенных алгоритмов на формирование цифрового модного дискурса</w:t>
        <w:tab/>
        <w:t>31</w:t>
      </w:r>
    </w:p>
    <w:p>
      <w:pPr>
        <w:pStyle w:val="Основной текст"/>
        <w:tabs>
          <w:tab w:val="right" w:leader="dot" w:pos="9071"/>
        </w:tabs>
        <w:spacing w:before="0" w:after="0" w:line="360" w:lineRule="auto"/>
        <w:ind w:firstLine="0"/>
        <w:rPr>
          <w:rFonts w:ascii="Times New Roman" w:hAnsi="Times New Roman" w:cs="Times New Roman"/>
          <w:sz w:val="28"/>
          <w:szCs w:val="28"/>
        </w:rPr>
      </w:pPr>
      <w:r>
        <w:rPr>
          <w:rFonts w:ascii="Times New Roman" w:hAnsi="Times New Roman" w:cs="Times New Roman"/>
          <w:sz w:val="28"/>
          <w:szCs w:val="28"/>
          <w:lang w:val="ru-RU"/>
        </w:rPr>
        <w:t xml:space="preserve">Выводы по главе 2</w:t>
        <w:tab/>
        <w:t>33</w:t>
      </w:r>
    </w:p>
    <w:p>
      <w:pPr>
        <w:pStyle w:val="Основной текст"/>
        <w:tabs>
          <w:tab w:val="right" w:leader="dot" w:pos="9071"/>
        </w:tabs>
        <w:spacing w:before="0" w:after="0" w:line="360" w:lineRule="auto"/>
        <w:ind w:firstLine="0"/>
        <w:rPr>
          <w:rFonts w:ascii="Times New Roman" w:hAnsi="Times New Roman" w:cs="Times New Roman"/>
          <w:sz w:val="28"/>
          <w:szCs w:val="28"/>
          <w:b/>
          <w:bCs/>
        </w:rPr>
      </w:pPr>
      <w:r>
        <w:rPr>
          <w:rFonts w:ascii="Times New Roman" w:hAnsi="Times New Roman" w:cs="Times New Roman"/>
          <w:sz w:val="28"/>
          <w:szCs w:val="28"/>
          <w:b/>
          <w:bCs/>
          <w:lang w:val="ru-RU"/>
        </w:rPr>
        <w:t xml:space="preserve">ЗАКЛЮЧЕНИЕ</w:t>
        <w:tab/>
        <w:t>36</w:t>
      </w:r>
    </w:p>
    <w:p>
      <w:pPr>
        <w:pStyle w:val="Основной текст"/>
        <w:pageBreakBefore/>
        <w:spacing w:before="0" w:after="0" w:line="360" w:lineRule="auto"/>
        <w:ind w:left="0" w:right="0" w:firstLine="0"/>
        <w:jc w:val="center"/>
        <w:rPr>
          <w:rFonts w:ascii="Times New Roman" w:hAnsi="Times New Roman" w:cs="Times New Roman"/>
          <w:b/>
          <w:bCs/>
          <w:sz w:val="28"/>
          <w:szCs w:val="28"/>
        </w:rPr>
      </w:pPr>
      <w:r>
        <w:rPr>
          <w:rFonts w:ascii="Times New Roman" w:hAnsi="Times New Roman" w:cs="Times New Roman"/>
          <w:b/>
          <w:bCs/>
          <w:sz w:val="28"/>
          <w:szCs w:val="28"/>
          <w:lang w:val="ru-RU"/>
        </w:rPr>
        <w:t xml:space="preserve">ВВЕДЕНИЕ</w:t>
      </w:r>
    </w:p>
    <w:p>
      <w:pPr>
        <w:pStyle w:val="Основной текст"/>
        <w:spacing w:before="0" w:after="0" w:line="360" w:lineRule="auto"/>
        <w:ind w:left="0" w:right="0" w:firstLine="0"/>
        <w:rPr>
          <w:rFonts w:ascii="Times New Roman" w:hAnsi="Times New Roman" w:cs="Times New Roman"/>
          <w:sz w:val="28"/>
          <w:szCs w:val="28"/>
        </w:rPr>
      </w:pP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Цифровая трансформация затронула практически все сферы человеческой деятельности, и индустрия моды не стала исключением. Показы переезжают на специализированные онлайн-платформы, модные дома выстраивают коммуникацию с аудиторией через социальные сети и метавселенные, а традиционные глянцевые издания уступают место цифровым медиа нового поколения. Эти изменения не остаются без языкового следа: цифровой модный дискурс формирует собственную терминологию, порождает гибридные жанровые формы и демонстрирует системную неологизацию лексики, отражающую как предметные изменения индустрии, так и более широкие ценностные сдвиги в обществе.</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Актуальность настоящего исследования определяется несколькими факторами. Во-первых, существующая лингвистическая литература о модном дискурсе преимущественно опирается на материал печатных изданий или ранних этапов цифровизации индустрии, тогда как за последние годы модная индустрия претерпела качественные изменения — распространение метавселенной, цифровой одежды, платформенной организации показов, — которые пока не получили системного лингвистического осмысления. Во-вторых, методы автоматической обработки естественного языка, успешно применяемые к анализу медиадискурса в целом, крайне редко используются на материале именно модного дискурса, а тем более — русскоязычного. В-третьих, сама цифровая инфраструктура модных медиа (технические ограничения доступа к данным, трансформация состава изданий) представляет самостоятельный интерес как объект исследования, отражающий реальное состояние цифрового модного дискурса, а не только его языковое содержание.</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Степень научной разработанности темы неоднородна. Достаточно полно освещены отдельные аспекты модного дискурса как институционального типа дискурса (Е. А. Никитина, Е. П. Гаран), его терминологической базы (И. З. Борисова, В. А. Федорова; А. Г. Дедюхина, А. А. Дедюхин) и неологизации (Е. И. Ерпилова). Значительный корпус работ посвящён отдельным аспектам цифровой трансформации модной индустрии — метавселенной (Н. А. Коробцева, М. В. Романов), цифровой одежде и геймификации (Ю. С. Конарева, Э. А. Осипова; К. А. Панькина и др.), платформенной организации коммуникации (И. Б. Долженко; А. С. Календжян). Отдельное направление составляют методические работы по автоматической обработке текста и дискурс-анализу (Е. И. Большакова и др.; М. И. Солнышкина и др.; О. В. Нагога). При этом работы, объединяющие эмпирическое исследование именно цифрового модного дискурса с применением методов NLP на русскоязычном материале, единичны, что и определяет научную новизну настоящего исследования.</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Объектом исследования выступает цифровой модный дискурс как совокупность текстов, функционирующих в цифровых медиа модной индустрии.</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Предметом исследования являются лексические, жанрово-стилистические и тональностные характеристики цифрового модного дискурса, а также возможности их выявления методами автоматической обработки естественного языка.</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Цель исследования — изучить цифровую трансформацию модного дискурса и возможности применения к нему методов обработки естественного языка.</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Для достижения поставленной цели решались следующие задачи: рассмотреть модный дискурс как социокультурный и коммуникативный феномен, определить его институциональный статус, терминологическую базу и функциональную структуру; охарактеризовать цифровую трансформацию модной индустрии на организационно-экономическом, маркетингово-коммуникативном и технологическом уровнях; выявить жанрово-стилистические особенности цифрового модного дискурса и описать методы обработки естественного языка, применимые к его исследованию; сформировать и аннотировать корпус текстов цифрового модного дискурса, зафиксировав методологические ограничения его формирования; провести частотный, коллокационный и тематический анализ корпуса, а также стилометрическое сравнение текстов по жанровому принципу; исследовать тональность текстов корпуса и её связь с жанровой и источниковой принадлежностью; интерпретировать выявленные закономерности в контексте влияния платформенных алгоритмов на формирование цифрового дискурса.</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Материалом исследования послужил специально сформированный корпус из 202 текстов девяти цифровых изданий (The Blueprint, SYMBOL, The Voice, Posta-Magazine, Snob, MarieClaire, Moskvichka, FRWF, «Мнение редакции»), опубликованных в 2026 году.</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Методы исследования включают дискурс-анализ, метод сплошной выборки при формировании корпуса, а также методы автоматической обработки естественного языка: лексико-статистический анализ, расчёт меры точечной взаимной информации (PMI) для выявления коллокаций, вероятностное тематическое моделирование (LDA), автоматический анализ тональности на основе нейросетевой модели и элементы стилометрического анализа.</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Практическая значимость работы состоит в разработке воспроизводимой методологии сбора данных для исследований цифрового дискурса, включая явную фиксацию технических ограничений источников. Собранный корпус фиксирует синхронный срез состояния цифрового модного дискурса 2026 года и может служить точкой отсчёта для последующих диахронических исследований.</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Структура работы. ВКР состоит из введения, двух глав, заключения и списка литературы. В первой главе рассматриваются теоретические основы исследования модного дискурса в цифровой среде. Вторая глава посвящена эмпирическому исследованию цифрового модного дискурса методами обработки естественного языка.</w:t>
      </w:r>
    </w:p>
    <w:p>
      <w:pPr>
        <w:pStyle w:val="Основной текст"/>
        <w:spacing w:before="0" w:after="0" w:line="360" w:lineRule="auto"/>
        <w:ind w:left="0" w:right="0" w:firstLine="0"/>
        <w:rPr>
          <w:rFonts w:ascii="Times New Roman" w:hAnsi="Times New Roman" w:cs="Times New Roman"/>
          <w:sz w:val="28"/>
          <w:szCs w:val="28"/>
        </w:rPr>
      </w:pPr>
    </w:p>
    <w:p>
      <w:pPr>
        <w:pStyle w:val="Основной текст"/>
        <w:pageBreakBefore/>
        <w:spacing w:before="0" w:after="0" w:line="360" w:lineRule="auto"/>
        <w:ind w:firstLine="0"/>
        <w:jc w:val="center"/>
        <w:rPr>
          <w:rFonts w:ascii="Times New Roman" w:hAnsi="Times New Roman" w:cs="Times New Roman"/>
          <w:sz w:val="28"/>
          <w:szCs w:val="28"/>
          <w:b/>
          <w:bCs/>
        </w:rPr>
      </w:pPr>
      <w:r>
        <w:rPr>
          <w:rFonts w:ascii="Times New Roman" w:hAnsi="Times New Roman" w:cs="Times New Roman"/>
          <w:sz w:val="28"/>
          <w:szCs w:val="28"/>
          <w:b/>
          <w:bCs/>
          <w:lang w:val="ru-RU"/>
        </w:rPr>
        <w:t xml:space="preserve">ГЛАВА 1. ТЕОРЕТИЧЕСКИЕ ОСНОВЫ ИССЛЕДОВАНИЯ МОДНОГО ДИСКУРСА В ЦИФРОВОЙ СРЕДЕ</w:t>
      </w:r>
    </w:p>
    <w:p>
      <w:pPr>
        <w:pStyle w:val="Основной текст"/>
        <w:spacing w:before="0" w:after="0" w:line="360" w:lineRule="auto"/>
        <w:ind w:firstLine="0"/>
        <w:rPr>
          <w:rFonts w:ascii="Times New Roman" w:hAnsi="Times New Roman" w:cs="Times New Roman"/>
          <w:sz w:val="28"/>
          <w:szCs w:val="28"/>
        </w:rPr>
      </w:pPr>
    </w:p>
    <w:p>
      <w:pPr>
        <w:pStyle w:val="Основной текст"/>
        <w:spacing w:before="0" w:after="0" w:line="360" w:lineRule="auto"/>
        <w:ind w:left="0" w:right="0" w:firstLine="0"/>
        <w:rPr>
          <w:rFonts w:ascii="Times New Roman" w:cs="Times New Roman" w:hAnsi="Times New Roman" w:eastAsia="Times New Roman"/>
          <w:b/>
          <w:bCs/>
          <w:sz w:val="28"/>
          <w:szCs w:val="28"/>
        </w:rPr>
      </w:pPr>
      <w:r>
        <w:rPr>
          <w:rFonts w:ascii="Times New Roman" w:hAnsi="Times New Roman"/>
          <w:b/>
          <w:bCs/>
          <w:sz w:val="28"/>
          <w:szCs w:val="28"/>
          <w:rtl w:val="0"/>
          <w:lang w:val="ru-RU"/>
        </w:rPr>
        <w:t xml:space="preserve">1.1 Модный дискурс как социокультурный и коммуникативный феномен</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В социолингвистике принято делить дискурс на два вида: персональный, то есть личностно-ориентированный, и институциональный. Во втором случае говорящий действует не от себя, а как представитель определённого социального института, и общение идёт в жёстких рамках статусно-ролевых отношений [Никитина, 2015, с. 108]. Модный дискурс исследователи логично относят именно к институциональному подтипу. Он строится на основе устойчивых институтов — модных домов, изданий, организаторов показов — и обеспечивает их коммуникацию с аудиторией [Никитина, 2015, с. 104–105].</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Один из распространённых подходов к определению модного дискурса опирается на понятие вестиментарного кода (от лат. vestimentum — одежда, облачение; системы значений, которую формирует одежда как знаковый объект). Вслед за Ф. Л. Косицкой дискурс моды описывают как «продукт сознательного творчества людей из мира моды, включающий совокупность значимых оппозиций и правил сочетания элементов одежды» [цит. по: Гаран, 2018, с. 113]. При этом исследователи разводят широкое и узкое понимание. В широком смысле это сложное коммуникативное событие между производителями и потребителями моды, где задействованы и вербальные, и невербальные средства. В узком смысле — когерентность текстов, объединённых тематически вокруг концепта «Мода» [Гаран, 2018, с. 114]. Близкое по духу определение даёт В. В. Кузнецова, характеризуя дискурс моды как «вербализованную речемыслительную деятельность, тематически организованную вокруг концепта МОДА» [цит. по: Дедюхина, Дедюхин, 2023, с. 3157].</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Функциональная структура модного дискурса у разных авторов тоже описывается схожим образом. Выделяют рекламную (маркетинг-ориентированную), информирующую, инструктирующую и имидж-определяющую функции [Гаран, 2018, с. 114]. Та же логика просматривается в более ранней трёхчастной типологии: информирующий, инструктирующий и маркетинг-ориентированный подвиды дискурса моды [цит. по: Дедюхина, Дедюхин, 2023, с. 3157].</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Терминология модного дискурса пополняется из двух источников. Первый — устойчивый пласт французских по происхождению терминов индустрии (haute couture — высокая мода, prêt-à-porter — готовая одежда серийного производства, couturier — модельер, и другие). Их классифицируют по семи функциональным группам: от обозначений участников индустрии до терминов тканей и аксессуаров [Борисова, Федорова, 2024, с. 1–2]. Второй источник — активная экспансия англицизмов. Среди них доминирует лексема fashion: на материале блогов, рекламы и глянцевых изданий 2020–2022 годов зафиксировано 144 заимствованные единицы с этим компонентом, распределённые по 14 тематическим подгруппам [Дедюхина, Дедюхин, 2023, с. 3156, 3159]. При этом заимствования не остаются чужеродными: значительная их часть ассимилируется словообразовательными средствами русского языка — суффиксами -к-, -овк-, -ник, приставкой под-. Это подтверждается и на материале исконной лексики модного словаря, например в журналах «Elle», «Voice», «Symbol» [Уренкова, 2023, с. 1–2].</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Закономерности, которые Дедюхина выявила непосредственно на материале модной лексики, перекликаются с более широкими наблюдениями над англоязычными заимствованиями в русском языке XXI века. Гальцева указывает, что на нынешнем этапе самыми продуктивными среди заимствований оказываются именно англицизмы: они проникают практически во все сферы деятельности человека, тогда как заимствования из французского и немецкого количественно им уступают и пополняют лишь отдельные тематические области [Гальцева, 2014]. Примечательно, что в перечне англицизмов, который исследователь фиксирует в рекламной сфере и в моде, обнаруживаются единицы тренд и бренд, причём обе принадлежат к самым частотным и в корпусе, собранном для данной работы (см. §2.2). Гальцева называет и формальные приметы — фонетические и грамматические, — по которым носители, как правило, узнают английское заимствование: это сочетания дж, -инг, -мент(-мен), -ер, -(т)ч, -ция [Гальцева, 2014]. В модной терминологии такие приметы дают о себе знать регулярно — достаточно вспомнить брендинг, шопинг, кастинг, стайлинг. Отсюда следует, что англизация модной лексики носит не случайный, а структурно закреплённый характер: речь идёт не об отдельных вкраплениях, а о воспроизводимой модели.</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Ещё одно системное свойство модного дискурса — высокая продуктивность неологизации. Она объясняется самой природой моды, которая ориентирована на постоянное обновление [Ерпилова, 2022, с. 76]. Показательно, что неологизация здесь не сводится к называнию новых предметов гардероба. Она фиксирует и более глубокие сдвиги в ценностных ориентирах. Так, анализ выпусков Vogue Russia за 2008–2010 и 2017–2022 годы показывает: такие неологизмы, как «плюс-сайз», «бодипозитив», «лукизм», «инклюзивность», «осознанность», «sustainable», отражают переход элитарного глянца от трансляции ценностей роскоши к ценностям телесного разнообразия, экологичности и гендерной нейтральности [Ерпилова, 2023, с. 62–66].</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Таким образом, модный дискурс можно определить как институциональный тип дискурса. Для него характерны устойчивый набор коммуникативных функций, гибридная терминологическая база — французская и англоязычная одновременно — и системная ориентация на неологизацию. Последняя отражает динамику не только модных тенденций, но и более широких социальных ценностей.</w:t>
      </w:r>
    </w:p>
    <w:p>
      <w:pPr>
        <w:pStyle w:val="Основной текст"/>
        <w:spacing w:before="0" w:after="0" w:line="360" w:lineRule="auto"/>
        <w:ind w:left="0" w:right="0" w:firstLine="0"/>
        <w:rPr>
          <w:rFonts w:ascii="Times New Roman" w:cs="Times New Roman" w:hAnsi="Times New Roman" w:eastAsia="Times New Roman"/>
          <w:sz w:val="28"/>
          <w:szCs w:val="28"/>
        </w:rPr>
      </w:pPr>
    </w:p>
    <w:p>
      <w:pPr>
        <w:pStyle w:val="Основной текст"/>
        <w:spacing w:before="0" w:after="0" w:line="360" w:lineRule="auto"/>
        <w:ind w:left="0" w:right="0" w:firstLine="0"/>
        <w:rPr>
          <w:rFonts w:ascii="Times New Roman" w:cs="Times New Roman" w:hAnsi="Times New Roman" w:eastAsia="Times New Roman"/>
          <w:b/>
          <w:bCs/>
          <w:sz w:val="28"/>
          <w:szCs w:val="28"/>
        </w:rPr>
      </w:pPr>
      <w:r>
        <w:rPr>
          <w:rFonts w:ascii="Times New Roman" w:hAnsi="Times New Roman"/>
          <w:b/>
          <w:bCs/>
          <w:sz w:val="28"/>
          <w:szCs w:val="28"/>
          <w:rtl w:val="0"/>
          <w:lang w:val="ru-RU"/>
        </w:rPr>
        <w:t xml:space="preserve">1.2 Цифровая коммуникация и платформенная организация модной индустрии</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Цифровую трансформацию модной индустрии удобно описывать через три переплетающихся направления: оцифровку самих товаров и услуг, оцифровку коммуникации с клиентами и, наконец, оцифровку производства, логистики и внутренних операций компании [Долженко, 2020, с. 68]. Важно, что речь не идёт о простой технической модернизации отдельных участков. Долженко описывает цифровую трансформацию не как точечное обновление процессов, а как согласование корпоративной стратегии с цифровой — с прицелом на организационную перестройку и качественно иной уровень работы с клиентом [Долженко, 2020, с. 70]. На практике это оборачивается тем, что большие данные используются не для пассивного анализа, а для вовлечения потребителя прямо в создание стиля и моды. Сама модель отношений между брендом и аудиторией при этом меняется [Долженко, 2020, с. 69].</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Если посмотреть на ситуацию шире, международное сопоставление показывает: траектории этой трансформации заметно расходятся от страны к стране. Сравнение России, Китая и государств Западной Африки демонстрирует, что цифровизация рынков моды идёт с разной скоростью и с разными приоритетными направлениями — это связано с неодинаковой инфраструктурой, различиями в потребительском поведении и несовпадающей государственной политикой [Астратова и др., 2025]. Иными словами, цифровизация модной индустрии — не единый сценарий, обязательный для всех, а набор национально обусловленных траекторий, которые, однако, опираются на общую технологическую основу.</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На уровне маркетинга та же трансформация проявляется как сдвиг от «реального» потребления моды к «виртуальному». На первый план выходят присутствие бренда в интернете и наличие узнаваемой цифровой «идентичности» на разных платформах [Календжян, 2023, с. 629, 631]. Показателен кейс бренда Hanifa: в пандемийных ограничениях 2020 года дизайнер провела полностью цифровой показ — без подиума и живых моделей, с 3D-анимацией одежды. Трансляция собрала более 10 тысяч одновременных зрителей и дала рост выручки компании [Календжян, 2023, с. 632]. Похожую логику демонстрируют «цифровые модели». Созданный в 2017 году 3D-персонаж Шуду участвовал в рекламных кампаниях Louis Vuitton и Balmain, снимался для Harper's Bazaar и Elle — и таким образом конкурировал с моделями из плоти и крови [Календжян, 2023, с. 633].</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Самое разветвлённое направление цифровизации — цифровая одежда. Исследование поколений X, Y и Z в США зафиксировало устойчивый интерес к цифровым благам: скинам, аватарам, виртуальной одежде. Крупные игроки рынка — Ralph Lauren и Louis Vuitton — выстраивали коллаборации со Snapchat и League of Legends именно ради отношений с поколением Z как будущими основными покупателями [Календжян, 2023, с. 633–634]. Мотивация здесь не только маркетинговая, но и ценностная. Цифровая одежда позиционируется как ответ на проблему избыточного потребления и на экологическую повестку: для её производства не нужны материальные ресурсы [Календжян, 2023, с. 634].</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Экономический размах этого направления виден по данным смежных исследований игровой индустрии. Панькина с соавторами оценивают годовой оборот внутриигровых покупок только на российском рынке Dota 2 и CS:GO примерно в 450 миллионов долларов, а мировой — около 3 миллиардов [Панькина и др., 2022]. Интерес к подобным образам возник и у модных брендов: несколько лет подряд Gucci выпускал коллаборации с Animal Crossing, Roblox, The Sims 4 и Pokémon Go. Такие проекты работают сразу в трёх направлениях — повышают узнаваемость бренда, приносят разработчикам игр дополнительный доход и позволяют потребителям недорого купить дизайнерскую одежду для аватара [Панькина и др., 2022].</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Точкой сборки этих направлений становится метавселенная. Речь о среде, где на одной платформе сходятся 3D-проектирование, виртуальная и дополненная реальность; за счёт этого дизайнеры, конструкторы и потребители взаимодействуют с меньшими издержками [Коробцева, Романов, 2023, с. 1–2]. Свою роль в ускорении сыграл и ковидный период, когда коммуникацию пришлось срочно переносить в цифру [Коробцева, Романов, 2023, с. 2–3]. Среди конкретных инструментов такой интеграции называют искусственный интеллект для анализа потребительских предпочтений, 3D-проектирование и прототипирование, виртуальные коллекции и примерочные, а также монетизацию цифровой одежды в формате игровых скинов (альтернативных вариантов внешнего вида игрового персонажа) [Конарева, Осипова, 2024, с. 2].</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Коммерческим и технологическим измерением значимость цифровой моды не ограничивается — она попадает и в поле теоретической рефлексии, прежде всего в рамках постгуманистической парадигмы. Пертель демонстрирует, что цифровое модное тело принципиально не привязано ни к человеку, ни к его физической телесности: оно существует вне человеческого тела и формируется техническими средствами. Такой взгляд перекликается с концепцией киборга у Д. Харауэй, а также с представлениями о «сборках» у Ж. Делёза и Ф. Гваттари [Пертель, 2023]. Эта теоретическая рамка напоминает, что цифровая трансформация модной индустрии задевает не только производство и маркетинг, но и более глубокие категории — телесность и идентичность.</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На коммуникативном уровне смена каналов означает отход от традиционной триады — показов, публикаций в печати и офлайн-точек продаж — в пользу цифровых площадок и лидеров мнений. Аудитория последних нередко на порядок превышает аудиторию профильных изданий [Шумский, 2021, с. 63, 65]. Общий рост интернет-аудитории, к началу 2021 года превысившей 4,66 млрд пользователей, закрепляет цифровые каналы как основное пространство взаимодействия, а не дополнительное [Шумский, 2021, с. 64–65]. Пример скоординированной платформенной стратегии даёт Aurora Fashion Week Russia: официальный сайт, аккаунты в нескольких соцсетях, видеоканал и отдельный проект по разработке мобильных приложений [Никитина, 2015, с. 105–106].</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Итак, платформенная организация модной индустрии в цифровой среде затрагивает сразу несколько уровней. Организационно-экономический связан с перестройкой цепочки создания ценности. Маркетингово-коммуникативный проявляется в кейсах Hanifa, Шуду и коллабораций с игровыми платформами. Технологический опирается на метавселенную как интегрирующую среду. Эти уровни системно усиливают друг друга, а цифровой образ становится равноправным модусом существования модного продукта.</w:t>
      </w:r>
    </w:p>
    <w:p>
      <w:pPr>
        <w:pStyle w:val="Основной текст"/>
        <w:spacing w:before="0" w:after="0" w:line="360" w:lineRule="auto"/>
        <w:ind w:left="0" w:right="0" w:firstLine="0"/>
        <w:rPr>
          <w:rFonts w:ascii="Times New Roman" w:cs="Times New Roman" w:hAnsi="Times New Roman" w:eastAsia="Times New Roman"/>
          <w:sz w:val="28"/>
          <w:szCs w:val="28"/>
        </w:rPr>
      </w:pPr>
    </w:p>
    <w:p>
      <w:pPr>
        <w:pStyle w:val="Основной текст"/>
        <w:spacing w:before="0" w:after="0" w:line="360" w:lineRule="auto"/>
        <w:ind w:left="0" w:right="0" w:firstLine="0"/>
        <w:rPr>
          <w:rFonts w:ascii="Times New Roman" w:cs="Times New Roman" w:hAnsi="Times New Roman" w:eastAsia="Times New Roman"/>
          <w:b/>
          <w:bCs/>
          <w:sz w:val="28"/>
          <w:szCs w:val="28"/>
        </w:rPr>
      </w:pPr>
      <w:r>
        <w:rPr>
          <w:rFonts w:ascii="Times New Roman" w:hAnsi="Times New Roman"/>
          <w:b/>
          <w:bCs/>
          <w:sz w:val="28"/>
          <w:szCs w:val="28"/>
          <w:rtl w:val="0"/>
          <w:lang w:val="ru-RU"/>
        </w:rPr>
        <w:t xml:space="preserve">1.3 Жанрово-стилистические особенности цифрового модного дискурса</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Прежде чем переходить к жанровым сдвигам в цифровом модном дискурсе, нужно разобраться с самим понятием речевого жанра. Его истоки — у М. М. Бахтина, который понимал под жанром относительно устойчивый тип высказывания, обладающий единством тематики, композиции и стиля [Бахтин, цит. по: Сыресина, Медведева, 2026]. Бахтин разграничивал жанры первичные (простые, наподобие бытового диалога) и вторичные, сложные — роман, научную статью, законодательный акт. Применительно к современному медиадискурсу Сыресина и Медведева называют пять конструктивных признаков, из которых складывается жанровая природа медиатекста: индивидуальность (в ней отражается языковая личность автора), адресованность (она обеспечивает прагматическую мотивированность текста), тематизация (задаёт топикальную принадлежность), экспрессивность (формирует оценочность) и композиционное построение [Сыресина, Медведева, 2026]. Существенно, что все эти признаки связаны между собой и действуют сообща: они поддерживают в медиатексте одновременно жанровую устойчивость и динамичность. Именно такое сочетание устойчивости и изменчивости обнаруживается и в цифровом модном дискурсе, о котором речь пойдёт дальше.</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Удобный фон для разговора о жанровых трансформациях модного дискурса даёт общая типология медиатекстов, которую предлагает Добросклонская. Она различает четыре основных типа: новости, информационную аналитику и комментарий, публицистику и рекламу [Добросклонская, 2019]. В цифровой среде модный дискурс исторически тяготеет к двум последним — к публицистике с её установкой на выразительность и оценочность и к рекламе с её маркетинговой функцией, о которой уже говорилось в §1.1. Но, как будет показано дальше, платформенная цифровая среда размывает и эту типологию: на её основе возникают гибридные формы, которые не сводятся ни к одному из четырёх классических типов.</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Для цифрового дискурса в целом — и модного в том числе — характерна одна базовая черта: интернет-коммуникация сегодня выступает главным поставщиком новых единиц в лексическую систему языка [Романова, 2022, с. 7]. У заимствований цифрового происхождения просматривается устойчивый набор признаков. Это преобладание англицизмов, продуктивность словосложения — включая трёхкорневое, нетипичное для русского языка, — и стилистическое соседство разговорной лексики с книжной [Романова, 2022, с. 6–8]. Показательно и другое: частотные словосочетания цифрового происхождения быстро закрепляются в узусе, а сами интернет-тексты начинают работать как источник прецедентных высказываний (текстов, широко известных в культуре и потому узнаваемых при цитировании или отсылке к ним). Своего рода текстовые мемы встают в один ряд с пословицами, крылатыми выражениями и литературными цитатами [Романова, 2022, с. 6].</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В собственно модном дискурсе эта общая тенденция обретает конкретные жанровые формы. Исследователи фиксируют устойчивый сдвиг: если раньше информация о моде шла прежде всего через глянец, то в интернет-эпоху эту функцию во многом перехватывают модные блоги. Их роль в распространении контента о моде продолжает расти [Тищенко и др., 2022, с. 175]. Смена канала описывается через ценностную доминанту медиатичности (опосредованности процессов индустрии моды средствами массовой информации и цифровыми каналами) с переходом в цифровой формат (fashion goes digital). Модные дома и магазины всё чаще воспринимаются не как физические пространства, а как цифровые платформы — с инструментами для создания и продажи цифровой одежды, с обратной связью и возможностью обсуждения [Тищенко и др., 2022, с. 176].</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Оборот fashion goes digital и его русский аналог диджитал мода, вынесенный в название одной из работ, на которые опирается настоящее исследование [Панькина и др., 2022], — лишь один из случаев более общего процесса: в русском языке XXI века вокруг понятия «цифра» непрерывно образуются новые термины. Маринова отмечает, что набор терминоэлементов цифрового общества быстро растёт, причём главным образом за счёт неофициальных вариантов, которые рождаются прежде всего в медиасреде. Толчок к этому даёт сосуществование в русском языке нескольких способов осваивать иноязычные единицы: рядом с «цифровым» стоит «дигитальный», рядом с «диджитал-» — «дигитал-» [Маринова, 2023]. В модном дискурсе такое соперничество вариантов возникает не случайно: сам выбор формы («диджитал мода», а не «дигитальная мода») начинает работать как маркер регистра — он указывает на более разговорную, ориентированную на англоязычную медиасреду подачу, а не на официально-деловой стиль.</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Меняется и сам жанр модного показа. Он не просто транслируется в сеть — он трансформируется по существу. Организаторы обращаются к гибридным форматам, где соседствуют реальные и цифровые модели, и к полностью виртуальным, включая CGI-моделей (от англ. computer-generated imagery — созданных средствами компьютерной графики). Сами показы переезжают на специализированные B2B-платформы (от англ. business-to-business — площадки для взаимодействия компаний друг с другом, а не с конечным потребителем), которые работают в режиме «24/7» и совмещают функции подиума, шоурума и переговорной площадки [Тищенко и др., 2022, с. 176–177]. Получается, что цифровая среда не просто добавляет новый канал к уже существующим жанрам модного дискурса. Она порождает гибридные жанровые формы, в которых границы между показом, витриной и социальной сетью размываются.</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Эти жанровые сдвиги перекликаются с наблюдениями на микроуровне текста. Активная неологизация модного дискурса, о которой шла речь в §1.1, — не изолированный лексический процесс. Это системное следствие того, что порождающей средой для модных текстов всё чаще становится блогосфера и соцсети, а не редакционно контролируемый печатный текст глянцевого журнала [ср. Дедюхина, Дедюхин, 2023, с. 3156].</w:t>
      </w:r>
    </w:p>
    <w:p>
      <w:pPr>
        <w:pStyle w:val="Основной текст"/>
        <w:spacing w:before="0" w:after="0" w:line="360" w:lineRule="auto"/>
        <w:ind w:left="0" w:right="0" w:firstLine="0"/>
        <w:rPr>
          <w:rFonts w:ascii="Times New Roman" w:cs="Times New Roman" w:hAnsi="Times New Roman" w:eastAsia="Times New Roman"/>
          <w:sz w:val="28"/>
          <w:szCs w:val="28"/>
        </w:rPr>
      </w:pPr>
    </w:p>
    <w:p>
      <w:pPr>
        <w:pStyle w:val="Основной текст"/>
        <w:spacing w:before="0" w:after="0" w:line="360" w:lineRule="auto"/>
        <w:ind w:left="0" w:right="0" w:firstLine="0"/>
        <w:rPr>
          <w:rFonts w:ascii="Times New Roman" w:cs="Times New Roman" w:hAnsi="Times New Roman" w:eastAsia="Times New Roman"/>
          <w:b/>
          <w:bCs/>
          <w:sz w:val="28"/>
          <w:szCs w:val="28"/>
        </w:rPr>
      </w:pPr>
      <w:r>
        <w:rPr>
          <w:rFonts w:ascii="Times New Roman" w:hAnsi="Times New Roman"/>
          <w:b/>
          <w:bCs/>
          <w:sz w:val="28"/>
          <w:szCs w:val="28"/>
          <w:rtl w:val="0"/>
          <w:lang w:val="ru-RU"/>
        </w:rPr>
        <w:t xml:space="preserve">1.4 Методы обработки естественного языка в исследованиях дискурса</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Автоматическая обработка текстов на естественном языке (Natural Language Processing) и компьютерная лингвистика — это междисциплинарная область, которая сложилась на стыке лингвистики, математики, информатики и искусственного интеллекта. Её опорой выступает формализация структуры естественного языка [Большакова и др., 2017, с. 7]. В применении к дискурсивным исследованиям это направление вырастает в самостоятельную область — дискурсивную комплексологию. Здесь лингвисты, когнитологи и специалисты по компьютерной обработке текста объединяются вокруг общей задачи: параметризации и автоматической оценки сложности и организации дискурса [Солнышкина и др., 2022, с. 317]. Показательно, что среди этапов развития этой области отдельно выделяют период обработки естественного языка. Именно тогда автоматический анализ — реализованный, например, в анализаторе Coh-Metrix — начал охватывать не только лексические и синтаксические параметры текста, но и параметры текстового уровня, ситуационной модели и риторической структуры [Солнышкина и др., 2022, с. 318].</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Средняя длина предложения, сложность синтаксиса, доля пассивных конструкций — эти формальные параметры текста исследователи тоже принимают в расчёт, причём наряду с собственно лексическими паттернами [Бубенгофер, цит. по: Нагога, 2024, с. 2]. Из таких количественных, стилеметрических показателей складывается отдельное направление дискурсивного анализа, которое дополняет лексический уровень, — и в эмпирической части настоящей работы оно также учитывается (см. §2.2). Что касается перечня конкретных приёмов, то Нагога называет четыре наиболее распространённых вида: анализ ключевых слов, анализ частотных изменений, коллокационный анализ и анализ сочетаемости [Нагога, 2024].</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Если говорить о конкретных методах, применимых к анализу дискурса, для задач настоящей работы значимы три группы. Первая — морфологический и лексико-статистический анализ. Он даёт частотные характеристики лексики и образует базовый этап обработки любого корпуса [Большакова и др., 2017, с. 29]. Вторая — вероятностное тематическое моделирование, то есть статистический анализ, при котором тема описывается дискретным распределением вероятностей терминов, а документ — распределением вероятностей тем. В отличие от кластеризации, где текст целиком относят к одному классу, тематическая модель работает как «мягкая кластеризация»: документ распределяется по нескольким темам сразу. Это позволяет учитывать синонимию и многозначность лексики [Большакова и др., 2017, с. 194–195]. Третья группа — методы автоматического анализа тональности, то есть выявления оценочного отношения автора к обсуждаемому предмету. Их востребованность напрямую связана с ростом социальных сетей и онлайн-сервисов, где накапливаются большие массивы пользовательских мнений [Большакова и др., 2017, с. 127].</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Опыт объединения классических и цифровых методов существует и применительно к лексике индустрии моды. Гончарова и Ляшенко совмещают латентно-семантический анализ (LSA), нейросетевые модели BERT и графовые методы, изучая специальную лексику сферы Fashion &amp; Clothing на английском материале [Гончарова, Ляшенко, 2025]. Примечательный результат их работы — прослеженная диахроническая эволюция лексемы denim: от обозначения рабочей одежды она приходит к концепции устойчивой моды, и этот сдвиг зафиксирован методом BERT через анализ полисемии и семантических изменений [Гончарова, Ляшенко, 2025]. Эта работа показывает, что комбинированный подход, где количественные NLP-методы соединяются с качественной интерпретацией, применим именно к лексике модной индустрии и позволяет выявлять содержательные закономерности, а не только статистические.</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Методологически близкий пример — работа Плотниковой, где предметом изучения стало слово «нейросеть» как ключевое слово сегодняшнего медиадискурса [Плотникова, 2023]. Исследователь использует автоматическую обработку медиатекстов, строит облако слов, семантически связанных с выбранной единицей, и прибегает к кластеризации контекстов, чтобы выявить наиболее значимые обсуждаемые темы. По сути, это соединение частотного и тематического анализа на материале медиадискурса [Плотникова, 2023]. Такой прецедент на близком по типу материале подтверждает: инструментарий, выбранный в настоящей работе, применим не только в теории, но и на практике.</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Важно, что анализ тональности не сводится к определению общей полярности документа. Наряду с ранними подходами, которые приписывают тексту в целом одну тональность — это уместно, скажем, для отзыва об одном товаре, — развиваются методы аспектного анализа. Они выявляют оценку по отношению к отдельным упомянутым в тексте сущностям [Большакова и др., 2017, с. 127–128]. Для модного дискурса это особенно значимо: в пределах одного текста здесь могут оцениваться разные объекты — бренд, конкретное изделие, показ, дизайнерское решение.</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Точность автоматического анализа тональности для русского языка ниже, чем для английского, а сам сентимент-анализ русскоязычных данных разработан заметно слабее, чем для других крупных языков мира. Такую картину фиксируют Двойникова и Карпов, выполнившие аналитический обзор существующих подходов; среди причин они называют сложную морфологическую структуру русского языка [Двойникова, Карпов, 2020]. Для эмпирической части настоящего исследования это важно: трудности, с которыми пришлось столкнуться при выборе метода анализа тональности корпуса цифрового модного дискурса (см. §2.3), получают здесь заранее объяснение.</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Все три группы методов — лексико-статистический, тематический и тональный анализ — складываются в инструментарий, адекватный задачам исследования цифрового модного дискурса. Он позволяет уйти от единичных примеров, традиционных для качественного дискурс-анализа, и перейти к работе с представительным корпусом текстов. А значит — к выводам об их лексических, тематических и оценочных характеристиках, подкреплённым статистически.</w:t>
      </w:r>
    </w:p>
    <w:p>
      <w:pPr>
        <w:pStyle w:val="Основной текст"/>
        <w:spacing w:before="0" w:after="0" w:line="360" w:lineRule="auto"/>
        <w:ind w:left="0" w:right="0" w:firstLine="0"/>
        <w:rPr>
          <w:rFonts w:ascii="Times New Roman" w:cs="Times New Roman" w:hAnsi="Times New Roman" w:eastAsia="Times New Roman"/>
          <w:sz w:val="28"/>
          <w:szCs w:val="28"/>
        </w:rPr>
      </w:pPr>
    </w:p>
    <w:p>
      <w:pPr>
        <w:pStyle w:val="Основной текст"/>
        <w:spacing w:before="0" w:after="0" w:line="360" w:lineRule="auto"/>
        <w:ind w:left="0" w:right="0" w:firstLine="0"/>
        <w:rPr>
          <w:rFonts w:ascii="Times New Roman" w:cs="Times New Roman" w:hAnsi="Times New Roman" w:eastAsia="Times New Roman"/>
          <w:b/>
          <w:bCs/>
          <w:sz w:val="28"/>
          <w:szCs w:val="28"/>
        </w:rPr>
      </w:pPr>
      <w:r>
        <w:rPr>
          <w:rFonts w:ascii="Times New Roman" w:hAnsi="Times New Roman"/>
          <w:b/>
          <w:bCs/>
          <w:sz w:val="28"/>
          <w:szCs w:val="28"/>
          <w:rtl w:val="0"/>
          <w:lang w:val="ru-RU"/>
        </w:rPr>
        <w:t xml:space="preserve">Выводы по главе 1</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Проведённый теоретический анализ позволяет сформулировать несколько обобщений, которые важны для дальнейшей эмпирической работы с цифровым модным дискурсом.</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Первое. Модный дискурс правомерно описывать как институциональный тип дискурса. Он организован вокруг устойчивых социальных институтов — модных домов, изданий, организаторов показов — и располагает стабильным набором коммуникативных функций: рекламной, информирующей, инструктирующей и имидж-определяющей. Его терминологическая база гибридна. В ней соседствуют исторически устойчивый пласт франкоязычной терминологии индустрии и активно растущий слой англицизмов, где лексема fashion играет роль доминирующей единицы. Системное свойство модного дискурса — высокая продуктивность неологизации. Она отражает не только предметные изменения (новые товары, технологии), но и более глубокие сдвиги в ценностных ориентирах, которые транслируются обществу.</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Второе. Цифровая трансформация модной индустрии разворачивается сразу на нескольких взаимосвязанных уровнях. Организационно-экономический связан с перестройкой цепочки создания ценности и моделей коммуникации с клиентом. Маркетингово-коммуникативный — с переносом диалога с потребителем из традиционных СМИ на платформы социальных сетей и к лидерам мнений. Технологический — с формированием метавселенной как интегрирующей среды проектирования, демонстрации и монетизации модного продукта. Эти уровни усиливают друг друга, и цифровой образ становится равноправным, а в ряде случаев и самостоятельным модусом существования модного продукта.</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Третье. Платформенный характер цифровой среды не сводится к смене канала распространения уже существующих текстов. Он порождает качественно новые жанровые формы — от модного блога, перехватывающего функции печатного глянца, до гибридных и полностью виртуальных форматов показа. В этих формах границы между традиционными жанрами модного дискурса размываются. На микроуровне текста трансформация проявляется в устойчивых лексико-стилистических признаках: активном заимствовании (прежде всего из английского), продуктивных моделях словосложения и в том, что интернет-тексты становятся новым источником прецедентности.</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Четвёртое. Для эмпирического исследования выявленных характеристик адекватным инструментарием выступают методы автоматической обработки естественного языка. Речь в первую очередь о лексико-статистическом анализе, вероятностном тематическом моделировании и анализе тональности, включая аспектный. Их совокупное применение позволяет уйти от единичных примеров, характерных для традиционного качественного дискурс-анализа, и перейти к работе с представительным корпусом текстов и статистически обоснованным выводам.</w:t>
      </w:r>
    </w:p>
    <w:p>
      <w:pPr>
        <w:pStyle w:val="Основной текст"/>
        <w:spacing w:before="0" w:after="0" w:line="360" w:lineRule="auto"/>
        <w:ind w:left="0" w:right="0" w:firstLine="709"/>
        <w:rPr>
          <w:rFonts w:ascii="Times New Roman" w:cs="Times New Roman" w:hAnsi="Times New Roman" w:eastAsia="Times New Roman"/>
          <w:sz w:val="28"/>
          <w:szCs w:val="28"/>
        </w:rPr>
      </w:pPr>
      <w:r>
        <w:rPr>
          <w:rFonts w:ascii="Times New Roman" w:hAnsi="Times New Roman"/>
          <w:sz w:val="28"/>
          <w:szCs w:val="28"/>
          <w:rtl w:val="0"/>
          <w:lang w:val="ru-RU"/>
        </w:rPr>
        <w:t xml:space="preserve">Таким образом, теоретическая база исследования показывает: цифровой модный дискурс — объект динамичный, и для его изучения необходимо сочетать дискурсивно-аналитический и корпусно-статистический подходы. Это и определяет методологию практической части работы, изложенную в Главе 2.</w:t>
      </w:r>
    </w:p>
    <w:p>
      <w:pPr>
        <w:pStyle w:val="Основной текст"/>
        <w:pageBreakBefore/>
        <w:spacing w:before="0" w:after="0" w:line="360" w:lineRule="auto"/>
        <w:ind w:left="0" w:right="0" w:firstLine="0"/>
        <w:jc w:val="center"/>
        <w:rPr>
          <w:rFonts w:ascii="Times New Roman" w:hAnsi="Times New Roman" w:cs="Times New Roman"/>
          <w:b/>
          <w:bCs/>
          <w:sz w:val="28"/>
          <w:szCs w:val="28"/>
        </w:rPr>
      </w:pPr>
      <w:r>
        <w:rPr>
          <w:rFonts w:ascii="Times New Roman" w:hAnsi="Times New Roman" w:cs="Times New Roman"/>
          <w:b/>
          <w:bCs/>
          <w:sz w:val="28"/>
          <w:szCs w:val="28"/>
          <w:lang w:val="ru-RU"/>
        </w:rPr>
        <w:t xml:space="preserve">ГЛАВА 2. ЭМПИРИЧЕСКОЕ ИССЛЕДОВАНИЕ ЦИФРОВОГО МОДНОГО ДИСКУРСА МЕТОДАМИ NLP</w:t>
      </w:r>
    </w:p>
    <w:p>
      <w:pPr>
        <w:pStyle w:val="Основной текст"/>
        <w:spacing w:before="0" w:after="0" w:line="360" w:lineRule="auto"/>
        <w:ind w:left="0" w:right="0" w:firstLine="0"/>
        <w:rPr>
          <w:rFonts w:ascii="Times New Roman" w:hAnsi="Times New Roman" w:cs="Times New Roman"/>
          <w:sz w:val="28"/>
          <w:szCs w:val="28"/>
        </w:rPr>
      </w:pPr>
    </w:p>
    <w:p>
      <w:pPr>
        <w:pStyle w:val="Основной текст"/>
        <w:spacing w:before="0" w:after="0" w:line="360" w:lineRule="auto"/>
        <w:ind w:left="0" w:right="0" w:firstLine="0"/>
        <w:rPr>
          <w:rFonts w:ascii="Times New Roman" w:hAnsi="Times New Roman" w:cs="Times New Roman"/>
          <w:b/>
          <w:bCs/>
          <w:sz w:val="28"/>
          <w:szCs w:val="28"/>
        </w:rPr>
      </w:pPr>
      <w:r>
        <w:rPr>
          <w:rFonts w:ascii="Times New Roman" w:hAnsi="Times New Roman" w:cs="Times New Roman"/>
          <w:b/>
          <w:bCs/>
          <w:sz w:val="28"/>
          <w:szCs w:val="28"/>
          <w:lang w:val="ru-RU"/>
        </w:rPr>
        <w:t xml:space="preserve">2.1 Принципы формирования и аннотирования корпуса</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Практическая часть работы опирается на корпус текстов цифрового модного дискурса. Его задача — проверить положения, сформулированные в Главе 1. Речь прежде всего о двух тезисах: о гибридной жанровой природе цифрового модного дискурса и о системном характере неологизации его лексики.</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Критерии отбора источников. К источникам предъявлялись три требования. Первое касается природы медиа: источник должен быть исходно цифровым либо полностью перешедшим в цифровой формат. Иными словами, нас интересует именно тот тип медиа, трансформация которого обсуждается в работе, — а не оцифрованная копия печатного издания. Второе требование — актуальность: на момент сбора материала источник должен активно обновляться. Так обеспечивается синхронный срез дискурса, а не подборка архивных текстов прошлых лет. Третье требование — жанровая неоднородность состава. Корпус, собранный из однотипных по жанру текстов, не дал бы содержательного ответа на вопрос о жанрово-стилистической специфике цифрового модного дискурса, который был поставлен в §1.3.</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Существенным методологическим ограничением оказался технический критерий доступности. Часть изданий, которые изначально планировались как источники материала, — в частности Elle.ru и Buro247.ru — запрещают автоматизированный сбор данных через протокол robots.txt (это файл на сайте, где владелец прямо указывает, каким программам и к каким разделам доступ разрешён или закрыт). Сбор корпуса в настоящей работе принципиально опирается на программные средства извлечения текста. Поэтому было решено работать только с теми источниками, чья политика доступа совместима с таким способом сбора. Обходить подобные ограничения как исследовательский приём мы не стали.</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С учётом обозначенных критериев в выборку изначально вошли тексты четырёх источников: The Blueprint (независимое аналитическое издание), The Voice — правопреемник Cosmopolitan Russia (массовый глянцевый журнал), SYMBOL (глянцевый журнал) и PROfashion (деловое B2B-издание индустрии моды). Показательно, что два из них — The Voice и SYMBOL — прямо преемственны по отношению к изданиям, зафиксированным в теоретических работах из Главы 1: SYMBOL входил в материал исследования Уренковой [Уренкова, 2023] наряду с Elle и Voice. Это обеспечивает содержательную связность теоретической и практической частей работы. Закономерности, описанные в академической литературе на материале этих изданий несколько лет назад, проверяются на актуальном материале тех же информационных площадок.</w:t>
      </w:r>
    </w:p>
    <w:p>
      <w:pPr>
        <w:pStyle w:val="Основной текст"/>
        <w:spacing w:before="0" w:after="0" w:line="360" w:lineRule="auto"/>
        <w:ind w:left="0" w:right="0" w:firstLine="0"/>
        <w:rPr>
          <w:rFonts w:ascii="Times New Roman" w:hAnsi="Times New Roman" w:cs="Times New Roman"/>
          <w:sz w:val="28"/>
          <w:szCs w:val="28"/>
        </w:rPr>
      </w:pP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Метод извлечения текста. Сбор корпуса выполнялся программно, с использованием библиотеки trafilatura — инструмента, который автоматически вычленяет основной текст статьи из HTML-разметки страницы, без ручной подгонки под вёрстку каждого отдельного сайта. Скрипт скачивает страницу по каждому URL и извлекает из неё содержательный текст, отделяя его от навигационных элементов, рекламных блоков и служебной разметки. Благодаря такому подходу сбор остаётся воспроизводимым, а исходный текст не искажается при переносе в корпус.</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Итоговый состав корпуса. Помимо изданий, намеченных в исходном плане (The Blueprint, SYMBOL, The Voice), в ходе работы рассматривались и другие источники — ради расширения корпуса и повышения статистической устойчивости пожанровых сравнений. Часть из них оказалась технически недоступной для автоматизированного извлечения текста: сайты Forbes.ru и Pravilamag.ru отдавали пустое содержимое страницы, вероятно из-за требования JavaScript-рендеринга или пейвола. Для настоящей методологии такие источники непригодны — так же, как ранее исключённые по протоколу robots.txt Elle.ru и Buro247.ru. Ещё часть рассмотренных источников отпала по тематическому критерию: ресурсы, не специализирующиеся на модном дискурсе (в частности, издания об истории и поп-культуре, а также блог патентного бюро), не соответствовали объекту исследования, несмотря на отдельные точки пересечения тематики.</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В итоговый корпус вошли девять источников: The Blueprint, SYMBOL, The Voice, Posta-Magazine, Snob, MarieClaire, Moskvichka, FRWF и «Мнение редакции». Расширение состава источников по сравнению с первоначальным планом вызвано необходимостью получить статистически более устойчивые результаты при пожанровом сравнении (см. §2.2): предварительный анализ на меньшем по объёму корпусе показал, что отдельные жанровые группы были представлены недостаточным для содержательных количественных выводов числом текстов.</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Итоговый корпус составил 202 текста общим объёмом около 162 000 слов. Распределение по источникам: The Blueprint — 66 текстов (33%), SYMBOL — 65 (32%), «Мнение редакции» — 19 (9%), Posta-Magazine — 15 (7%), MarieClaire — 13 (6%), Moskvichka — 9 (4%), Snob — 7 (3%), FRWF — 7 (3%), The Voice — 1 (менее 1%). Два основных источника (The Blueprint и SYMBOL) сохраняют паритетное соотношение, зафиксированное ещё на промежуточном этапе сбора. Это говорит о стабильности применяемой методики, а не о случайном перекосе выборки.</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Хронологические рамки. Материал по-прежнему ограничен текстами 2026 года. Все даты публикации верифицировались индивидуально по метаданным каждой страницы (тег datePublished или явно указанная дата на странице). В процессе сбора систематически исключались материалы, формально попадавшие в тематическую выборку, но фактически опубликованные до начала 2026 года. В первую очередь это тексты с системным обозначением будущего сезона в адресе страницы (например, «ss26»), которые издания нередко публикуют осенью предшествующего года.</w:t>
      </w:r>
    </w:p>
    <w:p>
      <w:pPr>
        <w:pStyle w:val="Основной текст"/>
        <w:spacing w:before="0" w:after="0" w:line="360" w:lineRule="auto"/>
        <w:ind w:left="0" w:right="0" w:firstLine="0"/>
        <w:rPr>
          <w:rFonts w:ascii="Times New Roman" w:hAnsi="Times New Roman" w:cs="Times New Roman"/>
          <w:sz w:val="28"/>
          <w:szCs w:val="28"/>
        </w:rPr>
      </w:pPr>
    </w:p>
    <w:p>
      <w:pPr>
        <w:pStyle w:val="Основной текст"/>
        <w:spacing w:before="0" w:after="0" w:line="360" w:lineRule="auto"/>
        <w:ind w:left="0" w:right="0" w:firstLine="0"/>
        <w:rPr>
          <w:rFonts w:ascii="Times New Roman" w:hAnsi="Times New Roman" w:cs="Times New Roman"/>
          <w:b/>
          <w:bCs/>
          <w:sz w:val="28"/>
          <w:szCs w:val="28"/>
        </w:rPr>
      </w:pPr>
      <w:r>
        <w:rPr>
          <w:rFonts w:ascii="Times New Roman" w:hAnsi="Times New Roman" w:cs="Times New Roman"/>
          <w:b/>
          <w:bCs/>
          <w:sz w:val="28"/>
          <w:szCs w:val="28"/>
          <w:lang w:val="ru-RU"/>
        </w:rPr>
        <w:t xml:space="preserve">Раскрытие использования технологий искусственного интеллекта (п. 3.6 Положения)</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При работе над эмпирической частью исследования (Глава 2) для сбора и первичной обработки большого массива разрозненных текстовых данных применялась технология генеративного искусственного интеллекта — ассистент Claude (Anthropic).</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Почему потребовалось обратиться к системе. Задача формирования корпуса цифрового модного дискурса по своему объёму делала ручной сбор крайне трудоёмким и подверженным ошибкам. Требовалось: (а) определить, какие из потенциальных источников технически доступны для автоматизированного извлечения текста, проверив протокол robots.txt каждого издания; (б) найти и извлечь содержание более чем 200 отдельных веб-страниц; (в) по каждой странице отдельно верифицировать дату публикации по метаданным, чтобы корпус соответствовал заявленным хронологическим рамкам (см. выше). Речь идёт о сборе и структурировании большого объёма разрозненных данных — для такой задачи обращение к технологии ИИ было признано целесообразным.</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Как строились запросы. Схема работы с системой была следующей: (1) формулировался поисковый запрос с тематическим признаком (раздел моды конкретного издания) и временным признаком (2026 год); (2) с найденной страницы-рубрики система извлекала содержимое и переходила по ссылкам на отдельные статьи; (3) для каждой статьи-кандидата отдельным запросом проверялась точная дата публикации, указанная в метаданных страницы; (4) если текст не соответствовал заявленным хронологическим рамкам (2026 год), он исключался из выборки. На отдельном этапе для автоматического извлечения подлинного текста статей (взамен первоначального ручного пересказа) была разработана и использована программа на языке Python с библиотекой trafilatura.</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Разграничение функций. Технология ИИ применялась исключительно на этапе технического сбора и первичной верификации эмпирического материала, а также при разработке вспомогательного программного кода для предобработки текста (токенизация, лемматизация) и статистического анализа (частотный, коллокационный, тематический анализ, анализ тональности). Содержательная интерпретация полученных результатов, формулировка выводов и текст всех разделов работы выполнены автором самостоятельно.</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Версия системы и период обращения: Claude Sonnet 5 (Anthropic), период обращения — сентябрь 2026 года.</w:t>
      </w:r>
    </w:p>
    <w:p>
      <w:pPr>
        <w:pStyle w:val="Основной текст"/>
        <w:spacing w:before="0" w:after="0" w:line="360" w:lineRule="auto"/>
        <w:ind w:left="0" w:right="0" w:firstLine="0"/>
        <w:rPr>
          <w:rFonts w:ascii="Times New Roman" w:hAnsi="Times New Roman" w:cs="Times New Roman"/>
          <w:sz w:val="28"/>
          <w:szCs w:val="28"/>
        </w:rPr>
      </w:pPr>
    </w:p>
    <w:p>
      <w:pPr>
        <w:pStyle w:val="Основной текст"/>
        <w:spacing w:before="0" w:after="0" w:line="360" w:lineRule="auto"/>
        <w:ind w:left="0" w:right="0" w:firstLine="0"/>
        <w:rPr>
          <w:rFonts w:ascii="Times New Roman" w:hAnsi="Times New Roman" w:cs="Times New Roman"/>
          <w:b/>
          <w:bCs/>
          <w:sz w:val="28"/>
          <w:szCs w:val="28"/>
        </w:rPr>
      </w:pPr>
      <w:r>
        <w:rPr>
          <w:rFonts w:ascii="Times New Roman" w:hAnsi="Times New Roman" w:cs="Times New Roman"/>
          <w:b/>
          <w:bCs/>
          <w:sz w:val="28"/>
          <w:szCs w:val="28"/>
          <w:lang w:val="ru-RU"/>
        </w:rPr>
        <w:t xml:space="preserve">2.2 Частотный, коллокационный и тематический анализ корпуса</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Предобработка. Корпус был проведён через стандартный набор процедур: токенизация (razdel), приведение к нижнему регистру, снятие пунктуации и цифр, лемматизация (pymorphy3), удаление стоп-слов. На входе объём составлял 154 706 токенов; после лемматизации и снятия стоп-слов осталось 101 847 лемм. Словарь корпуса насчитывает 16 395 уникальных лемм, type-token ratio равен 0,161. Снижение TTR по сравнению с более ранними версиями корпуса (0,41 при 60 текстах, 0,34 при 100) статистически ожидаемо: с ростом объёма текста показатель закономерно падает, поскольку частотная лексика начинает повторяться, — об обеднении словаря это не говорит. На леммы-хапаксы приходится 48,1% словаря, что тоже укладывается в нормальное распределение для корпуса такого объёма.</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Частотный анализ. Ядро наиболее частотных лемм выглядит так: весна-лето (588), бренд (571), образ (511), модный (501), мода (439), коллекция (427), сезон (409), модель (391), осень-зима (361), платье (353), джинсы (345). Этот перечень полностью согласуется с терминологическим ядром модного дискурса, описанным в §1.1, и демонстрирует, что ядро сохраняет устойчивость даже при увеличении корпуса более чем втрое.</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Коллокационный анализ. Для биграмм с частотой ≥5 была рассчитана мера PMI. В верхней части списка по PMI ожидаемо оказались устойчивые многословные имена собственные (harper bazaar, elie saab, phoebe philo, gianni chiarini) — эффект, уже отмечавшийся на меньшей версии корпуса. Ранжирование по абсолютной частоте вывело на первый план институциональную лексику (осень зима — 179, saint laurent — 91, неделя мода — 76, креативный директор — 55). Здесь же обнаружился методологически значимый артефакт: биграммы «рассказать ниже», «ниже подробный», «подробный модный» с частотой 47–49 — это не содержательные коллокации, а шаблонные навигационные фразы из статей-хабов формата «шопинг-гид» («Подробнее о модных… ниже»), которые выявились при расширении корпуса новыми источниками. Присутствие таких фраз в топе частотных биграмм — не ошибка метода, а честно зафиксированное свойство жанра «шопинг-дайджест», специально устроенного как список ссылок на более подробные материалы.</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Тематическое моделирование. С учётом возросшего объёма корпуса число тем LDA было увеличено до 8. Три темы получили особенно чёткую жанровую привязку. Тема, связанная с лексикой капсул, кампаний и брендинга (представить, капсула, кампания, команда, новинка), совпала с жанром «выбор/дайджест» в 85% случаев (11 из 13 текстов). Тема с абстрактной, рефлексивной лексикой (человек, очень, казаться, жизнь, хотеть) — с жанром «мнение» в 80% случаев (4 из 5). Тема с лексикой красной дорожки и индустриальной хроники (премьера, дорожка, ресейл, выручка) — с жанром «герои/репортаж» в 75% случаев (6 из 8). Совпадение усилилось по сравнению с версией на 100 текстах, что подтверждает гипотезу о жанровой обусловленности тематической организации корпуса уже на статистически более надёжном материале.</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Стилометрия по жанрам. Рост корпуса впервые позволил надёжно сравнить 11 жанровых групп (n≥5) вместо шести на предыдущем этапе. Главная находка — устойчиво воспроизводящаяся на всех версиях корпуса: TTR жанра «тенденции» (0,242) остаётся самым низким среди всех групп, причём разрыв с остальными жанрами (0,27–0,61) вырос по сравнению с версией на 100 текстах. Жанр «мнение», напротив, показал самый высокий TTR (0,605) — колонки-мнения используют заметно более разнообразную лексику, чем формульные тренд-обзоры. Обнаружена и новая закономерность: жанры «выбор» и «украшения» показали значительно более короткие предложения (14,6 и 12,9 слов соответственно) по сравнению с остальными жанрами (18–22 слова) — вероятно, следствие их перечислительной, каталожной композиции.</w:t>
      </w:r>
    </w:p>
    <w:p>
      <w:pPr>
        <w:pStyle w:val="Основной текст"/>
        <w:spacing w:before="0" w:after="0" w:line="360" w:lineRule="auto"/>
        <w:ind w:left="0" w:right="0" w:firstLine="0"/>
        <w:rPr>
          <w:rFonts w:ascii="Times New Roman" w:hAnsi="Times New Roman" w:cs="Times New Roman"/>
          <w:sz w:val="28"/>
          <w:szCs w:val="28"/>
        </w:rPr>
      </w:pPr>
    </w:p>
    <w:p>
      <w:pPr>
        <w:pStyle w:val="Основной текст"/>
        <w:spacing w:before="0" w:after="0" w:line="360" w:lineRule="auto"/>
        <w:ind w:left="0" w:right="0" w:firstLine="0"/>
        <w:rPr>
          <w:rFonts w:ascii="Times New Roman" w:hAnsi="Times New Roman" w:cs="Times New Roman"/>
          <w:b/>
          <w:bCs/>
          <w:sz w:val="28"/>
          <w:szCs w:val="28"/>
        </w:rPr>
      </w:pPr>
      <w:r>
        <w:rPr>
          <w:rFonts w:ascii="Times New Roman" w:hAnsi="Times New Roman" w:cs="Times New Roman"/>
          <w:b/>
          <w:bCs/>
          <w:sz w:val="28"/>
          <w:szCs w:val="28"/>
          <w:lang w:val="ru-RU"/>
        </w:rPr>
        <w:t xml:space="preserve">2.3 Тональность и жанрово-стилистическая специфика цифрового модного дискурса</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Методика. Поскольку словарный метод, как было зафиксировано ранее, даёт низкое покрытие, тональность оценивалась предобученной нейросетевой моделью (rubert-tiny-sentiment-balanced). На этом этапе обнаружилось существенное методологическое ограничение: при переходе от пересказов к подлинным полным текстам средний объём документа вырос примерно до 800 слов, тогда как вход модели ограничен 512 токенами. Для длинных текстов это означает, что модель фактически оценивает тональность начальной части статьи, а не текста целиком. Такое ограничение необходимо явно оговаривать при интерпретации результатов.</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Результаты. Итоговое распределение получилось таким: позитивная тональность — 110 текстов (54,5%), нейтральная — 89 (44,1%), негативная — 3 (1,5%). Средняя уверенность модели — 0,826; неуверенных предсказаний (вероятность топ-класса &lt; 0,5) всего одно. Единственный устойчиво негативный текст на всех версиях корпуса и при обоих методах анализа — колонка о мортальной символике в рекламе (жанр «мнение»). Это можно расценивать как надёжную взаимную валидацию результатов разными методами.</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В разрезе жанров разброс оказался значительным: на одном полюсе — жанры «украшения» (100% позитив) и «индустрия» (80%), на другом — «икона стиля» (33%) и «мнение» (40%). Показательно, что с расширением корпуса жанр «икона стиля» утратил однозначно позитивную окраску, зафиксированную на меньшей версии корпуса: включение протяжённых биографических лонгридов сместило тональность этого жанра к более нейтральной и местами критической.</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Тональность по источникам: статистически подтверждённое различие. На предыдущем этапе (100 текстов) различие в тональности между The Blueprint и SYMBOL внутри одного жанра («тенденции») было статистически незначимым (точный тест Фишера, p = 0,514), и вывод формулировался как осторожная описательная тенденция. При увеличении корпуса до 202 текстов то же сравнение — The Blueprint (39,3% позитивных внутри жанра «тенденции», n = 28) против SYMBOL (77,8%, n = 18) — дало p = 0,0156, что статистически значимо на уровне 0,05. Таким образом, различие в тональной политике двух основных источников корпуса можно считать эмпирически подтверждённым, а не гипотетическим: оно сохраняется при контроле по жанру и статистически значимо на объёме данных, достаточном для надёжного вывода.</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Промежуточный вывод. Совокупность данных о тональности показывает: цифровой модный дискурс в целом сохраняет системную позитивную окраску (54,5% против 1,5% негативных текстов), но эта окраска неравномерно распределена и по жанрам, и — что показал именно расширенный корпус — по источникам. Это уточняет вывод предыдущего этапа исследования: тональность модного дискурса определяется не только его рекламной функцией как таковой (§1.1), но и конкретной редакционной политикой отдельного издания.</w:t>
      </w:r>
    </w:p>
    <w:p>
      <w:pPr>
        <w:pStyle w:val="Основной текст"/>
        <w:spacing w:before="0" w:after="0" w:line="360" w:lineRule="auto"/>
        <w:ind w:left="0" w:right="0" w:firstLine="0"/>
        <w:rPr>
          <w:rFonts w:ascii="Times New Roman" w:hAnsi="Times New Roman" w:cs="Times New Roman"/>
          <w:sz w:val="28"/>
          <w:szCs w:val="28"/>
        </w:rPr>
      </w:pPr>
    </w:p>
    <w:p>
      <w:pPr>
        <w:pStyle w:val="Основной текст"/>
        <w:spacing w:before="0" w:after="0" w:line="360" w:lineRule="auto"/>
        <w:ind w:left="0" w:right="0" w:firstLine="0"/>
        <w:rPr>
          <w:rFonts w:ascii="Times New Roman" w:hAnsi="Times New Roman" w:cs="Times New Roman"/>
          <w:b/>
          <w:bCs/>
          <w:sz w:val="28"/>
          <w:szCs w:val="28"/>
        </w:rPr>
      </w:pPr>
      <w:r>
        <w:rPr>
          <w:rFonts w:ascii="Times New Roman" w:hAnsi="Times New Roman" w:cs="Times New Roman"/>
          <w:b/>
          <w:bCs/>
          <w:sz w:val="28"/>
          <w:szCs w:val="28"/>
          <w:lang w:val="ru-RU"/>
        </w:rPr>
        <w:t xml:space="preserve">2.4 Влияние платформенных алгоритмов на формирование цифрового модного дискурса</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Чтобы разговор о результатах §2.2–2.3 не остался неполным, стоит обратиться к механизму, который обычно и называют главным двигателем перемен в цифровом модном дискурсе, — к тому, как социальные сети отбирают и показывают контент. The Business of Fashion (в пересказе редакции The Blueprint) даёт этому явлению имя «культура дофамина»: ленты, выстроенные алгоритмом, играют на аддиктивном поведении аудитории и низводят моду до развлекательного контента, живущего по принципу «вечной погони за новым, эксклюзивным, уникальным, происходящим "прямо сейчас"» [The Blueprint, со ссылкой на The Business of Fashion, 2025].</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Когда корпус вырос до 202 текстов, этот тезис не опровергся — наоборот, получил более прочное статистическое подкрепление. Жанр «тенденции» остаётся самым крупным в корпусе (73 текста из 202, 36%), и его наполнение по-прежнему составляют материалы об узко очерченных микротрендах: сначала это были «джинсы-сигариллы» и Y3K, позже — «эстетика небрежности», «плащевая ткань» и десятки похожих сюжетов, добавленных при расширении выборки. Существенно, что доля жанра почти не менялась при росте корпуса более чем втрое (33% при 60 текстах, 40% при 100, 36% при 202). Отсюда следует, что главенство микротрендового формата — устойчивое структурное свойство цифрового модного дискурса, а не случайный перекос конкретной выборки.</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Со сменой развёрнутой кампании на эпизодический поток публикаций, о которой говорит источник, по-прежнему перекликается неологизация модного дискурса (§1.3): каждую новую микротенденцию нужно как-то назвать, а значит, для неё требуется отдельная лексическая единица. Подтверждение этому — стабильное присутствие такой лексики в частотных списках корпуса на всех этапах его формирования (см. §2.2).</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С логикой алгоритмической ленты согласуется и результат анализа тональности (§2.3), хотя на расширенном корпусе картина сделалась более нюансированной. Доля позитива упала с 61,7% (100 текстов) до 54,5% (202 текста), тогда как доля негатива осталась околонулевой. Это снижение не спорит с исходным тезисом, а уточняет его: новые источники принесли более разнообразный жанровый состав — аналитические колонки, протяжённые биографические интервью, — и именно они уменьшили общую долю позитивной тональности. Главный же вывод устоял: негатив в корпусе остаётся статистически редким явлением (1,5%), и это резко расходится с тем распределением, которое можно было бы ожидать при отсутствии алгоритмического давления в пользу вовлекающего контента.</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Отдельно стоит сказать о сосуществовании коротких тренд-форматов и протяжённых лонгридов. В первоначальной версии параграфа это отмечалось как отражение двойственности аудиторного запроса — одновременного стремления к скорости и к глубине. Расширение корпуса подтвердило и обогатило это наблюдение эмпирически: вместе с источником Snob.ru в корпус вошли подлинные полнотекстовые интервью объёмом свыше 2500 слов (например, интервью с фотографом Бардо Фабиани, 2902 слова) — на порядок больше средней тренд-заметки (~250–400 слов). Именно на этом жанровом полюсе, у длинных биографических и аналитических текстов, тональностный анализ показал наиболее заметное отклонение от общей позитивной нормы корпуса (жанр «икона стиля» — 33% позитива, «мнение» — 40%, см. §2.3), а стилометрия — самое высокое лексическое разнообразие (TTR жанра «мнение» — 0,605, см. §2.2). Получается, что оппозиция «быстрой» и «медленной» моды в цифровом дискурсе видна уже не только на уровне общих наблюдений, но и в статистически измеримых различиях — по тональности, лексическому разнообразию и синтаксису.</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Итак, влияние платформенных алгоритмов на цифровой модный дискурс — не внешний декларативный фактор, а структурный принцип. Он обнаруживается сразу на нескольких независимых и статистически подтверждённых уровнях анализа расширенного корпуса: на жанровом (устойчивое доминирование микротрендового формата), на лексическом (неологизация), на тональностном (системная, хотя и не абсолютная, позитивность) и — что удалось установить только на расширенном корпусе — на стилистическом (контраст между кратким тренд-форматом и протяжённым лонгридом по лексическому разнообразию и тональности).</w:t>
      </w:r>
    </w:p>
    <w:p>
      <w:pPr>
        <w:pStyle w:val="Основной текст"/>
        <w:spacing w:before="0" w:after="0" w:line="360" w:lineRule="auto"/>
        <w:ind w:left="0" w:right="0" w:firstLine="0"/>
        <w:rPr>
          <w:rFonts w:ascii="Times New Roman" w:hAnsi="Times New Roman" w:cs="Times New Roman"/>
          <w:sz w:val="28"/>
          <w:szCs w:val="28"/>
        </w:rPr>
      </w:pPr>
    </w:p>
    <w:p>
      <w:pPr>
        <w:pStyle w:val="Основной текст"/>
        <w:spacing w:before="0" w:after="0" w:line="360" w:lineRule="auto"/>
        <w:ind w:left="0" w:right="0" w:firstLine="0"/>
        <w:rPr>
          <w:rFonts w:ascii="Times New Roman" w:hAnsi="Times New Roman" w:cs="Times New Roman"/>
          <w:b/>
          <w:bCs/>
          <w:sz w:val="28"/>
          <w:szCs w:val="28"/>
        </w:rPr>
      </w:pPr>
      <w:r>
        <w:rPr>
          <w:rFonts w:ascii="Times New Roman" w:hAnsi="Times New Roman" w:cs="Times New Roman"/>
          <w:b/>
          <w:bCs/>
          <w:sz w:val="28"/>
          <w:szCs w:val="28"/>
          <w:lang w:val="ru-RU"/>
        </w:rPr>
        <w:t xml:space="preserve">Выводы по главе 2</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Эмпирическая часть работы позволяет сформулировать несколько обобщений, значимых для итоговой оценки всего исследования.</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Во-первых, сбор корпуса цифрового модного дискурса прошёл две содержательно разные стадии. Первая вскрыла расхождение между теоретическим замыслом состава источников и их фактической технической доступностью: Elle.ru и Buro247.ru оказались закрыты протоколом robots.txt ещё на этапе планирования, а PROfashion выбыл уже в процессе сбора из-за технической неисправности сайта. Вторая стадия, связанная с расширением корпуса до 202 текстов, обнажила ограничение более принципиального свойства: изначальный способ сбора — ручной пересказ содержания — не гарантировал подлинности эмпирического материала, и его пришлось заменить автоматическим извлечением текста с помощью специализированной библиотеки (trafilatura). Такая замена потребовала заново проверить все этапы количественного анализа, зато привела эмпирическую базу в соответствие с её методологическим описанием. В итоге корпус объединил девять источников (The Blueprint, SYMBOL, The Voice, Posta-Magazine, Snob, MarieClaire, Moskvichka, FRWF, «Мнение редакции») — 202 текста, около 162 000 слов, причём паритет двух основных источников сохранялся на всех этапах расширения.</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Во-вторых, частотный анализ показал, что терминологическое ядро модного дискурса (бренд, коллекция, дизайнер, тренд, стиль) не размывается при увеличении корпуса более чем втрое — с 60 до 202 текстов. Коллокационный анализ, в свою очередь, выявил методологически значимый артефакт: в списке частотных биграмм оказались шаблонные навигационные фразы, характерные для жанра «шопинг-дайджест». Это зафиксировано как честное свойство самого жанра, а не как сбой метода.</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В-третьих, тематическое моделирование подтвердило гипотезу о жанровой обусловленности тематической организации дискурса сильнее, чем на предыдущих этапах: по мере роста корпуса совпадение статистически выделенных тем с независимой жанровой разметкой росло и для отдельных жанров достигло 75–85%. Стилометрический анализ, который в полной мере стал возможен лишь на расширенном корпусе (11 жанровых групп с n≥5 против шести ранее), выявил две устойчивые на всех версиях корпуса закономерности: лексическую бедность жанра «тенденции» и, наоборот, лексическое богатство жанра «мнение».</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В-четвёртых, анализ тональности прошёл путь от отрицательного результата (словарный метод дал низкое покрытие) к статистически содержательному выводу. На корпусе в 100 текстов различие в тональности между двумя основными источниками удалось зафиксировать лишь как описательную тенденцию, без доказанной статистической значимости (p = 0,514). На расширенном корпусе в 202 текста то же различие, при контроле по жанру, стало статистически значимым (p = 0,0156). Отсюда видно, что осторожность в формулировках на предыдущем этапе была оправданной методологической позицией, а не излишней перестраховкой: рост объёма эмпирических данных перевёл гипотезу в разряд статистически подтверждённых выводов.</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В-пятых, обращение к внешнему источнику о влиянии платформенных алгоритмов на модную индустрию дало рамку, в которой независимые эмпирические результаты — устойчивое доминирование жанра микротрендовых текстов, неологизация, системная позитивность тональности и, на расширенном корпусе, контраст между кратким и протяжённым форматами — складываются в проявления единого структурного механизма.</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Таким образом, практическая часть исследования не только подтвердила ряд теоретических положений Главы 1 на новом материале, но и на собственном примере показала ценность методологической самопроверки. Обнаруженная и исправленная проблема с подлинностью эмпирического материала, а также переход от описательных формулировок к статистически подтверждённым выводам о тональности свидетельствуют о том, что уточнение метода по ходу работы — нормальная и ожидаемая часть корректного эмпирического исследования, а не признак его несостоятельности.</w:t>
      </w:r>
    </w:p>
    <w:p>
      <w:pPr>
        <w:pStyle w:val="Основной текст"/>
        <w:spacing w:before="0" w:after="0" w:line="360" w:lineRule="auto"/>
        <w:ind w:left="0" w:right="0" w:firstLine="0"/>
        <w:rPr>
          <w:rFonts w:ascii="Times New Roman" w:hAnsi="Times New Roman" w:cs="Times New Roman"/>
          <w:sz w:val="28"/>
          <w:szCs w:val="28"/>
        </w:rPr>
      </w:pPr>
    </w:p>
    <w:p>
      <w:pPr>
        <w:pStyle w:val="Основной текст"/>
        <w:pageBreakBefore/>
        <w:spacing w:before="0" w:after="0" w:line="360" w:lineRule="auto"/>
        <w:ind w:left="0" w:right="0" w:firstLine="0"/>
        <w:jc w:val="center"/>
        <w:rPr>
          <w:rFonts w:ascii="Times New Roman" w:hAnsi="Times New Roman" w:cs="Times New Roman"/>
          <w:b/>
          <w:bCs/>
          <w:sz w:val="28"/>
          <w:szCs w:val="28"/>
        </w:rPr>
      </w:pPr>
      <w:r>
        <w:rPr>
          <w:rFonts w:ascii="Times New Roman" w:hAnsi="Times New Roman" w:cs="Times New Roman"/>
          <w:b/>
          <w:bCs/>
          <w:sz w:val="28"/>
          <w:szCs w:val="28"/>
          <w:lang w:val="ru-RU"/>
        </w:rPr>
        <w:t xml:space="preserve">ЗАКЛЮЧЕНИЕ</w:t>
      </w:r>
    </w:p>
    <w:p>
      <w:pPr>
        <w:pStyle w:val="Основной текст"/>
        <w:spacing w:before="0" w:after="0" w:line="360" w:lineRule="auto"/>
        <w:ind w:left="0" w:right="0" w:firstLine="0"/>
        <w:rPr>
          <w:rFonts w:ascii="Times New Roman" w:hAnsi="Times New Roman" w:cs="Times New Roman"/>
          <w:sz w:val="28"/>
          <w:szCs w:val="28"/>
        </w:rPr>
      </w:pP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Работа была посвящена тому, как цифровизация меняет модный дискурс и насколько методы обработки естественного языка к нему применимы. Теоретический разбор модного дискурса как институционального и лингвистического феномена (Глава 1) соединён здесь с эмпирическим изучением корпуса цифровых модных медиа средствами компьютерной лингвистики (Глава 2).</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В теоретической части модный дискурс предстал как один из институциональных типов дискурса с гибридной, франко-англоязычной терминологической базой и постоянной установкой на неологизацию. За этой неологизацией стоят не только предметные перемены в индустрии, но и более широкие сдвиги в ценностях. Выяснилось также, что цифровизация модной индустрии идёт сразу по нескольким направлениям — организационно-экономическому, маркетингово-коммуникативному и технологическому, — а платформенная цифровая среда порождает новые гибридные жанровые формы, размывающие границы между привычными типами модного дискурса. Обзор методов автоматической обработки текста подтвердил, что лексико-статистический анализ, вероятностное тематическое моделирование, анализ тональности и элементы стилометрии дают подходящий набор инструментов: с их помощью можно уйти от единичных примеров, на которых обычно строится качественный дискурс-анализ, и перейти к представительному корпусу текстов.</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В эмпирической части ряд теоретических положений получил подтверждение на новом материале. Одновременно работа прошла через методологическое уточнение, и оно само оказалось содержательным результатом. Итоговый корпус — 202 текста из девяти источников (The Blueprint, SYMBOL, The Voice, Posta-Magazine, Snob, MarieClaire, Moskvichka, FRWF, «Мнение редакции») — собран автоматическим извлечением текста, что привело эмпирическую базу в соответствие с её методологическим описанием. Перед этим пришлось обнаружить и исправить проблему с подлинностью текста на промежуточном этапе сбора: часть корпуса тогда представляла собой пересказ, а не оригинал источника. Частотный и коллокационный анализ подтвердили активную англизацию терминологии модного дискурса и устойчивость терминологического ядра при трёхкратном росте объёма корпуса. Тематическое моделирование подтвердило гипотезу о жанровой обусловленности тематической организации дискурса, причём с расширением корпуса это подтверждение усилилось: совпадение тем с независимой жанровой разметкой дошло до 75–85% для отдельных жанров. Стилометрия, надёжная только на расширенном корпусе, вскрыла лексическое своеобразие жанров «тенденции» и «мнение», которое держалось на всех этапах сбора. Анализ тональности показал, как осторожная описательная тенденция превращается в статистически подтверждённый вывод: различие в тональной политике двух основных источников корпуса было незначимым на выборке в 100 текстов (p = 0,514), а на выборке в 202 текста, при контроле по жанру, стало значимым (p = 0,0156). Всё это согласуется с рекламной функцией модного дискурса и с логикой алгоритмической курации контента в социальных сетях — теме, которой посвящён отдельный параграф работы.</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Цель исследования — изучить цифровую трансформацию модного дискурса средствами обработки естественного языка — можно считать достигнутой. Работа показала, как методы NLP переводят теоретические наблюдения дискурс-анализа в область выводов, проверяемых эмпирически и подкреплённых статистикой. Кроме того, она на своём материале продемонстрировала, что методологическая самопроверка и уточнение метода по ходу работы — необходимая часть корректного эмпирического исследования.</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Практическая ценность работы — в воспроизводимой методологии сбора данных для исследований цифрового дискурса. Отдельно стоит отметить явную фиксацию технических ограничений источников (протокол robots.txt, недоступность части сайтов для автоматического извлечения текста): эти сведения могут пригодиться исследователям смежных областей. Собранный корпус фиксирует синхронный срез цифрового модного дискурса 2026 года и может стать точкой отсчёта для будущих диахронических работ. Апробация тематического моделирования, анализа тональности и стилометрии на русскоязычном материале модного дискурса расширяет эмпирическую базу компьютерной лингвистики, которая в основном опирается на англоязычные данные.</w:t>
      </w:r>
    </w:p>
    <w:p>
      <w:pPr>
        <w:pStyle w:val="Основной текст"/>
        <w:spacing w:before="0" w:after="0" w:line="360" w:lineRule="auto"/>
        <w:ind w:left="0" w:right="0" w:firstLine="709"/>
        <w:rPr>
          <w:rFonts w:ascii="Times New Roman" w:hAnsi="Times New Roman" w:cs="Times New Roman"/>
          <w:sz w:val="28"/>
          <w:szCs w:val="28"/>
        </w:rPr>
      </w:pPr>
      <w:r>
        <w:rPr>
          <w:rFonts w:ascii="Times New Roman" w:hAnsi="Times New Roman" w:cs="Times New Roman"/>
          <w:sz w:val="28"/>
          <w:szCs w:val="28"/>
          <w:lang w:val="ru-RU"/>
        </w:rPr>
        <w:t xml:space="preserve">Дальнейшая работа может пойти по пути расширения корпуса и привлечения новых источников — в частности, делового B2B-сегмента индустрии, который в настоящее исследование не вошёл по техническим причинам. Ещё одно перспективное направление — аспектный анализ тональности, различающий оценку разных объектов внутри одного текста, а также методы, способные обрабатывать текст целиком без ограничения на длину входной последовательности.</w:t>
      </w:r>
    </w:p>
    <w:sectPr>
      <w:headerReference w:type="default" r:id="rId4"/>
      <w:footerReference w:type="default" r:id="rId5"/>
      <w:footerReference w:type="first" r:id="rId7"/>
      <w:pgSz w:w="11906" w:h="16838" w:orient="portrait"/>
      <w:pgMar w:top="1417" w:right="1134" w:bottom="1417" w:left="1701" w:header="709" w:footer="850"/>
      <w:titlePg/>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http://schemas.openxmlformats.org/wordprocessingml/2006/main">
  <w:p>
    <w:pPr>
      <w:jc w:val="center"/>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 PAGE </w:instrText>
    </w:r>
    <w:r>
      <w:rPr>
        <w:rFonts w:ascii="Times New Roman" w:hAnsi="Times New Roman" w:cs="Times New Roman"/>
        <w:sz w:val="24"/>
      </w:rPr>
      <w:fldChar w:fldCharType="separate"/>
    </w:r>
    <w:r>
      <w:rPr>
        <w:rFonts w:ascii="Times New Roman" w:hAnsi="Times New Roman" w:cs="Times New Roman"/>
        <w:sz w:val="24"/>
      </w:rPr>
      <w:t>2</w:t>
    </w:r>
    <w:r>
      <w:rPr>
        <w:rFonts w:ascii="Times New Roman" w:hAnsi="Times New Roman" w:cs="Times New Roman"/>
        <w:sz w:val="24"/>
      </w:rPr>
      <w:fldChar w:fldCharType="end"/>
    </w:r>
  </w:p>
</w:ftr>
</file>

<file path=word/footer2.xml><?xml version="1.0" encoding="utf-8"?>
<w:ftr xmlns:r="http://schemas.openxmlformats.org/officeDocument/2006/relationships" xmlns:w="http://schemas.openxmlformats.org/wordprocessingml/2006/main">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русский" w:val="‘“(〔[{〈《「『【⦅〘〖«〝︵︷︹︻︽︿﹁﹃﹇﹙﹛﹝｢"/>
  <w:noLineBreaksBefore w:lang="русский"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Основной текст">
    <w:name w:val="Основной текст"/>
    <w:next w:val="Основной текст"/>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По умолчанию">
    <w:name w:val="По умолчанию"/>
    <w:next w:val="По умолчанию"/>
    <w:pPr>
      <w:keepNext w:val="0"/>
      <w:keepLines w:val="0"/>
      <w:pageBreakBefore w:val="0"/>
      <w:widowControl w:val="1"/>
      <w:shd w:val="clear" w:color="auto" w:fill="auto"/>
      <w:suppressAutoHyphens w:val="0"/>
      <w:bidi w:val="0"/>
      <w:spacing w:before="16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 Id="rId7" Type="http://schemas.openxmlformats.org/officeDocument/2006/relationships/footer" Target="footer2.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