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Ryde dispute policies and simulation rules</w:t>
      </w:r>
    </w:p>
    <w:p>
      <w:r>
        <w:t>Reference for the Rider Advocate, Driver Advocate and Judge Agent</w:t>
      </w:r>
    </w:p>
    <w:p>
      <w:r>
        <w:t>Prepared 12 October 2026  |  Demo version 1.0</w:t>
      </w:r>
    </w:p>
    <w:p>
      <w:r>
        <w:t>This document combines paraphrased rules from Ryde websites with explicitly simulated rules for the hackathon prototype. Published rules carry a PUB identifier and source link. SIM rules are proposed demo logic. This document was not issued or approved by Ryde.</w:t>
      </w:r>
    </w:p>
    <w:p>
      <w:pPr>
        <w:pStyle w:val="Heading1"/>
      </w:pPr>
      <w:r>
        <w:t>Using the shared policy layer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7906"/>
      </w:tblGrid>
      <w:tr>
        <w:trPr>
          <w:cantSplit/>
          <w:tblHeader/>
        </w:trPr>
        <w:tc>
          <w:tcPr>
            <w:tcW w:type="dxa" w:w="2088"/>
            <w:vAlign w:val="center"/>
            <w:shd w:fill="18304D"/>
            <w:tcMar>
              <w:top w:w="100" w:type="dxa"/>
              <w:left w:w="100" w:type="dxa"/>
              <w:bottom w:w="100" w:type="dxa"/>
              <w:right w:w="100" w:type="dxa"/>
            </w:tcMar>
          </w:tcPr>
          <w:p>
            <w:pPr>
              <w:spacing w:after="40" w:before="40" w:line="252" w:lineRule="auto"/>
            </w:pPr>
            <w:r>
              <w:rPr>
                <w:b/>
                <w:color w:val="FFFFFF"/>
                <w:sz w:val="21"/>
              </w:rPr>
              <w:t>Agent</w:t>
            </w:r>
          </w:p>
        </w:tc>
        <w:tc>
          <w:tcPr>
            <w:tcW w:type="dxa" w:w="7906"/>
            <w:vAlign w:val="center"/>
            <w:shd w:fill="18304D"/>
            <w:tcMar>
              <w:top w:w="100" w:type="dxa"/>
              <w:left w:w="100" w:type="dxa"/>
              <w:bottom w:w="100" w:type="dxa"/>
              <w:right w:w="100" w:type="dxa"/>
            </w:tcMar>
          </w:tcPr>
          <w:p>
            <w:pPr>
              <w:spacing w:after="40" w:before="40" w:line="252" w:lineRule="auto"/>
            </w:pPr>
            <w:r>
              <w:rPr>
                <w:b/>
                <w:color w:val="FFFFFF"/>
                <w:sz w:val="21"/>
              </w:rPr>
              <w:t>Use of the same policy version</w:t>
            </w:r>
          </w:p>
        </w:tc>
      </w:tr>
      <w:tr>
        <w:trPr>
          <w:cantSplit/>
        </w:trPr>
        <w:tc>
          <w:tcPr>
            <w:tcW w:type="dxa" w:w="2088"/>
            <w:vAlign w:val="center"/>
            <w:shd w:fill="F2F5F8"/>
            <w:tcMar>
              <w:top w:w="100" w:type="dxa"/>
              <w:left w:w="100" w:type="dxa"/>
              <w:bottom w:w="100" w:type="dxa"/>
              <w:right w:w="100" w:type="dxa"/>
            </w:tcMar>
          </w:tcPr>
          <w:p>
            <w:pPr>
              <w:spacing w:after="40" w:before="40" w:line="252" w:lineRule="auto"/>
            </w:pPr>
            <w:r>
              <w:rPr>
                <w:sz w:val="21"/>
              </w:rPr>
              <w:t>Rider Advocate</w:t>
            </w:r>
          </w:p>
        </w:tc>
        <w:tc>
          <w:tcPr>
            <w:tcW w:type="dxa" w:w="7906"/>
            <w:vAlign w:val="center"/>
            <w:shd w:fill="F2F5F8"/>
            <w:tcMar>
              <w:top w:w="100" w:type="dxa"/>
              <w:left w:w="100" w:type="dxa"/>
              <w:bottom w:w="100" w:type="dxa"/>
              <w:right w:w="100" w:type="dxa"/>
            </w:tcMar>
          </w:tcPr>
          <w:p>
            <w:pPr>
              <w:spacing w:after="40" w:before="40" w:line="252" w:lineRule="auto"/>
            </w:pPr>
            <w:r>
              <w:rPr>
                <w:sz w:val="21"/>
              </w:rPr>
              <w:t>Build the rider claim from trip evidence and cite applicable rule identifiers.</w:t>
            </w:r>
          </w:p>
        </w:tc>
      </w:tr>
      <w:tr>
        <w:trPr>
          <w:cantSplit/>
        </w:trPr>
        <w:tc>
          <w:tcPr>
            <w:tcW w:type="dxa" w:w="2088"/>
            <w:vAlign w:val="center"/>
            <w:shd w:fill="FFFFFF"/>
            <w:tcMar>
              <w:top w:w="100" w:type="dxa"/>
              <w:left w:w="100" w:type="dxa"/>
              <w:bottom w:w="100" w:type="dxa"/>
              <w:right w:w="100" w:type="dxa"/>
            </w:tcMar>
          </w:tcPr>
          <w:p>
            <w:pPr>
              <w:spacing w:after="40" w:before="40" w:line="252" w:lineRule="auto"/>
            </w:pPr>
            <w:r>
              <w:rPr>
                <w:sz w:val="21"/>
              </w:rPr>
              <w:t>Driver Advocate</w:t>
            </w:r>
          </w:p>
        </w:tc>
        <w:tc>
          <w:tcPr>
            <w:tcW w:type="dxa" w:w="7906"/>
            <w:vAlign w:val="center"/>
            <w:shd w:fill="FFFFFF"/>
            <w:tcMar>
              <w:top w:w="100" w:type="dxa"/>
              <w:left w:w="100" w:type="dxa"/>
              <w:bottom w:w="100" w:type="dxa"/>
              <w:right w:w="100" w:type="dxa"/>
            </w:tcMar>
          </w:tcPr>
          <w:p>
            <w:pPr>
              <w:spacing w:after="40" w:before="40" w:line="252" w:lineRule="auto"/>
            </w:pPr>
            <w:r>
              <w:rPr>
                <w:sz w:val="21"/>
              </w:rPr>
              <w:t>Build the driver claim or defense using the same rules and acknowledge contrary evidence.</w:t>
            </w:r>
          </w:p>
        </w:tc>
      </w:tr>
      <w:tr>
        <w:trPr>
          <w:cantSplit/>
        </w:trPr>
        <w:tc>
          <w:tcPr>
            <w:tcW w:type="dxa" w:w="2088"/>
            <w:vAlign w:val="center"/>
            <w:shd w:fill="F2F5F8"/>
            <w:tcMar>
              <w:top w:w="100" w:type="dxa"/>
              <w:left w:w="100" w:type="dxa"/>
              <w:bottom w:w="100" w:type="dxa"/>
              <w:right w:w="100" w:type="dxa"/>
            </w:tcMar>
          </w:tcPr>
          <w:p>
            <w:pPr>
              <w:spacing w:after="40" w:before="40" w:line="252" w:lineRule="auto"/>
            </w:pPr>
            <w:r>
              <w:rPr>
                <w:sz w:val="21"/>
              </w:rPr>
              <w:t>Judge Agent</w:t>
            </w:r>
          </w:p>
        </w:tc>
        <w:tc>
          <w:tcPr>
            <w:tcW w:type="dxa" w:w="7906"/>
            <w:vAlign w:val="center"/>
            <w:shd w:fill="F2F5F8"/>
            <w:tcMar>
              <w:top w:w="100" w:type="dxa"/>
              <w:left w:w="100" w:type="dxa"/>
              <w:bottom w:w="100" w:type="dxa"/>
              <w:right w:w="100" w:type="dxa"/>
            </w:tcMar>
          </w:tcPr>
          <w:p>
            <w:pPr>
              <w:spacing w:after="40" w:before="40" w:line="252" w:lineRule="auto"/>
            </w:pPr>
            <w:r>
              <w:rPr>
                <w:sz w:val="21"/>
              </w:rPr>
              <w:t>Compare both cases, check each rule condition and explain the ruling with evidence and policy references.</w:t>
            </w:r>
          </w:p>
        </w:tc>
      </w:tr>
    </w:tbl>
    <w:p>
      <w:pPr>
        <w:spacing w:after="40"/>
      </w:pPr>
    </w:p>
    <w:p>
      <w:r>
        <w:t>The demo covers route and fare disputes plus cancellation and no-show charges. Cleaning, property damage, safety and fare evasion are included as extensions. Public support pages do not provide a complete autonomous adjudication algorithm; the SIM section supplies that missing demo logic.</w:t>
      </w:r>
    </w:p>
    <w:p>
      <w:pPr>
        <w:pStyle w:val="Heading1"/>
      </w:pPr>
      <w:r>
        <w:t>Compatibility with the existing mock trips</w:t>
      </w:r>
    </w:p>
    <w:p>
      <w:r>
        <w:t>The rider and driver workbooks use fictional S$4 or S$5 cancellation charges. The published rider policy lists S$6.61. A separate driver article lists S$4.50 received by the driver; rider charges and driver receipts are different fields. Keep the original mock charge when calculating a demo refund, and label the fee schedule as synthetic.</w:t>
      </w:r>
      <w:r>
        <w:t xml:space="preserve"> </w:t>
      </w:r>
      <w:hyperlink r:id="rId11">
        <w:r>
          <w:rPr>
            <w:color w:val="215A87"/>
            <w:sz w:val="21"/>
          </w:rPr>
          <w:t>[S1]</w:t>
        </w:r>
      </w:hyperlink>
      <w:r>
        <w:t xml:space="preserve"> </w:t>
      </w:r>
      <w:hyperlink r:id="rId12">
        <w:r>
          <w:rPr>
            <w:color w:val="215A87"/>
            <w:sz w:val="21"/>
          </w:rPr>
          <w:t>[S2]</w:t>
        </w:r>
      </w:hyperlink>
    </w:p>
    <w:p>
      <w:r>
        <w:t>Some mock trips also increase the fare because the route became longer. Ryde states that quoted fares are generally fixed except for RydeTAXI. A detour or agreement about a route does not by itself establish an approved fare increase. Check documented extras or an accepted in-app destination change before allowing an additional charge.</w:t>
      </w:r>
      <w:r>
        <w:t xml:space="preserve"> </w:t>
      </w:r>
      <w:hyperlink r:id="rId13">
        <w:r>
          <w:rPr>
            <w:color w:val="215A87"/>
            <w:sz w:val="21"/>
          </w:rPr>
          <w:t>[S3]</w:t>
        </w:r>
      </w:hyperlink>
      <w:r>
        <w:t xml:space="preserve"> </w:t>
      </w:r>
      <w:hyperlink r:id="rId14">
        <w:r>
          <w:rPr>
            <w:color w:val="215A87"/>
            <w:sz w:val="21"/>
          </w:rPr>
          <w:t>[S4]</w:t>
        </w:r>
      </w:hyperlink>
      <w:r>
        <w:t xml:space="preserve"> </w:t>
      </w:r>
      <w:hyperlink r:id="rId15">
        <w:r>
          <w:rPr>
            <w:color w:val="215A87"/>
            <w:sz w:val="21"/>
          </w:rPr>
          <w:t>[S5]</w:t>
        </w:r>
      </w:hyperlink>
    </w:p>
    <w:p>
      <w:r>
        <w:br w:type="page"/>
      </w:r>
    </w:p>
    <w:p>
      <w:pPr>
        <w:pStyle w:val="Heading1"/>
      </w:pPr>
      <w:r>
        <w:t>Published trip and fare rules</w:t>
      </w:r>
    </w:p>
    <w:p>
      <w:r>
        <w:t>The following are paraphrases of published Ryde guidance checked on 12 October 2026. The source pages remain the authority for their wording and service exceptions.</w:t>
      </w:r>
    </w:p>
    <w:p>
      <w:pPr>
        <w:pStyle w:val="Heading2"/>
      </w:pPr>
      <w:r>
        <w:t>PUB01 Rider cancellation and waiting fees</w:t>
      </w:r>
    </w:p>
    <w:p>
      <w:r>
        <w:t>For on-demand bookings, cancellations within three minutes of matching are free. The listed rider cancellation fee is S$6.61 when the rider cancels after that window, or when the driver marks arrival, waits more than three minutes and cancels because the rider does not appear. A S$5 waiting fee may apply when the rider boards after more than three minutes and the trip is completed. For advance bookings, cancellation more than 15 minutes before the scheduled time is free; late matching has a three-minute grace period. Preserve the article’s conditions and fee footnotes. Exact boundary ambiguities require review.</w:t>
      </w:r>
      <w:r>
        <w:t xml:space="preserve"> </w:t>
      </w:r>
      <w:hyperlink r:id="rId11">
        <w:r>
          <w:rPr>
            <w:color w:val="215A87"/>
            <w:sz w:val="21"/>
          </w:rPr>
          <w:t>[S1]</w:t>
        </w:r>
      </w:hyperlink>
    </w:p>
    <w:p>
      <w:pPr>
        <w:pStyle w:val="Heading2"/>
      </w:pPr>
      <w:r>
        <w:t>PUB02 Driver cancellation compensation</w:t>
      </w:r>
    </w:p>
    <w:p>
      <w:r>
        <w:t>The driver-facing article lists an automatic S$4.50 cancellation payment after more than three minutes of waiting. It also says no-show cancellations are included in the driver account. Do not assume this equals the rider charge.</w:t>
      </w:r>
      <w:r>
        <w:t xml:space="preserve"> </w:t>
      </w:r>
      <w:hyperlink r:id="rId12">
        <w:r>
          <w:rPr>
            <w:color w:val="215A87"/>
            <w:sz w:val="21"/>
          </w:rPr>
          <w:t>[S2]</w:t>
        </w:r>
      </w:hyperlink>
    </w:p>
    <w:p>
      <w:pPr>
        <w:pStyle w:val="Heading2"/>
      </w:pPr>
      <w:r>
        <w:t>PUB03 Contacting an absent rider</w:t>
      </w:r>
    </w:p>
    <w:p>
      <w:r>
        <w:t>Drivers should try in-app chat or a call. If the rider remains unreachable, the driver may need to cancel the booking.</w:t>
      </w:r>
      <w:r>
        <w:t xml:space="preserve"> </w:t>
      </w:r>
      <w:hyperlink r:id="rId16">
        <w:r>
          <w:rPr>
            <w:color w:val="215A87"/>
            <w:sz w:val="21"/>
          </w:rPr>
          <w:t>[S8]</w:t>
        </w:r>
      </w:hyperlink>
    </w:p>
    <w:p>
      <w:pPr>
        <w:pStyle w:val="Heading2"/>
      </w:pPr>
      <w:r>
        <w:t>PUB04 Route selection</w:t>
      </w:r>
    </w:p>
    <w:p>
      <w:r>
        <w:t>Trip fare is fixed by pickup and drop-off points. The driver may choose the fastest or most efficient GPS route. Following a rider’s preferred route can be agreed between the parties.</w:t>
      </w:r>
      <w:r>
        <w:t xml:space="preserve"> </w:t>
      </w:r>
      <w:hyperlink r:id="rId13">
        <w:r>
          <w:rPr>
            <w:color w:val="215A87"/>
            <w:sz w:val="21"/>
          </w:rPr>
          <w:t>[S3]</w:t>
        </w:r>
      </w:hyperlink>
    </w:p>
    <w:p>
      <w:pPr>
        <w:pStyle w:val="Heading2"/>
      </w:pPr>
      <w:r>
        <w:t>PUB05 Fare and toll verification</w:t>
      </w:r>
    </w:p>
    <w:p>
      <w:r>
        <w:t>Quoted fares are generally fixed, with RydeTAXI as an exception. Tolls and other additional charges may arise. The trip receipt should itemize fees and surcharges. Verify the receipt before deciding whether a charge is duplicated or unsupported.</w:t>
      </w:r>
      <w:r>
        <w:t xml:space="preserve"> </w:t>
      </w:r>
      <w:hyperlink r:id="rId14">
        <w:r>
          <w:rPr>
            <w:color w:val="215A87"/>
            <w:sz w:val="21"/>
          </w:rPr>
          <w:t>[S4]</w:t>
        </w:r>
      </w:hyperlink>
    </w:p>
    <w:p>
      <w:pPr>
        <w:pStyle w:val="Heading2"/>
      </w:pPr>
      <w:r>
        <w:t>PUB06 Changing a destination</w:t>
      </w:r>
    </w:p>
    <w:p>
      <w:r>
        <w:t>The rider should inform the driver and update the destination in the app. Driver acceptance leads to recalculation of the fare and route; no response within the acceptance window means rejection. This feature excludes RydePOOL, RydeTAXI and multiple-stop bookings. The article states an effective date of 17 October 2025.</w:t>
      </w:r>
      <w:r>
        <w:t xml:space="preserve"> </w:t>
      </w:r>
      <w:hyperlink r:id="rId15">
        <w:r>
          <w:rPr>
            <w:color w:val="215A87"/>
            <w:sz w:val="21"/>
          </w:rPr>
          <w:t>[S5]</w:t>
        </w:r>
      </w:hyperlink>
    </w:p>
    <w:p>
      <w:r>
        <w:br w:type="page"/>
      </w:r>
    </w:p>
    <w:p>
      <w:pPr>
        <w:pStyle w:val="Heading1"/>
      </w:pPr>
      <w:r>
        <w:t>Published cleaning and conduct rules</w:t>
      </w:r>
    </w:p>
    <w:p>
      <w:pPr>
        <w:pStyle w:val="Heading2"/>
      </w:pPr>
      <w:r>
        <w:t>PUB07 Cleaning claims</w:t>
      </w:r>
    </w:p>
    <w:p>
      <w:r>
        <w:t>A rider who creates a mess is responsible for cleaning expenses. Drivers should inform the rider and submit a claim to Ryde rather than demand direct payment. Professional cleaning is required within 24 hours, and the claim must be filed within 48 hours of the trip. Include photos, at least one showing the car plate, and a cleaning receipt with company details, cleaning date, car plate, authorized signature and stamp.</w:t>
      </w:r>
      <w:r>
        <w:t xml:space="preserve"> </w:t>
      </w:r>
      <w:hyperlink r:id="rId17">
        <w:r>
          <w:rPr>
            <w:color w:val="215A87"/>
            <w:sz w:val="21"/>
          </w:rPr>
          <w:t>[S6]</w:t>
        </w:r>
      </w:hyperlink>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912"/>
        <w:gridCol w:w="3082"/>
      </w:tblGrid>
      <w:tr>
        <w:trPr>
          <w:cantSplit/>
          <w:tblHeader/>
        </w:trPr>
        <w:tc>
          <w:tcPr>
            <w:tcW w:type="dxa" w:w="6912"/>
            <w:vAlign w:val="center"/>
            <w:shd w:fill="18304D"/>
            <w:tcMar>
              <w:top w:w="100" w:type="dxa"/>
              <w:left w:w="100" w:type="dxa"/>
              <w:bottom w:w="100" w:type="dxa"/>
              <w:right w:w="100" w:type="dxa"/>
            </w:tcMar>
          </w:tcPr>
          <w:p>
            <w:pPr>
              <w:spacing w:after="40" w:before="40" w:line="252" w:lineRule="auto"/>
            </w:pPr>
            <w:r>
              <w:rPr>
                <w:b/>
                <w:color w:val="FFFFFF"/>
                <w:sz w:val="21"/>
              </w:rPr>
              <w:t>Mess category</w:t>
            </w:r>
          </w:p>
        </w:tc>
        <w:tc>
          <w:tcPr>
            <w:tcW w:type="dxa" w:w="3082"/>
            <w:vAlign w:val="center"/>
            <w:shd w:fill="18304D"/>
            <w:tcMar>
              <w:top w:w="100" w:type="dxa"/>
              <w:left w:w="100" w:type="dxa"/>
              <w:bottom w:w="100" w:type="dxa"/>
              <w:right w:w="100" w:type="dxa"/>
            </w:tcMar>
          </w:tcPr>
          <w:p>
            <w:pPr>
              <w:spacing w:after="40" w:before="40" w:line="252" w:lineRule="auto"/>
            </w:pPr>
            <w:r>
              <w:rPr>
                <w:b/>
                <w:color w:val="FFFFFF"/>
                <w:sz w:val="21"/>
              </w:rPr>
              <w:t>Maximum published claim</w:t>
            </w:r>
          </w:p>
        </w:tc>
      </w:tr>
      <w:tr>
        <w:trPr>
          <w:cantSplit/>
        </w:trPr>
        <w:tc>
          <w:tcPr>
            <w:tcW w:type="dxa" w:w="6912"/>
            <w:vAlign w:val="center"/>
            <w:shd w:fill="F2F5F8"/>
            <w:tcMar>
              <w:top w:w="100" w:type="dxa"/>
              <w:left w:w="100" w:type="dxa"/>
              <w:bottom w:w="100" w:type="dxa"/>
              <w:right w:w="100" w:type="dxa"/>
            </w:tcMar>
          </w:tcPr>
          <w:p>
            <w:pPr>
              <w:spacing w:after="40" w:before="40" w:line="252" w:lineRule="auto"/>
            </w:pPr>
            <w:r>
              <w:rPr>
                <w:sz w:val="21"/>
              </w:rPr>
              <w:t>Food or drink spills, groceries, crumbs or sand</w:t>
            </w:r>
          </w:p>
        </w:tc>
        <w:tc>
          <w:tcPr>
            <w:tcW w:type="dxa" w:w="3082"/>
            <w:vAlign w:val="center"/>
            <w:shd w:fill="F2F5F8"/>
            <w:tcMar>
              <w:top w:w="100" w:type="dxa"/>
              <w:left w:w="100" w:type="dxa"/>
              <w:bottom w:w="100" w:type="dxa"/>
              <w:right w:w="100" w:type="dxa"/>
            </w:tcMar>
          </w:tcPr>
          <w:p>
            <w:pPr>
              <w:spacing w:after="40" w:before="40" w:line="252" w:lineRule="auto"/>
            </w:pPr>
            <w:r>
              <w:rPr>
                <w:sz w:val="21"/>
              </w:rPr>
              <w:t>S$40</w:t>
            </w:r>
          </w:p>
        </w:tc>
      </w:tr>
      <w:tr>
        <w:trPr>
          <w:cantSplit/>
        </w:trPr>
        <w:tc>
          <w:tcPr>
            <w:tcW w:type="dxa" w:w="6912"/>
            <w:vAlign w:val="center"/>
            <w:shd w:fill="FFFFFF"/>
            <w:tcMar>
              <w:top w:w="100" w:type="dxa"/>
              <w:left w:w="100" w:type="dxa"/>
              <w:bottom w:w="100" w:type="dxa"/>
              <w:right w:w="100" w:type="dxa"/>
            </w:tcMar>
          </w:tcPr>
          <w:p>
            <w:pPr>
              <w:spacing w:after="40" w:before="40" w:line="252" w:lineRule="auto"/>
            </w:pPr>
            <w:r>
              <w:rPr>
                <w:sz w:val="21"/>
              </w:rPr>
              <w:t>Human or pet bodily fluids and listed stains</w:t>
            </w:r>
          </w:p>
        </w:tc>
        <w:tc>
          <w:tcPr>
            <w:tcW w:type="dxa" w:w="3082"/>
            <w:vAlign w:val="center"/>
            <w:shd w:fill="FFFFFF"/>
            <w:tcMar>
              <w:top w:w="100" w:type="dxa"/>
              <w:left w:w="100" w:type="dxa"/>
              <w:bottom w:w="100" w:type="dxa"/>
              <w:right w:w="100" w:type="dxa"/>
            </w:tcMar>
          </w:tcPr>
          <w:p>
            <w:pPr>
              <w:spacing w:after="40" w:before="40" w:line="252" w:lineRule="auto"/>
            </w:pPr>
            <w:r>
              <w:rPr>
                <w:sz w:val="21"/>
              </w:rPr>
              <w:t>S$120</w:t>
            </w:r>
          </w:p>
        </w:tc>
      </w:tr>
      <w:tr>
        <w:trPr>
          <w:cantSplit/>
        </w:trPr>
        <w:tc>
          <w:tcPr>
            <w:tcW w:type="dxa" w:w="6912"/>
            <w:vAlign w:val="center"/>
            <w:shd w:fill="F2F5F8"/>
            <w:tcMar>
              <w:top w:w="100" w:type="dxa"/>
              <w:left w:w="100" w:type="dxa"/>
              <w:bottom w:w="100" w:type="dxa"/>
              <w:right w:w="100" w:type="dxa"/>
            </w:tcMar>
          </w:tcPr>
          <w:p>
            <w:pPr>
              <w:spacing w:after="40" w:before="40" w:line="252" w:lineRule="auto"/>
            </w:pPr>
            <w:r>
              <w:rPr>
                <w:sz w:val="21"/>
              </w:rPr>
              <w:t>Vomit</w:t>
            </w:r>
          </w:p>
        </w:tc>
        <w:tc>
          <w:tcPr>
            <w:tcW w:type="dxa" w:w="3082"/>
            <w:vAlign w:val="center"/>
            <w:shd w:fill="F2F5F8"/>
            <w:tcMar>
              <w:top w:w="100" w:type="dxa"/>
              <w:left w:w="100" w:type="dxa"/>
              <w:bottom w:w="100" w:type="dxa"/>
              <w:right w:w="100" w:type="dxa"/>
            </w:tcMar>
          </w:tcPr>
          <w:p>
            <w:pPr>
              <w:spacing w:after="40" w:before="40" w:line="252" w:lineRule="auto"/>
            </w:pPr>
            <w:r>
              <w:rPr>
                <w:sz w:val="21"/>
              </w:rPr>
              <w:t>S$200</w:t>
            </w:r>
          </w:p>
        </w:tc>
      </w:tr>
    </w:tbl>
    <w:p>
      <w:pPr>
        <w:spacing w:after="40"/>
      </w:pPr>
    </w:p>
    <w:p>
      <w:r>
        <w:t>Ryde reviews claims and decides the amount. Costs above the tier cap are excluded. Immediately cleanable mess and expected pet fur or saliva are excluded. Approved driver reimbursement does not depend on rider payment. An appeal with additional evidence is allowed within 24 hours.</w:t>
      </w:r>
      <w:r>
        <w:t xml:space="preserve"> </w:t>
      </w:r>
      <w:hyperlink r:id="rId17">
        <w:r>
          <w:rPr>
            <w:color w:val="215A87"/>
            <w:sz w:val="21"/>
          </w:rPr>
          <w:t>[S6]</w:t>
        </w:r>
      </w:hyperlink>
    </w:p>
    <w:p>
      <w:pPr>
        <w:pStyle w:val="Heading2"/>
      </w:pPr>
      <w:r>
        <w:t>PUB08 Safety and respectful conduct</w:t>
      </w:r>
    </w:p>
    <w:p>
      <w:r>
        <w:t>Drivers must follow road rules and travel directly to the pickup point. Preferred routes should be discussed and agreed. Physical or verbal assault and harassment are prohibited. The conduct page prohibits drivers contacting passengers after the trip. Use retained trip chats and support exchanges as evidence rather than initiating prohibited contact.</w:t>
      </w:r>
      <w:r>
        <w:t xml:space="preserve"> </w:t>
      </w:r>
      <w:hyperlink r:id="rId18">
        <w:r>
          <w:rPr>
            <w:color w:val="215A87"/>
            <w:sz w:val="21"/>
          </w:rPr>
          <w:t>[S7]</w:t>
        </w:r>
      </w:hyperlink>
    </w:p>
    <w:p>
      <w:pPr>
        <w:pStyle w:val="Heading2"/>
      </w:pPr>
      <w:r>
        <w:t>PUB09 Reporting unsafe rider behavior</w:t>
      </w:r>
    </w:p>
    <w:p>
      <w:r>
        <w:t>Drivers can report rude or unsafe rider behavior through RydeHELP in the driver app. The support article discusses account action but does not publish the numerical rating threshold. The demo must not invent a Ryde suspension threshold.</w:t>
      </w:r>
      <w:r>
        <w:t xml:space="preserve"> </w:t>
      </w:r>
      <w:hyperlink r:id="rId19">
        <w:r>
          <w:rPr>
            <w:color w:val="215A87"/>
            <w:sz w:val="21"/>
          </w:rPr>
          <w:t>[S10]</w:t>
        </w:r>
      </w:hyperlink>
    </w:p>
    <w:p>
      <w:pPr>
        <w:pStyle w:val="Heading2"/>
      </w:pPr>
      <w:r>
        <w:t>PUB10 Fare evasion</w:t>
      </w:r>
    </w:p>
    <w:p>
      <w:r>
        <w:t>For cash bookings, drivers should check payment mode and collect payment before ending the trip. If the rider does not pay, Ryde asks for trip details sent to support, an online police report and a copy supplied to its team. The article describes fare reimbursement as goodwill.</w:t>
      </w:r>
      <w:r>
        <w:t xml:space="preserve"> </w:t>
      </w:r>
      <w:hyperlink r:id="rId20">
        <w:r>
          <w:rPr>
            <w:color w:val="215A87"/>
            <w:sz w:val="21"/>
          </w:rPr>
          <w:t>[S9]</w:t>
        </w:r>
      </w:hyperlink>
    </w:p>
    <w:p>
      <w:r>
        <w:t>Source limits. These pages do not establish a general vehicle-repair compensation schedule, a route-deviation refund percentage, GPS arrival radius or AI confidence threshold. Cleaning caps apply to mess claims, not every kind of property damage.</w:t>
      </w:r>
    </w:p>
    <w:p>
      <w:r>
        <w:br w:type="page"/>
      </w:r>
    </w:p>
    <w:p>
      <w:pPr>
        <w:pStyle w:val="Heading1"/>
      </w:pPr>
      <w:r>
        <w:t>Simulated adjudication rules</w:t>
      </w:r>
    </w:p>
    <w:p>
      <w:r>
        <w:t>All SIM rules below are invented for the demo. Apply them only under policy version DEMO 1.0, assuming on-demand bookings with fixed quoted fares. They do not represent approved Ryde policies. An unknown service type requires verification.</w:t>
      </w:r>
    </w:p>
    <w:p>
      <w:pPr>
        <w:pStyle w:val="Heading2"/>
      </w:pPr>
      <w:r>
        <w:t>SIM01 Verify arrival and waiting</w:t>
      </w:r>
    </w:p>
    <w:p>
      <w:r>
        <w:t>Use the booked pickup point and server timestamps. For this demo, verified arrival means a GPS sample within 100 metres plus an arrival event. Start the waiting clock at the later verified-arrival or arrival-button time. A no-show requires more than 180 seconds of verified waiting, no boarding and a cancellation event. Wrong-entrance arrival, an early departure or an unverifiable GPS gap cannot establish eligibility automatically.</w:t>
      </w:r>
    </w:p>
    <w:p>
      <w:pPr>
        <w:pStyle w:val="Heading2"/>
      </w:pPr>
      <w:r>
        <w:t>SIM02 Review route and fare separately</w:t>
      </w:r>
    </w:p>
    <w:p>
      <w:r>
        <w:t>Compare route evidence with road events and chat consent. A reasonable detour can support the driver’s route defense. Check pricing independently: retain the fixed quote unless supported receipt extras or accepted in-app repricing justify a change. Chat consent to a scenic route alone is insufficient proof of repricing. A longer route with the same valid fixed fare does not create an automatic refund.</w:t>
      </w:r>
    </w:p>
    <w:p>
      <w:pPr>
        <w:pStyle w:val="Heading2"/>
      </w:pPr>
      <w:r>
        <w:t>SIM03 Calculate the recommended adjustment</w:t>
      </w:r>
    </w:p>
    <w:p>
      <w:r>
        <w:t>For an unsupported fare increase, recommend max(0, charged amount minus documented payable amount), capped at the amount actually charged. For an ineligible cancellation fee, recommend refunding the recorded cancellation charge. Never substitute the published S$6.61 for a fictional S$4 or S$5 charge when calculating the refund.</w:t>
      </w:r>
    </w:p>
    <w:p>
      <w:pPr>
        <w:pStyle w:val="Heading2"/>
      </w:pPr>
      <w:r>
        <w:t>SIM04 Resolve evidence gaps fairly</w:t>
      </w:r>
    </w:p>
    <w:p>
      <w:r>
        <w:t>Obtain both parties’ statements. Use GPS, timestamps, receipts and chats as case evidence. Ratings, account age and past disputes supply context only. They do not prove misconduct. If essential evidence is missing, contradictory or service-specific pricing cannot be verified, recommend human review without fabricating facts.</w:t>
      </w:r>
    </w:p>
    <w:p>
      <w:pPr>
        <w:pStyle w:val="Heading2"/>
      </w:pPr>
      <w:r>
        <w:t>SIM05 Escalate sensitive or uncertain cases</w:t>
      </w:r>
    </w:p>
    <w:p>
      <w:r>
        <w:t>For the demo, send confidence below 0.85 or an adjustment above S$50 to a human reviewer. These settings are arbitrary prototype values. Safety incidents, injury, threats, suspected fraud, property damage, cleaning claims and conflicts between source rules also require human review. Preserve evidence and provide a case summary; do not automate a finding of criminal liability.</w:t>
      </w:r>
    </w:p>
    <w:p>
      <w:pPr>
        <w:pStyle w:val="Heading2"/>
      </w:pPr>
      <w:r>
        <w:t>SIM06 Produce a traceable ruling</w:t>
      </w:r>
    </w:p>
    <w:p>
      <w:r>
        <w:t>Return trip ID, issue category, policy version, applied PUB and SIM identifiers, evidence references, ruling, adjustment in SGD, affected party, confidence and explanation. Allowed outcomes are uphold charge, refund, compensate, request evidence and escalate. Payments and account penalties remain recommendations in the prototype.</w:t>
      </w:r>
    </w:p>
    <w:p>
      <w:r>
        <w:br w:type="page"/>
      </w:r>
    </w:p>
    <w:p>
      <w:pPr>
        <w:pStyle w:val="Heading1"/>
      </w:pPr>
      <w:r>
        <w:t>Examples and source register</w:t>
      </w:r>
    </w:p>
    <w:p>
      <w:pPr>
        <w:pStyle w:val="Heading2"/>
      </w:pPr>
      <w:r>
        <w:t>Simulated worked examples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64"/>
        <w:gridCol w:w="5530"/>
      </w:tblGrid>
      <w:tr>
        <w:trPr>
          <w:cantSplit/>
          <w:tblHeader/>
        </w:trPr>
        <w:tc>
          <w:tcPr>
            <w:tcW w:type="dxa" w:w="4464"/>
            <w:vAlign w:val="center"/>
            <w:shd w:fill="18304D"/>
            <w:tcMar>
              <w:top w:w="100" w:type="dxa"/>
              <w:left w:w="100" w:type="dxa"/>
              <w:bottom w:w="100" w:type="dxa"/>
              <w:right w:w="100" w:type="dxa"/>
            </w:tcMar>
          </w:tcPr>
          <w:p>
            <w:pPr>
              <w:spacing w:after="40" w:before="40" w:line="252" w:lineRule="auto"/>
            </w:pPr>
            <w:r>
              <w:rPr>
                <w:b/>
                <w:color w:val="FFFFFF"/>
                <w:sz w:val="21"/>
              </w:rPr>
              <w:t>Evidence</w:t>
            </w:r>
          </w:p>
        </w:tc>
        <w:tc>
          <w:tcPr>
            <w:tcW w:type="dxa" w:w="5530"/>
            <w:vAlign w:val="center"/>
            <w:shd w:fill="18304D"/>
            <w:tcMar>
              <w:top w:w="100" w:type="dxa"/>
              <w:left w:w="100" w:type="dxa"/>
              <w:bottom w:w="100" w:type="dxa"/>
              <w:right w:w="100" w:type="dxa"/>
            </w:tcMar>
          </w:tcPr>
          <w:p>
            <w:pPr>
              <w:spacing w:after="40" w:before="40" w:line="252" w:lineRule="auto"/>
            </w:pPr>
            <w:r>
              <w:rPr>
                <w:b/>
                <w:color w:val="FFFFFF"/>
                <w:sz w:val="21"/>
              </w:rPr>
              <w:t>Demo result</w:t>
            </w:r>
          </w:p>
        </w:tc>
      </w:tr>
      <w:tr>
        <w:trPr>
          <w:cantSplit/>
        </w:trPr>
        <w:tc>
          <w:tcPr>
            <w:tcW w:type="dxa" w:w="4464"/>
            <w:vAlign w:val="center"/>
            <w:shd w:fill="F2F5F8"/>
            <w:tcMar>
              <w:top w:w="100" w:type="dxa"/>
              <w:left w:w="100" w:type="dxa"/>
              <w:bottom w:w="100" w:type="dxa"/>
              <w:right w:w="100" w:type="dxa"/>
            </w:tcMar>
          </w:tcPr>
          <w:p>
            <w:pPr>
              <w:spacing w:after="40" w:before="40" w:line="252" w:lineRule="auto"/>
            </w:pPr>
            <w:r>
              <w:rPr>
                <w:sz w:val="21"/>
              </w:rPr>
              <w:t>Driver 420 m from booked pickup; fictional cancellation charge S$5.00.</w:t>
            </w:r>
          </w:p>
        </w:tc>
        <w:tc>
          <w:tcPr>
            <w:tcW w:type="dxa" w:w="5530"/>
            <w:vAlign w:val="center"/>
            <w:shd w:fill="F2F5F8"/>
            <w:tcMar>
              <w:top w:w="100" w:type="dxa"/>
              <w:left w:w="100" w:type="dxa"/>
              <w:bottom w:w="100" w:type="dxa"/>
              <w:right w:w="100" w:type="dxa"/>
            </w:tcMar>
          </w:tcPr>
          <w:p>
            <w:pPr>
              <w:spacing w:after="40" w:before="40" w:line="252" w:lineRule="auto"/>
            </w:pPr>
            <w:r>
              <w:rPr>
                <w:sz w:val="21"/>
              </w:rPr>
              <w:t>Refund the recorded S$5.00 if the location evidence is reliable. SIM01 and SIM03.</w:t>
            </w:r>
          </w:p>
        </w:tc>
      </w:tr>
      <w:tr>
        <w:trPr>
          <w:cantSplit/>
        </w:trPr>
        <w:tc>
          <w:tcPr>
            <w:tcW w:type="dxa" w:w="4464"/>
            <w:vAlign w:val="center"/>
            <w:shd w:fill="FFFFFF"/>
            <w:tcMar>
              <w:top w:w="100" w:type="dxa"/>
              <w:left w:w="100" w:type="dxa"/>
              <w:bottom w:w="100" w:type="dxa"/>
              <w:right w:w="100" w:type="dxa"/>
            </w:tcMar>
          </w:tcPr>
          <w:p>
            <w:pPr>
              <w:spacing w:after="40" w:before="40" w:line="252" w:lineRule="auto"/>
            </w:pPr>
            <w:r>
              <w:rPr>
                <w:sz w:val="21"/>
              </w:rPr>
              <w:t>Fixed quote S$27.00; charge S$31.40; no supported extras or repricing.</w:t>
            </w:r>
          </w:p>
        </w:tc>
        <w:tc>
          <w:tcPr>
            <w:tcW w:type="dxa" w:w="5530"/>
            <w:vAlign w:val="center"/>
            <w:shd w:fill="FFFFFF"/>
            <w:tcMar>
              <w:top w:w="100" w:type="dxa"/>
              <w:left w:w="100" w:type="dxa"/>
              <w:bottom w:w="100" w:type="dxa"/>
              <w:right w:w="100" w:type="dxa"/>
            </w:tcMar>
          </w:tcPr>
          <w:p>
            <w:pPr>
              <w:spacing w:after="40" w:before="40" w:line="252" w:lineRule="auto"/>
            </w:pPr>
            <w:r>
              <w:rPr>
                <w:sz w:val="21"/>
              </w:rPr>
              <w:t>Recommend S$4.40 refund. Assess the route complaint separately. PUB04, PUB05, SIM02 and SIM03.</w:t>
            </w:r>
          </w:p>
        </w:tc>
      </w:tr>
      <w:tr>
        <w:trPr>
          <w:cantSplit/>
        </w:trPr>
        <w:tc>
          <w:tcPr>
            <w:tcW w:type="dxa" w:w="4464"/>
            <w:vAlign w:val="center"/>
            <w:shd w:fill="F2F5F8"/>
            <w:tcMar>
              <w:top w:w="100" w:type="dxa"/>
              <w:left w:w="100" w:type="dxa"/>
              <w:bottom w:w="100" w:type="dxa"/>
              <w:right w:w="100" w:type="dxa"/>
            </w:tcMar>
          </w:tcPr>
          <w:p>
            <w:pPr>
              <w:spacing w:after="40" w:before="40" w:line="252" w:lineRule="auto"/>
            </w:pPr>
            <w:r>
              <w:rPr>
                <w:sz w:val="21"/>
              </w:rPr>
              <w:t>Verified pickup arrival; seven-minute wait; no boarding; synthetic charge S$6.61.</w:t>
            </w:r>
          </w:p>
        </w:tc>
        <w:tc>
          <w:tcPr>
            <w:tcW w:type="dxa" w:w="5530"/>
            <w:vAlign w:val="center"/>
            <w:shd w:fill="F2F5F8"/>
            <w:tcMar>
              <w:top w:w="100" w:type="dxa"/>
              <w:left w:w="100" w:type="dxa"/>
              <w:bottom w:w="100" w:type="dxa"/>
              <w:right w:w="100" w:type="dxa"/>
            </w:tcMar>
          </w:tcPr>
          <w:p>
            <w:pPr>
              <w:spacing w:after="40" w:before="40" w:line="252" w:lineRule="auto"/>
            </w:pPr>
            <w:r>
              <w:rPr>
                <w:sz w:val="21"/>
              </w:rPr>
              <w:t>Uphold the charge only if service and booking conditions match the selected published policy. PUB01 and SIM01.</w:t>
            </w:r>
          </w:p>
        </w:tc>
      </w:tr>
      <w:tr>
        <w:trPr>
          <w:cantSplit/>
        </w:trPr>
        <w:tc>
          <w:tcPr>
            <w:tcW w:type="dxa" w:w="4464"/>
            <w:vAlign w:val="center"/>
            <w:shd w:fill="FFFFFF"/>
            <w:tcMar>
              <w:top w:w="100" w:type="dxa"/>
              <w:left w:w="100" w:type="dxa"/>
              <w:bottom w:w="100" w:type="dxa"/>
              <w:right w:w="100" w:type="dxa"/>
            </w:tcMar>
          </w:tcPr>
          <w:p>
            <w:pPr>
              <w:spacing w:after="40" w:before="40" w:line="252" w:lineRule="auto"/>
            </w:pPr>
            <w:r>
              <w:rPr>
                <w:sz w:val="21"/>
              </w:rPr>
              <w:t>Missing GPS samples around claimed arrival.</w:t>
            </w:r>
          </w:p>
        </w:tc>
        <w:tc>
          <w:tcPr>
            <w:tcW w:type="dxa" w:w="5530"/>
            <w:vAlign w:val="center"/>
            <w:shd w:fill="FFFFFF"/>
            <w:tcMar>
              <w:top w:w="100" w:type="dxa"/>
              <w:left w:w="100" w:type="dxa"/>
              <w:bottom w:w="100" w:type="dxa"/>
              <w:right w:w="100" w:type="dxa"/>
            </w:tcMar>
          </w:tcPr>
          <w:p>
            <w:pPr>
              <w:spacing w:after="40" w:before="40" w:line="252" w:lineRule="auto"/>
            </w:pPr>
            <w:r>
              <w:rPr>
                <w:sz w:val="21"/>
              </w:rPr>
              <w:t>Request additional evidence or escalate. Do not infer that either party is dishonest. SIM04 and SIM05.</w:t>
            </w:r>
          </w:p>
        </w:tc>
      </w:tr>
    </w:tbl>
    <w:p>
      <w:pPr>
        <w:spacing w:after="40"/>
      </w:pPr>
    </w:p>
    <w:p>
      <w:pPr>
        <w:pStyle w:val="Heading2"/>
      </w:pPr>
      <w:r>
        <w:t>Official sources</w:t>
      </w:r>
    </w:p>
    <w:p>
      <w:r>
        <w:t>All links below were checked on 12 October 2026. Hyperlinks open the official source pages. Published dates were not visible on most pages; this is a research snapshot, not a verified effective-date history.</w:t>
      </w:r>
    </w:p>
    <w:p>
      <w:pPr>
        <w:spacing w:after="120"/>
      </w:pPr>
      <w:r>
        <w:rPr>
          <w:b/>
        </w:rPr>
        <w:t xml:space="preserve">S1  </w:t>
      </w:r>
      <w:hyperlink r:id="rId11">
        <w:r>
          <w:rPr>
            <w:color w:val="215A87"/>
            <w:sz w:val="21"/>
          </w:rPr>
          <w:t>Cancellation and Waiting Fee</w:t>
        </w:r>
      </w:hyperlink>
    </w:p>
    <w:p>
      <w:pPr>
        <w:spacing w:after="120"/>
      </w:pPr>
      <w:r>
        <w:rPr>
          <w:b/>
        </w:rPr>
        <w:t xml:space="preserve">S2  </w:t>
      </w:r>
      <w:hyperlink r:id="rId12">
        <w:r>
          <w:rPr>
            <w:color w:val="215A87"/>
            <w:sz w:val="21"/>
          </w:rPr>
          <w:t>How Does the Cancellation Fee Work</w:t>
        </w:r>
      </w:hyperlink>
    </w:p>
    <w:p>
      <w:pPr>
        <w:spacing w:after="120"/>
      </w:pPr>
      <w:r>
        <w:rPr>
          <w:b/>
        </w:rPr>
        <w:t xml:space="preserve">S3  </w:t>
      </w:r>
      <w:hyperlink r:id="rId13">
        <w:r>
          <w:rPr>
            <w:color w:val="215A87"/>
            <w:sz w:val="21"/>
          </w:rPr>
          <w:t>Am I required to follow the suggested route by the rider</w:t>
        </w:r>
      </w:hyperlink>
    </w:p>
    <w:p>
      <w:pPr>
        <w:spacing w:after="120"/>
      </w:pPr>
      <w:r>
        <w:rPr>
          <w:b/>
        </w:rPr>
        <w:t xml:space="preserve">S4  </w:t>
      </w:r>
      <w:hyperlink r:id="rId14">
        <w:r>
          <w:rPr>
            <w:color w:val="215A87"/>
            <w:sz w:val="21"/>
          </w:rPr>
          <w:t>I was overcharged for ERP or toll</w:t>
        </w:r>
      </w:hyperlink>
    </w:p>
    <w:p>
      <w:pPr>
        <w:spacing w:after="120"/>
      </w:pPr>
      <w:r>
        <w:rPr>
          <w:b/>
        </w:rPr>
        <w:t xml:space="preserve">S5  </w:t>
      </w:r>
      <w:hyperlink r:id="rId15">
        <w:r>
          <w:rPr>
            <w:color w:val="215A87"/>
            <w:sz w:val="21"/>
          </w:rPr>
          <w:t>Can I change my destination</w:t>
        </w:r>
      </w:hyperlink>
    </w:p>
    <w:p>
      <w:pPr>
        <w:spacing w:after="120"/>
      </w:pPr>
      <w:r>
        <w:rPr>
          <w:b/>
        </w:rPr>
        <w:t xml:space="preserve">S6  </w:t>
      </w:r>
      <w:hyperlink r:id="rId17">
        <w:r>
          <w:rPr>
            <w:color w:val="215A87"/>
            <w:sz w:val="21"/>
          </w:rPr>
          <w:t>My Rider Made a Mess</w:t>
        </w:r>
      </w:hyperlink>
    </w:p>
    <w:p>
      <w:pPr>
        <w:spacing w:after="120"/>
      </w:pPr>
      <w:r>
        <w:rPr>
          <w:b/>
        </w:rPr>
        <w:t xml:space="preserve">S7  </w:t>
      </w:r>
      <w:hyperlink r:id="rId18">
        <w:r>
          <w:rPr>
            <w:color w:val="215A87"/>
            <w:sz w:val="21"/>
          </w:rPr>
          <w:t>Code of Conduct</w:t>
        </w:r>
      </w:hyperlink>
    </w:p>
    <w:p>
      <w:pPr>
        <w:spacing w:after="120"/>
      </w:pPr>
      <w:r>
        <w:rPr>
          <w:b/>
        </w:rPr>
        <w:t xml:space="preserve">S8  </w:t>
      </w:r>
      <w:hyperlink r:id="rId16">
        <w:r>
          <w:rPr>
            <w:color w:val="215A87"/>
            <w:sz w:val="21"/>
          </w:rPr>
          <w:t>I am unable to contact my rider</w:t>
        </w:r>
      </w:hyperlink>
    </w:p>
    <w:p>
      <w:pPr>
        <w:spacing w:after="120"/>
      </w:pPr>
      <w:r>
        <w:rPr>
          <w:b/>
        </w:rPr>
        <w:t xml:space="preserve">S9  </w:t>
      </w:r>
      <w:hyperlink r:id="rId20">
        <w:r>
          <w:rPr>
            <w:color w:val="215A87"/>
            <w:sz w:val="21"/>
          </w:rPr>
          <w:t>Fare Evasion</w:t>
        </w:r>
      </w:hyperlink>
    </w:p>
    <w:p>
      <w:pPr>
        <w:spacing w:after="120"/>
      </w:pPr>
      <w:r>
        <w:rPr>
          <w:b/>
        </w:rPr>
        <w:t xml:space="preserve">S10  </w:t>
      </w:r>
      <w:hyperlink r:id="rId19">
        <w:r>
          <w:rPr>
            <w:color w:val="215A87"/>
            <w:sz w:val="21"/>
          </w:rPr>
          <w:t>I would like to provide feedback about my rider</w:t>
        </w:r>
      </w:hyperlink>
    </w:p>
    <w:p>
      <w:r>
        <w:t>For deployment, record the service type, policy version, effective period and original receipt alongside each case. Recheck published fees and exceptions when refreshing the policy layer. Unresolved source ambiguity follows SIM05.</w:t>
      </w:r>
    </w:p>
    <w:sectPr w:rsidR="00FC693F" w:rsidRPr="0006063C" w:rsidSect="00034616">
      <w:headerReference w:type="default" r:id="rId9"/>
      <w:footerReference w:type="default" r:id="rId10"/>
      <w:pgSz w:w="12240" w:h="15840"/>
      <w:pgMar w:top="979" w:right="1123" w:bottom="936" w:left="112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Research and simulated demo rules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Ryde dispute policy reference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help.rydesharing.com/hc/en-us/articles/23534478435353-Cancellation-and-Waiting-Fee" TargetMode="External"/><Relationship Id="rId12" Type="http://schemas.openxmlformats.org/officeDocument/2006/relationships/hyperlink" Target="https://help.rydesharing.com/hc/en-us/articles/4408070838297-How-Does-the-Cancellation-Fee-Work" TargetMode="External"/><Relationship Id="rId13" Type="http://schemas.openxmlformats.org/officeDocument/2006/relationships/hyperlink" Target="https://help.rydesharing.com/hc/en-us/articles/4412122016153-Am-I-required-to-follow-the-suggested-route-by-the-rider" TargetMode="External"/><Relationship Id="rId14" Type="http://schemas.openxmlformats.org/officeDocument/2006/relationships/hyperlink" Target="https://help.rydesharing.com/hc/en-us/articles/30741244296217-I-was-overcharged-for-ERP-toll" TargetMode="External"/><Relationship Id="rId15" Type="http://schemas.openxmlformats.org/officeDocument/2006/relationships/hyperlink" Target="https://help.rydesharing.com/hc/en-us/articles/50798691815449-Can-I-change-my-destination" TargetMode="External"/><Relationship Id="rId16" Type="http://schemas.openxmlformats.org/officeDocument/2006/relationships/hyperlink" Target="https://help.rydesharing.com/hc/en-us/articles/115001438754-I-am-unable-to-contact-my-rider-The-rider-did-not-turn-up-What-should-I-do" TargetMode="External"/><Relationship Id="rId17" Type="http://schemas.openxmlformats.org/officeDocument/2006/relationships/hyperlink" Target="https://help.rydesharing.com/hc/en-us/articles/900004381243-My-Rider-Made-a-Mess" TargetMode="External"/><Relationship Id="rId18" Type="http://schemas.openxmlformats.org/officeDocument/2006/relationships/hyperlink" Target="https://rydesharing.com/code-of-conduct/" TargetMode="External"/><Relationship Id="rId19" Type="http://schemas.openxmlformats.org/officeDocument/2006/relationships/hyperlink" Target="https://help.rydesharing.com/hc/en-us/articles/20690825386521-I-would-like-to-provide-feedback-about-my-rider" TargetMode="External"/><Relationship Id="rId20" Type="http://schemas.openxmlformats.org/officeDocument/2006/relationships/hyperlink" Target="https://help.rydesharing.com/hc/en-us/articles/4842763548825-Fare-Evas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Ryde dispute policies and simulation rules</dc:title>
  <dc:subject>Published Ryde guidance and simulated multi-agent dispute rules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