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Parse of 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who can request services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Landlord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in charge of property and has relationship with tenant and service provider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provider, maintenance provider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who can work on requests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Request, active/previous/current request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declaration of need for services, it includes information pertaining to the need.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Claim, quote, invoice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declaration of cost of completed/pending request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Account, user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set of credentials used for persons above to access their respective actions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relationship between landlord’s property and service provider, or landlord’s property and tenant. The link is multiplicitive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Service, emergency service, non-emergency service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actions that are needed to be completed by the service provider. They can have flags of non-emergency, or emergency. Non-emergency and emergency flags are defined by the landlord.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