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14"/>
        <w:jc w:val="center"/>
      </w:pPr>
      <w:r>
        <w:rPr>
          <w:rFonts w:ascii="Noto Serif CJK SC" w:hAnsi="Noto Serif CJK SC" w:eastAsia="Noto Serif CJK SC"/>
          <w:b/>
          <w:color w:val="B3882F"/>
          <w:sz w:val="36"/>
        </w:rPr>
        <w:t>盛和塾</w:t>
      </w:r>
    </w:p>
    <w:p>
      <w:pPr>
        <w:pStyle w:val="Title"/>
        <w:jc w:val="center"/>
      </w:pPr>
      <w:r>
        <w:rPr>
          <w:rFonts w:ascii="Noto Sans CJK SC" w:hAnsi="Noto Sans CJK SC" w:eastAsia="Noto Sans CJK SC"/>
          <w:b/>
          <w:color w:val="174B3A"/>
          <w:sz w:val="56"/>
        </w:rPr>
        <w:t>综合运营与发展建设平台</w:t>
      </w:r>
    </w:p>
    <w:p>
      <w:pPr>
        <w:pStyle w:val="Subtitle"/>
        <w:jc w:val="center"/>
      </w:pPr>
      <w:r>
        <w:rPr>
          <w:rFonts w:ascii="Noto Sans CJK SC" w:hAnsi="Noto Sans CJK SC" w:eastAsia="Noto Sans CJK SC"/>
          <w:b w:val="0"/>
          <w:color w:val="5F6B66"/>
          <w:sz w:val="26"/>
        </w:rPr>
        <w:t>技术设计与开发实施文档</w:t>
      </w:r>
    </w:p>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c>
          <w:tcPr>
            <w:tcW w:type="dxa" w:w="1814"/>
            <w:shd w:fill="F5F7F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left"/>
            </w:pPr>
            <w:r>
              <w:rPr>
                <w:rFonts w:ascii="Microsoft YaHei" w:hAnsi="Microsoft YaHei" w:eastAsia="Microsoft YaHei"/>
                <w:b/>
                <w:color w:val="FFFFFF"/>
                <w:sz w:val="18"/>
              </w:rPr>
              <w:t>文档版本</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color w:val="FFFFFF"/>
                <w:sz w:val="18"/>
              </w:rPr>
            </w:r>
            <w:r>
              <w:rPr>
                <w:rFonts w:ascii="Microsoft YaHei" w:hAnsi="Microsoft YaHei" w:eastAsia="Microsoft YaHei"/>
                <w:b/>
                <w:color w:val="FFFFFF"/>
                <w:sz w:val="18"/>
              </w:rPr>
              <w:t>V1.1</w:t>
            </w:r>
          </w:p>
        </w:tc>
      </w:tr>
      <w:tr>
        <w:tc>
          <w:tcPr>
            <w:tcW w:type="dxa" w:w="1814"/>
            <w:shd w:fill="FFFFFF"/>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left"/>
            </w:pPr>
            <w:r>
              <w:rPr>
                <w:rFonts w:ascii="Microsoft YaHei" w:hAnsi="Microsoft YaHei" w:eastAsia="Microsoft YaHei"/>
                <w:b/>
                <w:color w:val="20302A"/>
                <w:sz w:val="18"/>
              </w:rPr>
              <w:t>文档状态</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8"/>
              </w:rPr>
            </w:r>
            <w:r>
              <w:rPr>
                <w:rFonts w:ascii="Microsoft YaHei" w:hAnsi="Microsoft YaHei" w:eastAsia="Microsoft YaHei"/>
                <w:b w:val="0"/>
                <w:color w:val="20302A"/>
                <w:sz w:val="18"/>
              </w:rPr>
              <w:t>最终技术基线（Codex执行版）</w:t>
            </w:r>
          </w:p>
        </w:tc>
      </w:tr>
      <w:tr>
        <w:tc>
          <w:tcPr>
            <w:tcW w:type="dxa" w:w="1814"/>
            <w:shd w:fill="F5F7F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left"/>
            </w:pPr>
            <w:r>
              <w:rPr>
                <w:rFonts w:ascii="Microsoft YaHei" w:hAnsi="Microsoft YaHei" w:eastAsia="Microsoft YaHei"/>
                <w:b/>
                <w:color w:val="20302A"/>
                <w:sz w:val="18"/>
              </w:rPr>
              <w:t>编制日期</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val="0"/>
                <w:color w:val="20302A"/>
                <w:sz w:val="18"/>
              </w:rPr>
            </w:r>
            <w:r>
              <w:rPr>
                <w:rFonts w:ascii="Microsoft YaHei" w:hAnsi="Microsoft YaHei" w:eastAsia="Microsoft YaHei"/>
                <w:b w:val="0"/>
                <w:color w:val="20302A"/>
                <w:sz w:val="18"/>
              </w:rPr>
              <w:t>2026年7月26日</w:t>
            </w:r>
          </w:p>
        </w:tc>
      </w:tr>
      <w:tr>
        <w:tc>
          <w:tcPr>
            <w:tcW w:type="dxa" w:w="1814"/>
            <w:shd w:fill="FFFFFF"/>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left"/>
            </w:pPr>
            <w:r>
              <w:rPr>
                <w:rFonts w:ascii="Microsoft YaHei" w:hAnsi="Microsoft YaHei" w:eastAsia="Microsoft YaHei"/>
                <w:b/>
                <w:color w:val="20302A"/>
                <w:sz w:val="18"/>
              </w:rPr>
              <w:t>适用范围</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8"/>
              </w:rPr>
            </w:r>
            <w:r>
              <w:rPr>
                <w:rFonts w:ascii="Microsoft YaHei" w:hAnsi="Microsoft YaHei" w:eastAsia="Microsoft YaHei"/>
                <w:b w:val="0"/>
                <w:color w:val="20302A"/>
                <w:sz w:val="18"/>
              </w:rPr>
              <w:t>苏州塾综合运营、年度MP、发展建设、签到整合、敏感数据、Codex开发与费用控制</w:t>
            </w:r>
          </w:p>
        </w:tc>
      </w:tr>
    </w:tbl>
    <w:p>
      <w:pPr>
        <w:spacing w:before="1701"/>
        <w:jc w:val="center"/>
      </w:pPr>
      <w:r>
        <w:rPr>
          <w:rFonts w:ascii="Noto Serif CJK SC" w:hAnsi="Noto Serif CJK SC" w:eastAsia="Noto Serif CJK SC"/>
          <w:b/>
          <w:color w:val="2D7A5B"/>
          <w:sz w:val="23"/>
        </w:rPr>
        <w:t>核心理念：以人为中心，以数据发现问题，以服务促进成长，以个人成长推动组织升级。</w:t>
      </w:r>
    </w:p>
    <w:p>
      <w:r>
        <w:br w:type="page"/>
      </w:r>
    </w:p>
    <w:p>
      <w:pPr>
        <w:pStyle w:val="Heading1"/>
      </w:pPr>
      <w:r>
        <w:t>文档说明</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c>
          <w:tcPr>
            <w:tcW w:type="dxa" w:w="1814"/>
            <w:shd w:fill="F5F7F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color w:val="FFFFFF"/>
                <w:sz w:val="16"/>
              </w:rPr>
              <w:t>编制目的</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color w:val="FFFFFF"/>
                <w:sz w:val="16"/>
              </w:rPr>
            </w:r>
            <w:r>
              <w:rPr>
                <w:rFonts w:ascii="Microsoft YaHei" w:hAnsi="Microsoft YaHei" w:eastAsia="Microsoft YaHei"/>
                <w:b/>
                <w:color w:val="FFFFFF"/>
                <w:sz w:val="16"/>
              </w:rPr>
              <w:t>将需求规格说明书V1.1转换为Codex可逐项执行、业务人员可按场景验收的架构、数据、安全、迁移、测试、费用和上线方案。</w:t>
            </w:r>
          </w:p>
        </w:tc>
      </w:tr>
      <w:tr>
        <w:tc>
          <w:tcPr>
            <w:tcW w:type="dxa" w:w="1814"/>
            <w:shd w:fill="FFFFFF"/>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color w:val="20302A"/>
                <w:sz w:val="16"/>
              </w:rPr>
              <w:t>主要依据</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6"/>
              </w:rPr>
            </w:r>
            <w:r>
              <w:rPr>
                <w:rFonts w:ascii="Microsoft YaHei" w:hAnsi="Microsoft YaHei" w:eastAsia="Microsoft YaHei"/>
                <w:b w:val="0"/>
                <w:color w:val="20302A"/>
                <w:sz w:val="16"/>
              </w:rPr>
              <w:t>需求规格说明书V1.1；现有Python/Streamlit/FastAPI运营系统；CloudBase签到系统；2026年度MP工作簿。</w:t>
            </w:r>
          </w:p>
        </w:tc>
      </w:tr>
      <w:tr>
        <w:tc>
          <w:tcPr>
            <w:tcW w:type="dxa" w:w="1814"/>
            <w:shd w:fill="F5F7F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color w:val="20302A"/>
                <w:sz w:val="16"/>
              </w:rPr>
              <w:t>主要读者</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val="0"/>
                <w:color w:val="20302A"/>
                <w:sz w:val="16"/>
              </w:rPr>
            </w:r>
            <w:r>
              <w:rPr>
                <w:rFonts w:ascii="Microsoft YaHei" w:hAnsi="Microsoft YaHei" w:eastAsia="Microsoft YaHei"/>
                <w:b w:val="0"/>
                <w:color w:val="20302A"/>
                <w:sz w:val="16"/>
              </w:rPr>
              <w:t>Codex开发执行者、业务负责人、验收人员，以及必要时参与的技术顾问。</w:t>
            </w:r>
          </w:p>
        </w:tc>
      </w:tr>
      <w:tr>
        <w:tc>
          <w:tcPr>
            <w:tcW w:type="dxa" w:w="1814"/>
            <w:shd w:fill="FFFFFF"/>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color w:val="20302A"/>
                <w:sz w:val="16"/>
              </w:rPr>
              <w:t>使用原则</w:t>
            </w:r>
          </w:p>
        </w:tc>
        <w:tc>
          <w:tcPr>
            <w:tcW w:type="dxa" w:w="595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6"/>
              </w:rPr>
            </w:r>
            <w:r>
              <w:rPr>
                <w:rFonts w:ascii="Microsoft YaHei" w:hAnsi="Microsoft YaHei" w:eastAsia="Microsoft YaHei"/>
                <w:b w:val="0"/>
                <w:color w:val="20302A"/>
                <w:sz w:val="16"/>
              </w:rPr>
              <w:t>Codex一次只实施一个已批准任务；必须先在开发/预发布环境验证。任何生产部署、数据库迁移、敏感数据处理和费用增加都需业务负责人明确批准。</w:t>
            </w:r>
          </w:p>
        </w:tc>
      </w:tr>
    </w:tbl>
    <w:tbl>
      <w:tblPr>
        <w:tblW w:type="auto" w:w="0"/>
        <w:jc w:val="center"/>
        <w:tblLook w:firstColumn="1" w:firstRow="1" w:lastColumn="0" w:lastRow="0" w:noHBand="0" w:noVBand="1" w:val="04A0"/>
      </w:tblPr>
      <w:tblGrid>
        <w:gridCol w:w="9866"/>
      </w:tblGrid>
      <w:tr>
        <w:tc>
          <w:tcPr>
            <w:tcW w:type="dxa" w:w="9866"/>
            <w:shd w:fill="E8F1ED"/>
            <w:tcBorders>
              <w:top w:val="single" w:sz="8" w:color="185943"/>
              <w:left w:val="single" w:sz="8" w:color="185943"/>
              <w:bottom w:val="single" w:sz="8" w:color="185943"/>
              <w:right w:val="single" w:sz="8" w:color="185943"/>
            </w:tcBorders>
          </w:tcPr>
          <w:p>
            <w:pPr>
              <w:spacing w:before="0" w:after="0" w:line="245" w:lineRule="auto"/>
            </w:pPr>
            <w:r/>
            <w:r>
              <w:rPr>
                <w:rFonts w:ascii="Microsoft YaHei" w:hAnsi="Microsoft YaHei" w:eastAsia="Microsoft YaHei"/>
                <w:b/>
                <w:color w:val="185943"/>
                <w:sz w:val="18"/>
              </w:rPr>
              <w:t>给非技术团队的执行说明：你们不需要判断代码写法，只需要按每个阶段的业务验收清单检查“页面能不能用、数据是否正确、权限是否越界、能否回退”。Codex必须提供截图、测试结果和回滚说明。</w:t>
            </w:r>
          </w:p>
        </w:tc>
      </w:tr>
    </w:tbl>
    <w:p/>
    <w:p>
      <w:pPr>
        <w:pStyle w:val="Heading1"/>
      </w:pPr>
      <w:r>
        <w:t>目录</w:t>
      </w:r>
    </w:p>
    <w:p>
      <w:pPr>
        <w:tabs>
          <w:tab w:pos="9184" w:val="right" w:leader="dot"/>
        </w:tabs>
        <w:spacing w:before="0" w:after="0" w:line="240" w:lineRule="auto"/>
        <w:ind w:left="0"/>
      </w:pPr>
      <w:r>
        <w:rPr>
          <w:rFonts w:ascii="Noto Sans CJK SC" w:hAnsi="Noto Sans CJK SC" w:eastAsia="Noto Sans CJK SC"/>
          <w:b/>
          <w:color w:val="174B3A"/>
          <w:sz w:val="18"/>
        </w:rPr>
        <w:t>1. 当前系统审查</w:t>
      </w:r>
      <w:r>
        <w:tab/>
      </w:r>
    </w:p>
    <w:p>
      <w:pPr>
        <w:tabs>
          <w:tab w:pos="9184" w:val="right" w:leader="dot"/>
        </w:tabs>
        <w:spacing w:before="0" w:after="0" w:line="240" w:lineRule="auto"/>
        <w:ind w:left="0"/>
      </w:pPr>
      <w:r>
        <w:rPr>
          <w:rFonts w:ascii="Noto Sans CJK SC" w:hAnsi="Noto Sans CJK SC" w:eastAsia="Noto Sans CJK SC"/>
          <w:b/>
          <w:color w:val="174B3A"/>
          <w:sz w:val="18"/>
        </w:rPr>
        <w:t>2. 目标架构与技术选型</w:t>
      </w:r>
      <w:r>
        <w:tab/>
      </w:r>
    </w:p>
    <w:p>
      <w:pPr>
        <w:tabs>
          <w:tab w:pos="9184" w:val="right" w:leader="dot"/>
        </w:tabs>
        <w:spacing w:before="0" w:after="0" w:line="240" w:lineRule="auto"/>
        <w:ind w:left="0"/>
      </w:pPr>
      <w:r>
        <w:rPr>
          <w:rFonts w:ascii="Noto Sans CJK SC" w:hAnsi="Noto Sans CJK SC" w:eastAsia="Noto Sans CJK SC"/>
          <w:b/>
          <w:color w:val="174B3A"/>
          <w:sz w:val="18"/>
        </w:rPr>
        <w:t>3. 代码仓库与模块划分</w:t>
      </w:r>
      <w:r>
        <w:tab/>
      </w:r>
    </w:p>
    <w:p>
      <w:pPr>
        <w:tabs>
          <w:tab w:pos="9184" w:val="right" w:leader="dot"/>
        </w:tabs>
        <w:spacing w:before="0" w:after="0" w:line="240" w:lineRule="auto"/>
        <w:ind w:left="0"/>
      </w:pPr>
      <w:r>
        <w:rPr>
          <w:rFonts w:ascii="Noto Sans CJK SC" w:hAnsi="Noto Sans CJK SC" w:eastAsia="Noto Sans CJK SC"/>
          <w:b/>
          <w:color w:val="174B3A"/>
          <w:sz w:val="18"/>
        </w:rPr>
        <w:t>4. 身份、组织与权限设计</w:t>
      </w:r>
      <w:r>
        <w:tab/>
      </w:r>
    </w:p>
    <w:p>
      <w:pPr>
        <w:tabs>
          <w:tab w:pos="9184" w:val="right" w:leader="dot"/>
        </w:tabs>
        <w:spacing w:before="0" w:after="0" w:line="240" w:lineRule="auto"/>
        <w:ind w:left="0"/>
      </w:pPr>
      <w:r>
        <w:rPr>
          <w:rFonts w:ascii="Noto Sans CJK SC" w:hAnsi="Noto Sans CJK SC" w:eastAsia="Noto Sans CJK SC"/>
          <w:b/>
          <w:color w:val="174B3A"/>
          <w:sz w:val="18"/>
        </w:rPr>
        <w:t>5. 年度MP与指标引擎设计</w:t>
      </w:r>
      <w:r>
        <w:tab/>
      </w:r>
    </w:p>
    <w:p>
      <w:pPr>
        <w:tabs>
          <w:tab w:pos="9184" w:val="right" w:leader="dot"/>
        </w:tabs>
        <w:spacing w:before="0" w:after="0" w:line="240" w:lineRule="auto"/>
        <w:ind w:left="0"/>
      </w:pPr>
      <w:r>
        <w:rPr>
          <w:rFonts w:ascii="Noto Sans CJK SC" w:hAnsi="Noto Sans CJK SC" w:eastAsia="Noto Sans CJK SC"/>
          <w:b/>
          <w:color w:val="174B3A"/>
          <w:sz w:val="18"/>
        </w:rPr>
        <w:t>6. 个人画像与关怀服务设计</w:t>
      </w:r>
      <w:r>
        <w:tab/>
      </w:r>
    </w:p>
    <w:p>
      <w:pPr>
        <w:tabs>
          <w:tab w:pos="9184" w:val="right" w:leader="dot"/>
        </w:tabs>
        <w:spacing w:before="0" w:after="0" w:line="240" w:lineRule="auto"/>
        <w:ind w:left="0"/>
      </w:pPr>
      <w:r>
        <w:rPr>
          <w:rFonts w:ascii="Noto Sans CJK SC" w:hAnsi="Noto Sans CJK SC" w:eastAsia="Noto Sans CJK SC"/>
          <w:b/>
          <w:color w:val="174B3A"/>
          <w:sz w:val="18"/>
        </w:rPr>
        <w:t>7. 活动签到与数据同步</w:t>
      </w:r>
      <w:r>
        <w:tab/>
      </w:r>
    </w:p>
    <w:p>
      <w:pPr>
        <w:tabs>
          <w:tab w:pos="9184" w:val="right" w:leader="dot"/>
        </w:tabs>
        <w:spacing w:before="0" w:after="0" w:line="240" w:lineRule="auto"/>
        <w:ind w:left="0"/>
      </w:pPr>
      <w:r>
        <w:rPr>
          <w:rFonts w:ascii="Noto Sans CJK SC" w:hAnsi="Noto Sans CJK SC" w:eastAsia="Noto Sans CJK SC"/>
          <w:b/>
          <w:color w:val="174B3A"/>
          <w:sz w:val="18"/>
        </w:rPr>
        <w:t>8. 数据库设计</w:t>
      </w:r>
      <w:r>
        <w:tab/>
      </w:r>
    </w:p>
    <w:p>
      <w:pPr>
        <w:tabs>
          <w:tab w:pos="9184" w:val="right" w:leader="dot"/>
        </w:tabs>
        <w:spacing w:before="0" w:after="0" w:line="240" w:lineRule="auto"/>
        <w:ind w:left="0"/>
      </w:pPr>
      <w:r>
        <w:rPr>
          <w:rFonts w:ascii="Noto Sans CJK SC" w:hAnsi="Noto Sans CJK SC" w:eastAsia="Noto Sans CJK SC"/>
          <w:b/>
          <w:color w:val="174B3A"/>
          <w:sz w:val="18"/>
        </w:rPr>
        <w:t>9. API设计规范</w:t>
      </w:r>
      <w:r>
        <w:tab/>
      </w:r>
    </w:p>
    <w:p>
      <w:pPr>
        <w:tabs>
          <w:tab w:pos="9184" w:val="right" w:leader="dot"/>
        </w:tabs>
        <w:spacing w:before="0" w:after="0" w:line="240" w:lineRule="auto"/>
        <w:ind w:left="0"/>
      </w:pPr>
      <w:r>
        <w:rPr>
          <w:rFonts w:ascii="Noto Sans CJK SC" w:hAnsi="Noto Sans CJK SC" w:eastAsia="Noto Sans CJK SC"/>
          <w:b/>
          <w:color w:val="174B3A"/>
          <w:sz w:val="18"/>
        </w:rPr>
        <w:t>10. 前端信息架构</w:t>
      </w:r>
      <w:r>
        <w:tab/>
      </w:r>
    </w:p>
    <w:p>
      <w:pPr>
        <w:tabs>
          <w:tab w:pos="9184" w:val="right" w:leader="dot"/>
        </w:tabs>
        <w:spacing w:before="0" w:after="0" w:line="240" w:lineRule="auto"/>
        <w:ind w:left="0"/>
      </w:pPr>
      <w:r>
        <w:rPr>
          <w:rFonts w:ascii="Noto Sans CJK SC" w:hAnsi="Noto Sans CJK SC" w:eastAsia="Noto Sans CJK SC"/>
          <w:b/>
          <w:color w:val="174B3A"/>
          <w:sz w:val="18"/>
        </w:rPr>
        <w:t>11. 安全、隐私与审计</w:t>
      </w:r>
      <w:r>
        <w:tab/>
      </w:r>
    </w:p>
    <w:p>
      <w:pPr>
        <w:tabs>
          <w:tab w:pos="9184" w:val="right" w:leader="dot"/>
        </w:tabs>
        <w:spacing w:before="0" w:after="0" w:line="240" w:lineRule="auto"/>
        <w:ind w:left="0"/>
      </w:pPr>
      <w:r>
        <w:rPr>
          <w:rFonts w:ascii="Noto Sans CJK SC" w:hAnsi="Noto Sans CJK SC" w:eastAsia="Noto Sans CJK SC"/>
          <w:b/>
          <w:color w:val="174B3A"/>
          <w:sz w:val="18"/>
        </w:rPr>
        <w:t>12. 测试策略</w:t>
      </w:r>
      <w:r>
        <w:tab/>
      </w:r>
    </w:p>
    <w:p>
      <w:pPr>
        <w:tabs>
          <w:tab w:pos="9184" w:val="right" w:leader="dot"/>
        </w:tabs>
        <w:spacing w:before="0" w:after="0" w:line="240" w:lineRule="auto"/>
        <w:ind w:left="0"/>
      </w:pPr>
      <w:r>
        <w:rPr>
          <w:rFonts w:ascii="Noto Sans CJK SC" w:hAnsi="Noto Sans CJK SC" w:eastAsia="Noto Sans CJK SC"/>
          <w:b/>
          <w:color w:val="174B3A"/>
          <w:sz w:val="18"/>
        </w:rPr>
        <w:t>13. 部署与运维</w:t>
      </w:r>
      <w:r>
        <w:tab/>
      </w:r>
    </w:p>
    <w:p>
      <w:pPr>
        <w:tabs>
          <w:tab w:pos="9184" w:val="right" w:leader="dot"/>
        </w:tabs>
        <w:spacing w:before="0" w:after="0" w:line="240" w:lineRule="auto"/>
        <w:ind w:left="0"/>
      </w:pPr>
      <w:r>
        <w:rPr>
          <w:rFonts w:ascii="Noto Sans CJK SC" w:hAnsi="Noto Sans CJK SC" w:eastAsia="Noto Sans CJK SC"/>
          <w:b/>
          <w:color w:val="174B3A"/>
          <w:sz w:val="18"/>
        </w:rPr>
        <w:t>14. 数据迁移与上线步骤</w:t>
      </w:r>
      <w:r>
        <w:tab/>
      </w:r>
    </w:p>
    <w:p>
      <w:pPr>
        <w:tabs>
          <w:tab w:pos="9184" w:val="right" w:leader="dot"/>
        </w:tabs>
        <w:spacing w:before="0" w:after="0" w:line="240" w:lineRule="auto"/>
        <w:ind w:left="0"/>
      </w:pPr>
      <w:r>
        <w:rPr>
          <w:rFonts w:ascii="Noto Sans CJK SC" w:hAnsi="Noto Sans CJK SC" w:eastAsia="Noto Sans CJK SC"/>
          <w:b/>
          <w:color w:val="174B3A"/>
          <w:sz w:val="18"/>
        </w:rPr>
        <w:t>15. 迭代计划与工作分解</w:t>
      </w:r>
      <w:r>
        <w:tab/>
      </w:r>
    </w:p>
    <w:p>
      <w:pPr>
        <w:tabs>
          <w:tab w:pos="9184" w:val="right" w:leader="dot"/>
        </w:tabs>
        <w:spacing w:before="0" w:after="0" w:line="240" w:lineRule="auto"/>
        <w:ind w:left="0"/>
      </w:pPr>
      <w:r>
        <w:rPr>
          <w:rFonts w:ascii="Noto Sans CJK SC" w:hAnsi="Noto Sans CJK SC" w:eastAsia="Noto Sans CJK SC"/>
          <w:b/>
          <w:color w:val="174B3A"/>
          <w:sz w:val="18"/>
        </w:rPr>
        <w:t>16. 技术风险与架构决策</w:t>
      </w:r>
      <w:r>
        <w:tab/>
      </w:r>
    </w:p>
    <w:p>
      <w:r>
        <w:t>17. 费用预算与成本控制</w:t>
        <w:tab/>
      </w:r>
    </w:p>
    <w:p>
      <w:r>
        <w:t>18. Codex开发执行与非技术验收</w:t>
        <w:tab/>
      </w:r>
    </w:p>
    <w:p>
      <w:pPr>
        <w:tabs>
          <w:tab w:pos="9184" w:val="right" w:leader="dot"/>
        </w:tabs>
        <w:spacing w:before="0" w:after="0" w:line="240" w:lineRule="auto"/>
        <w:ind w:left="0"/>
      </w:pPr>
      <w:r>
        <w:rPr>
          <w:rFonts w:ascii="Noto Sans CJK SC" w:hAnsi="Noto Sans CJK SC" w:eastAsia="Noto Sans CJK SC"/>
          <w:b/>
          <w:color w:val="174B3A"/>
          <w:sz w:val="18"/>
        </w:rPr>
        <w:t>附录A：建议接口清单</w:t>
      </w:r>
      <w:r>
        <w:tab/>
      </w:r>
    </w:p>
    <w:p>
      <w:pPr>
        <w:tabs>
          <w:tab w:pos="9184" w:val="right" w:leader="dot"/>
        </w:tabs>
        <w:spacing w:before="0" w:after="0" w:line="240" w:lineRule="auto"/>
        <w:ind w:left="0"/>
      </w:pPr>
      <w:r>
        <w:rPr>
          <w:rFonts w:ascii="Noto Sans CJK SC" w:hAnsi="Noto Sans CJK SC" w:eastAsia="Noto Sans CJK SC"/>
          <w:b/>
          <w:color w:val="174B3A"/>
          <w:sz w:val="18"/>
        </w:rPr>
        <w:t>附录B：核心表清单</w:t>
      </w:r>
      <w:r>
        <w:tab/>
      </w:r>
    </w:p>
    <w:p>
      <w:r>
        <w:br w:type="page"/>
      </w:r>
    </w:p>
    <w:p>
      <w:pPr>
        <w:pStyle w:val="Heading1"/>
      </w:pPr>
      <w:r>
        <w:t>1. 当前系统审查</w:t>
      </w:r>
    </w:p>
    <w:p>
      <w:pPr>
        <w:pStyle w:val="Heading2"/>
      </w:pPr>
      <w:r>
        <w:t>1.1 运营系统现状</w:t>
      </w:r>
    </w:p>
    <w:p>
      <w:pPr>
        <w:pStyle w:val="ListBullet"/>
        <w:spacing w:before="0" w:after="60" w:line="312" w:lineRule="auto"/>
        <w:ind w:left="312" w:hanging="142"/>
      </w:pPr>
      <w:r>
        <w:rPr>
          <w:rFonts w:ascii="Noto Sans CJK SC" w:hAnsi="Noto Sans CJK SC" w:eastAsia="Noto Sans CJK SC"/>
          <w:sz w:val="20"/>
        </w:rPr>
        <w:t>后端以Python为主，现有Streamlit管理页面，同时已经具备FastAPI集成接口。</w:t>
      </w:r>
    </w:p>
    <w:p>
      <w:pPr>
        <w:pStyle w:val="ListBullet"/>
        <w:spacing w:before="0" w:after="60" w:line="312" w:lineRule="auto"/>
        <w:ind w:left="312" w:hanging="142"/>
      </w:pPr>
      <w:r>
        <w:rPr>
          <w:rFonts w:ascii="Noto Sans CJK SC" w:hAnsi="Noto Sans CJK SC" w:eastAsia="Noto Sans CJK SC"/>
          <w:sz w:val="20"/>
        </w:rPr>
        <w:t>数据层兼容SQLite和CloudBase MySQL，已包含成员、活动、读书、组织导入、MP值、门户用户与数据范围等表。</w:t>
      </w:r>
    </w:p>
    <w:p>
      <w:pPr>
        <w:pStyle w:val="ListBullet"/>
        <w:spacing w:before="0" w:after="60" w:line="312" w:lineRule="auto"/>
        <w:ind w:left="312" w:hanging="142"/>
      </w:pPr>
      <w:r>
        <w:rPr>
          <w:rFonts w:ascii="Noto Sans CJK SC" w:hAnsi="Noto Sans CJK SC" w:eastAsia="Noto Sans CJK SC"/>
          <w:sz w:val="20"/>
        </w:rPr>
        <w:t>签到快照和读书快照可以触发MP自动刷新，说明自动指标链路已经具备良好基础。</w:t>
      </w:r>
    </w:p>
    <w:p>
      <w:pPr>
        <w:pStyle w:val="ListBullet"/>
        <w:spacing w:before="0" w:after="60" w:line="312" w:lineRule="auto"/>
        <w:ind w:left="312" w:hanging="142"/>
      </w:pPr>
      <w:r>
        <w:rPr>
          <w:rFonts w:ascii="Noto Sans CJK SC" w:hAnsi="Noto Sans CJK SC" w:eastAsia="Noto Sans CJK SC"/>
          <w:sz w:val="20"/>
        </w:rPr>
        <w:t>现有门户账户采用用户表中的单一role字段，未来多角色和多任职需要升级。</w:t>
      </w:r>
    </w:p>
    <w:p>
      <w:pPr>
        <w:pStyle w:val="ListBullet"/>
        <w:spacing w:before="0" w:after="60" w:line="312" w:lineRule="auto"/>
        <w:ind w:left="312" w:hanging="142"/>
      </w:pPr>
      <w:r>
        <w:rPr>
          <w:rFonts w:ascii="Noto Sans CJK SC" w:hAnsi="Noto Sans CJK SC" w:eastAsia="Noto Sans CJK SC"/>
          <w:sz w:val="20"/>
        </w:rPr>
        <w:t>大量业务表仍使用center/class_name/group_name文本，长期需要迁移到org_unit_id并保留兼容映射。</w:t>
      </w:r>
    </w:p>
    <w:p>
      <w:pPr>
        <w:pStyle w:val="Heading2"/>
      </w:pPr>
      <w:r>
        <w:t>1.2 签到系统现状</w:t>
      </w:r>
    </w:p>
    <w:p>
      <w:pPr>
        <w:pStyle w:val="ListBullet"/>
        <w:spacing w:before="0" w:after="60" w:line="312" w:lineRule="auto"/>
        <w:ind w:left="312" w:hanging="142"/>
      </w:pPr>
      <w:r>
        <w:rPr>
          <w:rFonts w:ascii="Noto Sans CJK SC" w:hAnsi="Noto Sans CJK SC" w:eastAsia="Noto Sans CJK SC"/>
          <w:sz w:val="20"/>
        </w:rPr>
        <w:t>CloudBase静态页面+Node.js云函数+FlexDB集合，适合国内微信扫码和现场独立运行。</w:t>
      </w:r>
    </w:p>
    <w:p>
      <w:pPr>
        <w:pStyle w:val="ListBullet"/>
        <w:spacing w:before="0" w:after="60" w:line="312" w:lineRule="auto"/>
        <w:ind w:left="312" w:hanging="142"/>
      </w:pPr>
      <w:r>
        <w:rPr>
          <w:rFonts w:ascii="Noto Sans CJK SC" w:hAnsi="Noto Sans CJK SC" w:eastAsia="Noto Sans CJK SC"/>
          <w:sz w:val="20"/>
        </w:rPr>
        <w:t>管理端仍是单文件HTML/CSS/JS，适合轻量现场操作，但不适合继续承载复杂组织、目标和个人画像。</w:t>
      </w:r>
    </w:p>
    <w:p>
      <w:pPr>
        <w:pStyle w:val="ListBullet"/>
        <w:spacing w:before="0" w:after="60" w:line="312" w:lineRule="auto"/>
        <w:ind w:left="312" w:hanging="142"/>
      </w:pPr>
      <w:r>
        <w:rPr>
          <w:rFonts w:ascii="Noto Sans CJK SC" w:hAnsi="Noto Sans CJK SC" w:eastAsia="Noto Sans CJK SC"/>
          <w:sz w:val="20"/>
        </w:rPr>
        <w:t>当前管理认证为单一管理员密码哈希和12小时令牌，不能满足多账户、角色和数据隔离。</w:t>
      </w:r>
    </w:p>
    <w:p>
      <w:pPr>
        <w:pStyle w:val="ListBullet"/>
        <w:spacing w:before="0" w:after="60" w:line="312" w:lineRule="auto"/>
        <w:ind w:left="312" w:hanging="142"/>
      </w:pPr>
      <w:r>
        <w:rPr>
          <w:rFonts w:ascii="Noto Sans CJK SC" w:hAnsi="Noto Sans CJK SC" w:eastAsia="Noto Sans CJK SC"/>
          <w:sz w:val="20"/>
        </w:rPr>
        <w:t>云函数已具备活动、多名单、迟到/请假、运营系统名册调用和数据规范化能力，应复用而不是全部重写。</w:t>
      </w:r>
    </w:p>
    <w:p>
      <w:pPr>
        <w:pStyle w:val="ListBullet"/>
        <w:spacing w:before="0" w:after="60" w:line="312" w:lineRule="auto"/>
        <w:ind w:left="312" w:hanging="142"/>
      </w:pPr>
      <w:r>
        <w:rPr>
          <w:rFonts w:ascii="Noto Sans CJK SC" w:hAnsi="Noto Sans CJK SC" w:eastAsia="Noto Sans CJK SC"/>
          <w:sz w:val="20"/>
        </w:rPr>
        <w:t>CORS和管理接口应在统一门户接入后收紧，服务间API Key与用户认证必须分离。</w:t>
      </w:r>
    </w:p>
    <w:p>
      <w:pPr>
        <w:pStyle w:val="Heading2"/>
      </w:pPr>
      <w:r>
        <w:t>1.3 技术审查结论</w:t>
      </w:r>
    </w:p>
    <w:tbl>
      <w:tblPr>
        <w:tblW w:type="auto" w:w="0"/>
        <w:jc w:val="center"/>
        <w:tblLook w:firstColumn="1" w:firstRow="1" w:lastColumn="0" w:lastRow="0" w:noHBand="0" w:noVBand="1" w:val="04A0"/>
        <w:tblBorders>
          <w:top w:val="single" w:sz="0" w:space="0" w:color="E9F6ED"/>
          <w:left w:val="single" w:sz="0" w:space="0" w:color="E9F6ED"/>
          <w:bottom w:val="single" w:sz="0" w:space="0" w:color="E9F6ED"/>
          <w:right w:val="single" w:sz="0" w:space="0" w:color="E9F6ED"/>
          <w:insideH w:val="single" w:sz="0" w:space="0" w:color="E9F6ED"/>
          <w:insideV w:val="single" w:sz="0" w:space="0" w:color="E9F6ED"/>
        </w:tblBorders>
      </w:tblPr>
      <w:tblGrid>
        <w:gridCol w:w="9866"/>
      </w:tblGrid>
      <w:tr>
        <w:tc>
          <w:tcPr>
            <w:tcW w:type="dxa" w:w="9866"/>
            <w:shd w:fill="E9F6ED"/>
            <w:tcMar>
              <w:top w:w="150" w:type="dxa"/>
              <w:start w:w="160" w:type="dxa"/>
              <w:bottom w:w="150" w:type="dxa"/>
              <w:end w:w="160" w:type="dxa"/>
            </w:tcMar>
          </w:tcPr>
          <w:p>
            <w:r>
              <w:rPr>
                <w:rFonts w:ascii="Noto Sans CJK SC" w:hAnsi="Noto Sans CJK SC" w:eastAsia="Noto Sans CJK SC"/>
                <w:b/>
                <w:color w:val="2D7A5B"/>
                <w:sz w:val="20"/>
              </w:rPr>
              <w:t>建议：</w:t>
            </w:r>
            <w:r>
              <w:rPr>
                <w:rFonts w:ascii="Noto Sans CJK SC" w:hAnsi="Noto Sans CJK SC" w:eastAsia="Noto Sans CJK SC"/>
                <w:color w:val="2D7A5B"/>
                <w:sz w:val="20"/>
              </w:rPr>
              <w:t>保留签到现场链路，建设统一admin-web和统一业务API；先逻辑整合、后物理合仓；MySQL作为组织、账户、年度计划和个人服务的主数据源，CloudBase继续承担现场签到源数据。</w:t>
            </w:r>
          </w:p>
        </w:tc>
      </w:tr>
    </w:tbl>
    <w:p/>
    <w:p>
      <w:pPr>
        <w:pStyle w:val="Heading1"/>
      </w:pPr>
      <w:r>
        <w:t>2. 目标架构与技术选型</w:t>
      </w:r>
    </w:p>
    <w:p>
      <w:pPr>
        <w:pStyle w:val="Heading2"/>
      </w:pPr>
      <w:r>
        <w:t>2.1 逻辑架构</w:t>
      </w:r>
    </w:p>
    <w:p>
      <w:pPr>
        <w:pStyle w:val="CodeBlock"/>
        <w:keepLines/>
        <w:shd w:fill="F5F8F6"/>
      </w:pPr>
      <w:r>
        <w:rPr>
          <w:rFonts w:ascii="DejaVu Sans Mono" w:hAnsi="DejaVu Sans Mono" w:eastAsia="DejaVu Sans Mono"/>
          <w:b w:val="0"/>
          <w:color w:val="174B3A"/>
          <w:sz w:val="16"/>
        </w:rPr>
        <w:t>[管理浏览器/手机]</w:t>
        <w:br/>
        <w:t xml:space="preserve">        │</w:t>
        <w:br/>
        <w:t xml:space="preserve">        ▼</w:t>
        <w:br/>
        <w:t>[admin-web: Vue3 + TypeScript + Pure Admin Thin + Element Plus]</w:t>
        <w:br/>
        <w:t xml:space="preserve">        │ HTTPS / JWT</w:t>
        <w:br/>
        <w:t xml:space="preserve">        ▼</w:t>
        <w:br/>
        <w:t>[platform-api: FastAPI]</w:t>
        <w:br/>
        <w:t xml:space="preserve">  ├─ identity &amp; authorization</w:t>
        <w:br/>
        <w:t xml:space="preserve">  ├─ organization &amp; member master</w:t>
        <w:br/>
        <w:t xml:space="preserve">  ├─ annual plan &amp; metric engine</w:t>
        <w:br/>
        <w:t xml:space="preserve">  ├─ member profile &amp; follow-up</w:t>
        <w:br/>
        <w:t xml:space="preserve">  ├─ analytics &amp; export</w:t>
        <w:br/>
        <w:t xml:space="preserve">  └─ integration gateway</w:t>
        <w:br/>
        <w:t xml:space="preserve">        │                         │</w:t>
        <w:br/>
        <w:t xml:space="preserve">        ▼                         ▼</w:t>
        <w:br/>
        <w:t>[CloudBase MySQL]          [signin CloudBase Function/FlexDB]</w:t>
        <w:br/>
        <w:t xml:space="preserve">        ▲                         │</w:t>
        <w:br/>
        <w:t xml:space="preserve">        └──── snapshot / API sync ┘</w:t>
      </w:r>
    </w:p>
    <w:p>
      <w:pPr>
        <w:pStyle w:val="Heading2"/>
      </w:pPr>
      <w:r>
        <w:t>2.2 技术选型</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3289"/>
        <w:gridCol w:w="3289"/>
        <w:gridCol w:w="3289"/>
      </w:tblGrid>
      <w:tr>
        <w:trPr>
          <w:tblHeader w:val="true"/>
        </w:trPr>
        <w:tc>
          <w:tcPr>
            <w:tcW w:type="dxa" w:w="1814"/>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层</w:t>
            </w:r>
          </w:p>
        </w:tc>
        <w:tc>
          <w:tcPr>
            <w:tcW w:type="dxa" w:w="3515"/>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技术</w:t>
            </w:r>
          </w:p>
        </w:tc>
        <w:tc>
          <w:tcPr>
            <w:tcW w:type="dxa" w:w="4025"/>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理由</w:t>
            </w:r>
          </w:p>
        </w:tc>
      </w:tr>
      <w:tr>
        <w:tc>
          <w:tcPr>
            <w:tcW w:type="dxa" w:w="181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统一管理前端</w:t>
            </w:r>
          </w:p>
        </w:tc>
        <w:tc>
          <w:tcPr>
            <w:tcW w:type="dxa" w:w="351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Vue 3 + TypeScript + Vite + Pure Admin Thin + Element Plus</w:t>
            </w:r>
          </w:p>
        </w:tc>
        <w:tc>
          <w:tcPr>
            <w:tcW w:type="dxa" w:w="402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中文生态成熟、改造成本低、表格/表单/树形组织适配好。</w:t>
            </w:r>
          </w:p>
        </w:tc>
      </w:tr>
      <w:tr>
        <w:tc>
          <w:tcPr>
            <w:tcW w:type="dxa" w:w="181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业务API</w:t>
            </w:r>
          </w:p>
        </w:tc>
        <w:tc>
          <w:tcPr>
            <w:tcW w:type="dxa" w:w="351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FastAPI + Pydantic</w:t>
            </w:r>
          </w:p>
        </w:tc>
        <w:tc>
          <w:tcPr>
            <w:tcW w:type="dxa" w:w="402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与现有Python分析和集成API一致，便于复用。</w:t>
            </w:r>
          </w:p>
        </w:tc>
      </w:tr>
      <w:tr>
        <w:tc>
          <w:tcPr>
            <w:tcW w:type="dxa" w:w="181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主数据库</w:t>
            </w:r>
          </w:p>
        </w:tc>
        <w:tc>
          <w:tcPr>
            <w:tcW w:type="dxa" w:w="351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CloudBase MySQL</w:t>
            </w:r>
          </w:p>
        </w:tc>
        <w:tc>
          <w:tcPr>
            <w:tcW w:type="dxa" w:w="402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现有生产基础，适合事务、组织关系、审计和报表。</w:t>
            </w:r>
          </w:p>
        </w:tc>
      </w:tr>
      <w:tr>
        <w:tc>
          <w:tcPr>
            <w:tcW w:type="dxa" w:w="181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现场签到</w:t>
            </w:r>
          </w:p>
        </w:tc>
        <w:tc>
          <w:tcPr>
            <w:tcW w:type="dxa" w:w="351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现有CloudBase静态托管+Node云函数</w:t>
            </w:r>
          </w:p>
        </w:tc>
        <w:tc>
          <w:tcPr>
            <w:tcW w:type="dxa" w:w="402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保留微信内访问和独立可用性。</w:t>
            </w:r>
          </w:p>
        </w:tc>
      </w:tr>
      <w:tr>
        <w:tc>
          <w:tcPr>
            <w:tcW w:type="dxa" w:w="181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缓存/任务</w:t>
            </w:r>
          </w:p>
        </w:tc>
        <w:tc>
          <w:tcPr>
            <w:tcW w:type="dxa" w:w="351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首期数据库任务表；规模增长后引入Redis/队列</w:t>
            </w:r>
          </w:p>
        </w:tc>
        <w:tc>
          <w:tcPr>
            <w:tcW w:type="dxa" w:w="402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控制首期复杂度。</w:t>
            </w:r>
          </w:p>
        </w:tc>
      </w:tr>
      <w:tr>
        <w:tc>
          <w:tcPr>
            <w:tcW w:type="dxa" w:w="181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图表</w:t>
            </w:r>
          </w:p>
        </w:tc>
        <w:tc>
          <w:tcPr>
            <w:tcW w:type="dxa" w:w="351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ECharts或Plotly前端封装</w:t>
            </w:r>
          </w:p>
        </w:tc>
        <w:tc>
          <w:tcPr>
            <w:tcW w:type="dxa" w:w="402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统一门户优先ECharts，现有Streamlit可继续Plotly。</w:t>
            </w:r>
          </w:p>
        </w:tc>
      </w:tr>
      <w:tr>
        <w:tc>
          <w:tcPr>
            <w:tcW w:type="dxa" w:w="181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文件导入</w:t>
            </w:r>
          </w:p>
        </w:tc>
        <w:tc>
          <w:tcPr>
            <w:tcW w:type="dxa" w:w="351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后端解析Excel，预览后入库</w:t>
            </w:r>
          </w:p>
        </w:tc>
        <w:tc>
          <w:tcPr>
            <w:tcW w:type="dxa" w:w="402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禁止浏览器直接批量写数据库。</w:t>
            </w:r>
          </w:p>
        </w:tc>
      </w:tr>
      <w:tr>
        <w:tc>
          <w:tcPr>
            <w:tcW w:type="dxa" w:w="181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认证</w:t>
            </w:r>
          </w:p>
        </w:tc>
        <w:tc>
          <w:tcPr>
            <w:tcW w:type="dxa" w:w="351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短期JWT/会话+刷新令牌；后期可接短信或微信</w:t>
            </w:r>
          </w:p>
        </w:tc>
        <w:tc>
          <w:tcPr>
            <w:tcW w:type="dxa" w:w="402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取代单管理员密码。</w:t>
            </w:r>
          </w:p>
        </w:tc>
      </w:tr>
    </w:tbl>
    <w:p/>
    <w:p>
      <w:pPr>
        <w:pStyle w:val="Heading2"/>
      </w:pPr>
      <w:r>
        <w:t>2.3 架构原则</w:t>
      </w:r>
    </w:p>
    <w:p>
      <w:pPr>
        <w:pStyle w:val="ListBullet"/>
        <w:spacing w:before="0" w:after="60" w:line="312" w:lineRule="auto"/>
        <w:ind w:left="312" w:hanging="142"/>
      </w:pPr>
      <w:r>
        <w:rPr>
          <w:rFonts w:ascii="Noto Sans CJK SC" w:hAnsi="Noto Sans CJK SC" w:eastAsia="Noto Sans CJK SC"/>
          <w:sz w:val="20"/>
        </w:rPr>
        <w:t>模块化单体优先：首期在一个FastAPI服务中按领域分包，不急于拆微服务。</w:t>
      </w:r>
    </w:p>
    <w:p>
      <w:pPr>
        <w:pStyle w:val="ListBullet"/>
        <w:spacing w:before="0" w:after="60" w:line="312" w:lineRule="auto"/>
        <w:ind w:left="312" w:hanging="142"/>
      </w:pPr>
      <w:r>
        <w:rPr>
          <w:rFonts w:ascii="Noto Sans CJK SC" w:hAnsi="Noto Sans CJK SC" w:eastAsia="Noto Sans CJK SC"/>
          <w:sz w:val="20"/>
        </w:rPr>
        <w:t>API优先：新前端只通过API访问数据，禁止直接连接MySQL或FlexDB。</w:t>
      </w:r>
    </w:p>
    <w:p>
      <w:pPr>
        <w:pStyle w:val="ListBullet"/>
        <w:spacing w:before="0" w:after="60" w:line="312" w:lineRule="auto"/>
        <w:ind w:left="312" w:hanging="142"/>
      </w:pPr>
      <w:r>
        <w:rPr>
          <w:rFonts w:ascii="Noto Sans CJK SC" w:hAnsi="Noto Sans CJK SC" w:eastAsia="Noto Sans CJK SC"/>
          <w:sz w:val="20"/>
        </w:rPr>
        <w:t>主数据唯一：组织、成员、账户、目标和个人服务以MySQL为权威；签到源数据由CloudBase产生并同步。</w:t>
      </w:r>
    </w:p>
    <w:p>
      <w:pPr>
        <w:pStyle w:val="ListBullet"/>
        <w:spacing w:before="0" w:after="60" w:line="312" w:lineRule="auto"/>
        <w:ind w:left="312" w:hanging="142"/>
      </w:pPr>
      <w:r>
        <w:rPr>
          <w:rFonts w:ascii="Noto Sans CJK SC" w:hAnsi="Noto Sans CJK SC" w:eastAsia="Noto Sans CJK SC"/>
          <w:sz w:val="20"/>
        </w:rPr>
        <w:t>兼容迁移：现有Streamlit与旧admin.html在过渡期可并行，使用功能开关逐页替换。</w:t>
      </w:r>
    </w:p>
    <w:p>
      <w:pPr>
        <w:pStyle w:val="ListBullet"/>
        <w:spacing w:before="0" w:after="60" w:line="312" w:lineRule="auto"/>
        <w:ind w:left="312" w:hanging="142"/>
      </w:pPr>
      <w:r>
        <w:rPr>
          <w:rFonts w:ascii="Noto Sans CJK SC" w:hAnsi="Noto Sans CJK SC" w:eastAsia="Noto Sans CJK SC"/>
          <w:sz w:val="20"/>
        </w:rPr>
        <w:t>计算可重放：自动指标保存源期间和计算日志，支持重新计算。</w:t>
      </w:r>
    </w:p>
    <w:p>
      <w:pPr>
        <w:pStyle w:val="ListBullet"/>
        <w:spacing w:before="0" w:after="60" w:line="312" w:lineRule="auto"/>
        <w:ind w:left="312" w:hanging="142"/>
      </w:pPr>
      <w:r>
        <w:rPr>
          <w:rFonts w:ascii="Noto Sans CJK SC" w:hAnsi="Noto Sans CJK SC" w:eastAsia="Noto Sans CJK SC"/>
          <w:sz w:val="20"/>
        </w:rPr>
        <w:t>所有敏感操作可审计，所有推断可解释。</w:t>
      </w:r>
    </w:p>
    <w:p>
      <w:pPr>
        <w:pStyle w:val="Heading1"/>
      </w:pPr>
      <w:r>
        <w:t>3. 代码仓库与模块划分</w:t>
      </w:r>
    </w:p>
    <w:p>
      <w:pPr>
        <w:pStyle w:val="Heading2"/>
      </w:pPr>
      <w:r>
        <w:t>3.1 推荐仓库策略</w:t>
      </w:r>
    </w:p>
    <w:p>
      <w:pPr>
        <w:spacing w:before="0" w:after="100" w:line="324" w:lineRule="auto"/>
      </w:pPr>
      <w:r>
        <w:rPr>
          <w:rFonts w:ascii="Noto Sans CJK SC" w:hAnsi="Noto Sans CJK SC" w:eastAsia="Noto Sans CJK SC"/>
          <w:sz w:val="21"/>
        </w:rPr>
        <w:t>首期建议新建统一仓库seiwajyuku-platform，保留两个现有仓库作为独立部署单元。待统一门户稳定后再评估是否合并为Monorepo。</w:t>
      </w:r>
    </w:p>
    <w:p>
      <w:pPr>
        <w:pStyle w:val="CodeBlock"/>
        <w:keepLines/>
        <w:shd w:fill="F5F8F6"/>
      </w:pPr>
      <w:r>
        <w:rPr>
          <w:rFonts w:ascii="DejaVu Sans Mono" w:hAnsi="DejaVu Sans Mono" w:eastAsia="DejaVu Sans Mono"/>
          <w:b w:val="0"/>
          <w:color w:val="174B3A"/>
          <w:sz w:val="16"/>
        </w:rPr>
        <w:t>seiwajyuku-platform/</w:t>
        <w:br/>
        <w:t>├── apps/</w:t>
        <w:br/>
        <w:t>│   ├── admin-web/                 # Vue统一管理前端</w:t>
        <w:br/>
        <w:t>│   └── platform-api/              # FastAPI统一业务API</w:t>
        <w:br/>
        <w:t>├── packages/</w:t>
        <w:br/>
        <w:t>│   ├── api-contracts/             # OpenAPI生成类型/共享枚举</w:t>
        <w:br/>
        <w:t>│   ├── ui-components/             # 业务组件</w:t>
        <w:br/>
        <w:t>│   └── metric-definitions/        # 指标键与口径配置</w:t>
        <w:br/>
        <w:t>├── migrations/                    # 数据库迁移</w:t>
        <w:br/>
        <w:t>├── docs/                          # 需求、架构、接口、数据字典</w:t>
        <w:br/>
        <w:t>├── scripts/                       # 导入、核对、迁移和发布</w:t>
        <w:br/>
        <w:t>└── tests/                         # 端到端和契约测试</w:t>
      </w:r>
    </w:p>
    <w:p>
      <w:pPr>
        <w:pStyle w:val="Heading2"/>
      </w:pPr>
      <w:r>
        <w:t>3.2 FastAPI领域模块</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rPr>
        <w:tc>
          <w:tcPr>
            <w:tcW w:type="dxa" w:w="1928"/>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模块</w:t>
            </w:r>
          </w:p>
        </w:tc>
        <w:tc>
          <w:tcPr>
            <w:tcW w:type="dxa" w:w="7427"/>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职责</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auth</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登录、刷新、登出、密码、会话。</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iam</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用户、角色、权限、数据范围。</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org</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组织树、任职、特殊班、历史。</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members</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成员主数据、标识匹配、在籍状态。</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plans</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年度方案、指标版本、目标分解、重点行动。</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metrics</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期间值、自动计算、覆盖、计算日志。</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profiles</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企业画像、需求、信号、续费状态。</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followups</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关怀任务、沟通记录、资源匹配。</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activities</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活动和签到只读聚合/管理代理。</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imports</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Excel导入、预览、校验、批次。</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analytics</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看板、下钻、导出。</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audit</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操作与敏感访问日志。</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integrations</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签到、读书、外部系统适配器。</w:t>
            </w:r>
          </w:p>
        </w:tc>
      </w:tr>
    </w:tbl>
    <w:p/>
    <w:p>
      <w:pPr>
        <w:pStyle w:val="Heading1"/>
      </w:pPr>
      <w:r>
        <w:t>4. 身份、组织与权限设计</w:t>
      </w:r>
    </w:p>
    <w:p>
      <w:pPr>
        <w:pStyle w:val="Heading2"/>
      </w:pPr>
      <w:r>
        <w:t>4.1 身份模型</w:t>
      </w:r>
    </w:p>
    <w:p>
      <w:pPr>
        <w:spacing w:before="0" w:after="100" w:line="324" w:lineRule="auto"/>
      </w:pPr>
      <w:r>
        <w:rPr>
          <w:rFonts w:ascii="Noto Sans CJK SC" w:hAnsi="Noto Sans CJK SC" w:eastAsia="Noto Sans CJK SC"/>
          <w:sz w:val="21"/>
        </w:rPr>
        <w:t>现有portal_users.role单值字段只适合早期门户。目标模型需要账户、角色、组织任职和成员身份解耦。</w:t>
      </w:r>
    </w:p>
    <w:p>
      <w:pPr>
        <w:pStyle w:val="CodeBlock"/>
        <w:keepLines/>
        <w:shd w:fill="F5F8F6"/>
      </w:pPr>
      <w:r>
        <w:rPr>
          <w:rFonts w:ascii="DejaVu Sans Mono" w:hAnsi="DejaVu Sans Mono" w:eastAsia="DejaVu Sans Mono"/>
          <w:b w:val="0"/>
          <w:color w:val="174B3A"/>
          <w:sz w:val="16"/>
        </w:rPr>
        <w:t>app_user ──&lt; user_role &gt;── role ──&lt; role_permission &gt;── permission</w:t>
        <w:br/>
        <w:t xml:space="preserve">   │</w:t>
        <w:br/>
        <w:t xml:space="preserve">   ├── optional member_id（账户可绑定学长）</w:t>
        <w:br/>
        <w:t xml:space="preserve">   └──&lt; data_scope_grant &gt;── org_unit / scope_level / valid_period</w:t>
        <w:br/>
        <w:br/>
        <w:t>member ──&lt; member_org_assignment &gt;── org_unit + position + valid_period</w:t>
      </w:r>
    </w:p>
    <w:p>
      <w:pPr>
        <w:pStyle w:val="Heading2"/>
      </w:pPr>
      <w:r>
        <w:t>4.2 组织模型</w:t>
      </w:r>
    </w:p>
    <w:p>
      <w:pPr>
        <w:pStyle w:val="ListBullet"/>
        <w:spacing w:before="0" w:after="60" w:line="312" w:lineRule="auto"/>
        <w:ind w:left="312" w:hanging="142"/>
      </w:pPr>
      <w:r>
        <w:rPr>
          <w:rFonts w:ascii="Noto Sans CJK SC" w:hAnsi="Noto Sans CJK SC" w:eastAsia="Noto Sans CJK SC"/>
          <w:sz w:val="20"/>
        </w:rPr>
        <w:t>继续复用org_units父子树，并明确unit_type枚举：ROOT、REGIONAL_CENTER、CLASS、GROUP。</w:t>
      </w:r>
    </w:p>
    <w:p>
      <w:pPr>
        <w:pStyle w:val="ListBullet"/>
        <w:spacing w:before="0" w:after="60" w:line="312" w:lineRule="auto"/>
        <w:ind w:left="312" w:hanging="142"/>
      </w:pPr>
      <w:r>
        <w:t>黄埔班作为parent_id指向苏州塾ROOT的CLASS节点；其成员通过“发展归属组织”字段/关系保留原区域分中心，用于在册、续费和新增汇总，其他MP指标默认只形成黄埔班独立视图。</w:t>
      </w:r>
    </w:p>
    <w:p>
      <w:pPr>
        <w:pStyle w:val="ListBullet"/>
        <w:spacing w:before="0" w:after="60" w:line="312" w:lineRule="auto"/>
        <w:ind w:left="312" w:hanging="142"/>
      </w:pPr>
      <w:r>
        <w:rPr>
          <w:rFonts w:ascii="Noto Sans CJK SC" w:hAnsi="Noto Sans CJK SC" w:eastAsia="Noto Sans CJK SC"/>
          <w:sz w:val="20"/>
        </w:rPr>
        <w:t>特殊班或跨组织项目使用cohorts，不强行塞入区域分中心树。</w:t>
      </w:r>
    </w:p>
    <w:p>
      <w:pPr>
        <w:pStyle w:val="ListBullet"/>
        <w:spacing w:before="0" w:after="60" w:line="312" w:lineRule="auto"/>
        <w:ind w:left="312" w:hanging="142"/>
      </w:pPr>
      <w:r>
        <w:rPr>
          <w:rFonts w:ascii="Noto Sans CJK SC" w:hAnsi="Noto Sans CJK SC" w:eastAsia="Noto Sans CJK SC"/>
          <w:sz w:val="20"/>
        </w:rPr>
        <w:t>组织改名不改变unit_code和id；所有事实表逐步改用org_unit_id。</w:t>
      </w:r>
    </w:p>
    <w:p>
      <w:pPr>
        <w:pStyle w:val="ListBullet"/>
        <w:spacing w:before="0" w:after="60" w:line="312" w:lineRule="auto"/>
        <w:ind w:left="312" w:hanging="142"/>
      </w:pPr>
      <w:r>
        <w:rPr>
          <w:rFonts w:ascii="Noto Sans CJK SC" w:hAnsi="Noto Sans CJK SC" w:eastAsia="Noto Sans CJK SC"/>
          <w:sz w:val="20"/>
        </w:rPr>
        <w:t>成员可同时拥有主归属、任职、观察/特殊班等多种关系。</w:t>
      </w:r>
    </w:p>
    <w:p>
      <w:pPr>
        <w:pStyle w:val="Heading2"/>
      </w:pPr>
      <w:r>
        <w:t>4.3 授权算法</w:t>
      </w:r>
    </w:p>
    <w:p>
      <w:pPr>
        <w:pStyle w:val="CodeBlock"/>
        <w:keepLines/>
        <w:shd w:fill="F5F8F6"/>
      </w:pPr>
      <w:r>
        <w:rPr>
          <w:rFonts w:ascii="DejaVu Sans Mono" w:hAnsi="DejaVu Sans Mono" w:eastAsia="DejaVu Sans Mono"/>
          <w:b w:val="0"/>
          <w:color w:val="174B3A"/>
          <w:sz w:val="16"/>
        </w:rPr>
        <w:t>允许访问 = 角色拥有操作权限</w:t>
        <w:br/>
        <w:t xml:space="preserve">        AND 请求对象位于用户有效数据范围内</w:t>
        <w:br/>
        <w:t xml:space="preserve">        AND 字段/模块敏感级别未超过授权</w:t>
        <w:br/>
        <w:t xml:space="preserve">        AND 用户、任职、组织均处于有效状态</w:t>
      </w:r>
    </w:p>
    <w:p>
      <w:pPr>
        <w:pStyle w:val="ListBullet"/>
        <w:spacing w:before="0" w:after="60" w:line="312" w:lineRule="auto"/>
        <w:ind w:left="312" w:hanging="142"/>
      </w:pPr>
      <w:r>
        <w:rPr>
          <w:rFonts w:ascii="Noto Sans CJK SC" w:hAnsi="Noto Sans CJK SC" w:eastAsia="Noto Sans CJK SC"/>
          <w:sz w:val="20"/>
        </w:rPr>
        <w:t>每个API依赖统一AuthorizationContext，不允许各模块自行拼接中心名称过滤。</w:t>
      </w:r>
    </w:p>
    <w:p>
      <w:pPr>
        <w:pStyle w:val="ListBullet"/>
        <w:spacing w:before="0" w:after="60" w:line="312" w:lineRule="auto"/>
        <w:ind w:left="312" w:hanging="142"/>
      </w:pPr>
      <w:r>
        <w:rPr>
          <w:rFonts w:ascii="Noto Sans CJK SC" w:hAnsi="Noto Sans CJK SC" w:eastAsia="Noto Sans CJK SC"/>
          <w:sz w:val="20"/>
        </w:rPr>
        <w:t>列表查询自动注入组织范围；单对象查询仍需再次校验对象归属。</w:t>
      </w:r>
    </w:p>
    <w:p>
      <w:pPr>
        <w:pStyle w:val="ListBullet"/>
        <w:spacing w:before="0" w:after="60" w:line="312" w:lineRule="auto"/>
        <w:ind w:left="312" w:hanging="142"/>
      </w:pPr>
      <w:r>
        <w:rPr>
          <w:rFonts w:ascii="Noto Sans CJK SC" w:hAnsi="Noto Sans CJK SC" w:eastAsia="Noto Sans CJK SC"/>
          <w:sz w:val="20"/>
        </w:rPr>
        <w:t>跨组织用户拥有多个scope grant，取授权并集，但敏感字段遵守最严格规则。</w:t>
      </w:r>
    </w:p>
    <w:p>
      <w:pPr>
        <w:pStyle w:val="ListBullet"/>
        <w:spacing w:before="0" w:after="60" w:line="312" w:lineRule="auto"/>
        <w:ind w:left="312" w:hanging="142"/>
      </w:pPr>
      <w:r>
        <w:rPr>
          <w:rFonts w:ascii="Noto Sans CJK SC" w:hAnsi="Noto Sans CJK SC" w:eastAsia="Noto Sans CJK SC"/>
          <w:sz w:val="20"/>
        </w:rPr>
        <w:t>后台任务和服务账户使用独立service principal及API Key，不冒充普通用户。</w:t>
      </w:r>
    </w:p>
    <w:p>
      <w:pPr>
        <w:pStyle w:val="ListBullet"/>
      </w:pPr>
      <w:r>
        <w:t>敏感导出权限SENSITIVE_EXPORT与系统管理权限分离，仅赋予少数数据安全管理员账户；所有其他角色即使可查看也只能导出脱敏数据。</w:t>
      </w:r>
    </w:p>
    <w:p>
      <w:pPr>
        <w:pStyle w:val="ListBullet"/>
      </w:pPr>
      <w:r>
        <w:t>手机号完整值的访问必须同时满足组织范围、有效关怀任务、CONTACT_REVEAL权限和用途填写，并写入敏感访问日志。</w:t>
      </w:r>
    </w:p>
    <w:p>
      <w:pPr>
        <w:pStyle w:val="Heading1"/>
      </w:pPr>
      <w:r>
        <w:t>5. 年度MP与指标引擎设计</w:t>
      </w:r>
    </w:p>
    <w:p>
      <w:pPr>
        <w:pStyle w:val="Heading2"/>
      </w:pPr>
      <w:r>
        <w:t>5.1 核心实体</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rPr>
        <w:tc>
          <w:tcPr>
            <w:tcW w:type="dxa" w:w="2381"/>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实体</w:t>
            </w:r>
          </w:p>
        </w:tc>
        <w:tc>
          <w:tcPr>
            <w:tcW w:type="dxa" w:w="6973"/>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作用</w:t>
            </w:r>
          </w:p>
        </w:tc>
      </w:tr>
      <w:tr>
        <w:tc>
          <w:tcPr>
            <w:tcW w:type="dxa" w:w="238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metric_definition</w:t>
            </w:r>
          </w:p>
        </w:tc>
        <w:tc>
          <w:tcPr>
            <w:tcW w:type="dxa" w:w="6973"/>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稳定指标身份：metric_key、名称、分类和默认单位。</w:t>
            </w:r>
          </w:p>
        </w:tc>
      </w:tr>
      <w:tr>
        <w:tc>
          <w:tcPr>
            <w:tcW w:type="dxa" w:w="2381"/>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metric_version</w:t>
            </w:r>
          </w:p>
        </w:tc>
        <w:tc>
          <w:tcPr>
            <w:tcW w:type="dxa" w:w="6973"/>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某年度或版本的口径：分子、分母、算法、来源、空值规则。</w:t>
            </w:r>
          </w:p>
        </w:tc>
      </w:tr>
      <w:tr>
        <w:tc>
          <w:tcPr>
            <w:tcW w:type="dxa" w:w="238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annual_plan</w:t>
            </w:r>
          </w:p>
        </w:tc>
        <w:tc>
          <w:tcPr>
            <w:tcW w:type="dxa" w:w="6973"/>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年度方案头：年度、方针、状态、版本。</w:t>
            </w:r>
          </w:p>
        </w:tc>
      </w:tr>
      <w:tr>
        <w:tc>
          <w:tcPr>
            <w:tcW w:type="dxa" w:w="2381"/>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plan_metric</w:t>
            </w:r>
          </w:p>
        </w:tc>
        <w:tc>
          <w:tcPr>
            <w:tcW w:type="dxa" w:w="6973"/>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本年度启用的指标、顺序、权重和适用范围。</w:t>
            </w:r>
          </w:p>
        </w:tc>
      </w:tr>
      <w:tr>
        <w:tc>
          <w:tcPr>
            <w:tcW w:type="dxa" w:w="238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org_metric_target</w:t>
            </w:r>
          </w:p>
        </w:tc>
        <w:tc>
          <w:tcPr>
            <w:tcW w:type="dxa" w:w="6973"/>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组织年度目标、月MP和责任人。</w:t>
            </w:r>
          </w:p>
        </w:tc>
      </w:tr>
      <w:tr>
        <w:tc>
          <w:tcPr>
            <w:tcW w:type="dxa" w:w="2381"/>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metric_period_value</w:t>
            </w:r>
          </w:p>
        </w:tc>
        <w:tc>
          <w:tcPr>
            <w:tcW w:type="dxa" w:w="6973"/>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月/半年/年度的MP、预定、实绩及状态。</w:t>
            </w:r>
          </w:p>
        </w:tc>
      </w:tr>
      <w:tr>
        <w:tc>
          <w:tcPr>
            <w:tcW w:type="dxa" w:w="238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metric_calculation_run</w:t>
            </w:r>
          </w:p>
        </w:tc>
        <w:tc>
          <w:tcPr>
            <w:tcW w:type="dxa" w:w="6973"/>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自动计算的源数据、分子、分母、结果和日志。</w:t>
            </w:r>
          </w:p>
        </w:tc>
      </w:tr>
      <w:tr>
        <w:tc>
          <w:tcPr>
            <w:tcW w:type="dxa" w:w="2381"/>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metric_override</w:t>
            </w:r>
          </w:p>
        </w:tc>
        <w:tc>
          <w:tcPr>
            <w:tcW w:type="dxa" w:w="6973"/>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人工覆盖值、原因、证据和审批。</w:t>
            </w:r>
          </w:p>
        </w:tc>
      </w:tr>
      <w:tr>
        <w:tc>
          <w:tcPr>
            <w:tcW w:type="dxa" w:w="238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annual_action</w:t>
            </w:r>
          </w:p>
        </w:tc>
        <w:tc>
          <w:tcPr>
            <w:tcW w:type="dxa" w:w="6973"/>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六类重点行动的计划和执行。</w:t>
            </w:r>
          </w:p>
        </w:tc>
      </w:tr>
    </w:tbl>
    <w:p/>
    <w:p>
      <w:pPr>
        <w:pStyle w:val="Heading2"/>
      </w:pPr>
      <w:r>
        <w:t>5.2 指标配置字段</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rPr>
        <w:tc>
          <w:tcPr>
            <w:tcW w:type="dxa" w:w="2494"/>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字段</w:t>
            </w:r>
          </w:p>
        </w:tc>
        <w:tc>
          <w:tcPr>
            <w:tcW w:type="dxa" w:w="6860"/>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建议枚举/说明</w:t>
            </w:r>
          </w:p>
        </w:tc>
      </w:tr>
      <w:tr>
        <w:tc>
          <w:tcPr>
            <w:tcW w:type="dxa" w:w="249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aggregation_type</w:t>
            </w:r>
          </w:p>
        </w:tc>
        <w:tc>
          <w:tcPr>
            <w:tcW w:type="dxa" w:w="686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SUM、AVG、WEIGHTED_AVG、ENDING_BALANCE、RATIO、CUMULATIVE、CUSTOM。</w:t>
            </w:r>
          </w:p>
        </w:tc>
      </w:tr>
      <w:tr>
        <w:tc>
          <w:tcPr>
            <w:tcW w:type="dxa" w:w="249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period_value_type</w:t>
            </w:r>
          </w:p>
        </w:tc>
        <w:tc>
          <w:tcPr>
            <w:tcW w:type="dxa" w:w="686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INCREMENT、CUMULATIVE_TO_DATE、ENDING_BALANCE。</w:t>
            </w:r>
          </w:p>
        </w:tc>
      </w:tr>
      <w:tr>
        <w:tc>
          <w:tcPr>
            <w:tcW w:type="dxa" w:w="249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unit</w:t>
            </w:r>
          </w:p>
        </w:tc>
        <w:tc>
          <w:tcPr>
            <w:tcW w:type="dxa" w:w="686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PERCENT、PERSON、SCORE、COUNT、AMOUNT、RATIO。</w:t>
            </w:r>
          </w:p>
        </w:tc>
      </w:tr>
      <w:tr>
        <w:tc>
          <w:tcPr>
            <w:tcW w:type="dxa" w:w="249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data_source_type</w:t>
            </w:r>
          </w:p>
        </w:tc>
        <w:tc>
          <w:tcPr>
            <w:tcW w:type="dxa" w:w="686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AUTO、MANUAL、IMPORT、MIXED。</w:t>
            </w:r>
          </w:p>
        </w:tc>
      </w:tr>
      <w:tr>
        <w:tc>
          <w:tcPr>
            <w:tcW w:type="dxa" w:w="249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null_policy</w:t>
            </w:r>
          </w:p>
        </w:tc>
        <w:tc>
          <w:tcPr>
            <w:tcW w:type="dxa" w:w="686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NO_DATA、NOT_APPLICABLE、NOT_DUE、ZERO_IS_VALID。</w:t>
            </w:r>
          </w:p>
        </w:tc>
      </w:tr>
      <w:tr>
        <w:tc>
          <w:tcPr>
            <w:tcW w:type="dxa" w:w="249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target_balance_mode</w:t>
            </w:r>
          </w:p>
        </w:tc>
        <w:tc>
          <w:tcPr>
            <w:tcW w:type="dxa" w:w="686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STRICT、ALLOW_VARIANCE。</w:t>
            </w:r>
          </w:p>
        </w:tc>
      </w:tr>
      <w:tr>
        <w:tc>
          <w:tcPr>
            <w:tcW w:type="dxa" w:w="249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display_precision</w:t>
            </w:r>
          </w:p>
        </w:tc>
        <w:tc>
          <w:tcPr>
            <w:tcW w:type="dxa" w:w="686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百分比/人数/分数显示精度。</w:t>
            </w:r>
          </w:p>
        </w:tc>
      </w:tr>
      <w:tr>
        <w:tc>
          <w:tcPr>
            <w:tcW w:type="dxa" w:w="249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visibility</w:t>
            </w:r>
          </w:p>
        </w:tc>
        <w:tc>
          <w:tcPr>
            <w:tcW w:type="dxa" w:w="686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哪些角色可查看指标和计算明细。</w:t>
            </w:r>
          </w:p>
        </w:tc>
      </w:tr>
    </w:tbl>
    <w:p/>
    <w:p>
      <w:pPr>
        <w:pStyle w:val="Heading2"/>
      </w:pPr>
      <w:r>
        <w:t>5.3 计算流程</w:t>
      </w:r>
    </w:p>
    <w:p>
      <w:pPr>
        <w:pStyle w:val="CodeBlock"/>
        <w:keepLines/>
        <w:shd w:fill="F5F8F6"/>
      </w:pPr>
      <w:r>
        <w:rPr>
          <w:rFonts w:ascii="DejaVu Sans Mono" w:hAnsi="DejaVu Sans Mono" w:eastAsia="DejaVu Sans Mono"/>
          <w:b w:val="0"/>
          <w:color w:val="174B3A"/>
          <w:sz w:val="16"/>
        </w:rPr>
        <w:t>源数据到达/人工提交</w:t>
        <w:br/>
        <w:t>→ 识别metric_version和组织范围</w:t>
        <w:br/>
        <w:t>→ 校验成员在籍、活动类型、期间和分母</w:t>
        <w:br/>
        <w:t>→ 计算分子/分母/结果</w:t>
        <w:br/>
        <w:t>→ 写入calculation_run</w:t>
        <w:br/>
        <w:t>→ 更新metric_period_value.actual</w:t>
        <w:br/>
        <w:t>→ 触发上级组织汇总和看板缓存</w:t>
        <w:br/>
        <w:t>→ 如有人工覆盖，展示覆盖值但保留自动值</w:t>
      </w:r>
    </w:p>
    <w:p>
      <w:pPr>
        <w:pStyle w:val="Heading2"/>
      </w:pPr>
      <w:r>
        <w:t>5.4 空值和达成率</w:t>
      </w:r>
    </w:p>
    <w:p>
      <w:pPr>
        <w:pStyle w:val="ListBullet"/>
        <w:spacing w:before="0" w:after="60" w:line="312" w:lineRule="auto"/>
        <w:ind w:left="312" w:hanging="142"/>
      </w:pPr>
      <w:r>
        <w:rPr>
          <w:rFonts w:ascii="Noto Sans CJK SC" w:hAnsi="Noto Sans CJK SC" w:eastAsia="Noto Sans CJK SC"/>
          <w:sz w:val="20"/>
        </w:rPr>
        <w:t>数据库中用status字段区分NO_DATA、NOT_APPLICABLE、NOT_DUE、CONFIRMED，不使用“/”字符串。</w:t>
      </w:r>
    </w:p>
    <w:p>
      <w:pPr>
        <w:pStyle w:val="ListBullet"/>
        <w:spacing w:before="0" w:after="60" w:line="312" w:lineRule="auto"/>
        <w:ind w:left="312" w:hanging="142"/>
      </w:pPr>
      <w:r>
        <w:rPr>
          <w:rFonts w:ascii="Noto Sans CJK SC" w:hAnsi="Noto Sans CJK SC" w:eastAsia="Noto Sans CJK SC"/>
          <w:sz w:val="20"/>
        </w:rPr>
        <w:t>目标值为0时默认不计算达成率；需要特殊公式的指标通过metric_version配置。</w:t>
      </w:r>
    </w:p>
    <w:p>
      <w:pPr>
        <w:pStyle w:val="ListBullet"/>
        <w:spacing w:before="0" w:after="60" w:line="312" w:lineRule="auto"/>
        <w:ind w:left="312" w:hanging="142"/>
      </w:pPr>
      <w:r>
        <w:rPr>
          <w:rFonts w:ascii="Noto Sans CJK SC" w:hAnsi="Noto Sans CJK SC" w:eastAsia="Noto Sans CJK SC"/>
          <w:sz w:val="20"/>
        </w:rPr>
        <w:t>缺少分母时结果为空并产生质量告警，不能自动变成0。</w:t>
      </w:r>
    </w:p>
    <w:p>
      <w:pPr>
        <w:pStyle w:val="ListBullet"/>
        <w:spacing w:before="0" w:after="60" w:line="312" w:lineRule="auto"/>
        <w:ind w:left="312" w:hanging="142"/>
      </w:pPr>
      <w:r>
        <w:rPr>
          <w:rFonts w:ascii="Noto Sans CJK SC" w:hAnsi="Noto Sans CJK SC" w:eastAsia="Noto Sans CJK SC"/>
          <w:sz w:val="20"/>
        </w:rPr>
        <w:t>平均值应明确是月份简单平均还是基于原始分子/分母加权平均。</w:t>
      </w:r>
    </w:p>
    <w:p>
      <w:pPr>
        <w:pStyle w:val="ListBullet"/>
        <w:spacing w:before="0" w:after="60" w:line="312" w:lineRule="auto"/>
        <w:ind w:left="312" w:hanging="142"/>
      </w:pPr>
      <w:r>
        <w:rPr>
          <w:rFonts w:ascii="Noto Sans CJK SC" w:hAnsi="Noto Sans CJK SC" w:eastAsia="Noto Sans CJK SC"/>
          <w:sz w:val="20"/>
        </w:rPr>
        <w:t>年度指标改口径时创建新版本，不重算已封账历史，除非发起正式重算任务。</w:t>
      </w:r>
    </w:p>
    <w:p>
      <w:pPr>
        <w:pStyle w:val="Heading1"/>
      </w:pPr>
      <w:r>
        <w:t>6. 个人画像与关怀服务设计</w:t>
      </w:r>
    </w:p>
    <w:p>
      <w:pPr>
        <w:pStyle w:val="Heading2"/>
      </w:pPr>
      <w:r>
        <w:t>6.1 数据模型原则</w:t>
      </w:r>
    </w:p>
    <w:p>
      <w:pPr>
        <w:pStyle w:val="CodeBlock"/>
        <w:keepLines/>
        <w:shd w:fill="F5F8F6"/>
      </w:pPr>
      <w:r>
        <w:rPr>
          <w:rFonts w:ascii="DejaVu Sans Mono" w:hAnsi="DejaVu Sans Mono" w:eastAsia="DejaVu Sans Mono"/>
          <w:b w:val="0"/>
          <w:color w:val="174B3A"/>
          <w:sz w:val="16"/>
        </w:rPr>
        <w:t>事实表（活动/打卡/任职）</w:t>
        <w:br/>
        <w:t xml:space="preserve">        + 本人陈述（企业阶段/需求/意愿）</w:t>
        <w:br/>
        <w:t xml:space="preserve">        + 工作人员记录（沟通/支持）</w:t>
        <w:br/>
        <w:t xml:space="preserve">        + 规则信号（可解释）</w:t>
        <w:br/>
        <w:t xml:space="preserve">        + AI建议（可编辑、非事实）</w:t>
        <w:br/>
        <w:t xml:space="preserve">        = 个人画像视图</w:t>
      </w:r>
    </w:p>
    <w:p>
      <w:pPr>
        <w:pStyle w:val="Heading2"/>
      </w:pPr>
      <w:r>
        <w:t>6.2 建议实体</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blHeader w:val="true"/>
        </w:trPr>
        <w:tc>
          <w:tcPr>
            <w:tcW w:type="dxa" w:w="2381"/>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实体</w:t>
            </w:r>
          </w:p>
        </w:tc>
        <w:tc>
          <w:tcPr>
            <w:tcW w:type="dxa" w:w="5386"/>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内容</w:t>
            </w:r>
          </w:p>
        </w:tc>
      </w:tr>
      <w:tr>
        <w:tc>
          <w:tcPr>
            <w:tcW w:type="dxa" w:w="238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member_enterprise_profile</w:t>
            </w:r>
          </w:p>
        </w:tc>
        <w:tc>
          <w:tcPr>
            <w:tcW w:type="dxa" w:w="538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行业、规模、发展阶段、经营课题、保密级别、来源。</w:t>
            </w:r>
          </w:p>
        </w:tc>
      </w:tr>
      <w:tr>
        <w:tc>
          <w:tcPr>
            <w:tcW w:type="dxa" w:w="238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member_need</w:t>
            </w:r>
          </w:p>
        </w:tc>
        <w:tc>
          <w:tcPr>
            <w:tcW w:type="dxa" w:w="538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需求标签、描述、优先级、有效期、本人确认。</w:t>
            </w:r>
          </w:p>
        </w:tc>
      </w:tr>
      <w:tr>
        <w:tc>
          <w:tcPr>
            <w:tcW w:type="dxa" w:w="238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member_signal</w:t>
            </w:r>
          </w:p>
        </w:tc>
        <w:tc>
          <w:tcPr>
            <w:tcW w:type="dxa" w:w="538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参与下降、连续缺席、续费待确认等信号及证据。</w:t>
            </w:r>
          </w:p>
        </w:tc>
      </w:tr>
      <w:tr>
        <w:tc>
          <w:tcPr>
            <w:tcW w:type="dxa" w:w="238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renewal_assessment</w:t>
            </w:r>
          </w:p>
        </w:tc>
        <w:tc>
          <w:tcPr>
            <w:tcW w:type="dxa" w:w="538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续费状态、证据、人工确认、确认人和日期。</w:t>
            </w:r>
          </w:p>
        </w:tc>
      </w:tr>
      <w:tr>
        <w:tc>
          <w:tcPr>
            <w:tcW w:type="dxa" w:w="238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followup_task</w:t>
            </w:r>
          </w:p>
        </w:tc>
        <w:tc>
          <w:tcPr>
            <w:tcW w:type="dxa" w:w="538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任务类型、对象、责任人、截止日期、状态、保密级别。</w:t>
            </w:r>
          </w:p>
        </w:tc>
      </w:tr>
      <w:tr>
        <w:tc>
          <w:tcPr>
            <w:tcW w:type="dxa" w:w="238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followup_record</w:t>
            </w:r>
          </w:p>
        </w:tc>
        <w:tc>
          <w:tcPr>
            <w:tcW w:type="dxa" w:w="538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沟通方式、事实摘要、结果、下一步、下次日期。</w:t>
            </w:r>
          </w:p>
        </w:tc>
      </w:tr>
      <w:tr>
        <w:tc>
          <w:tcPr>
            <w:tcW w:type="dxa" w:w="238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support_resource</w:t>
            </w:r>
          </w:p>
        </w:tc>
        <w:tc>
          <w:tcPr>
            <w:tcW w:type="dxa" w:w="538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课程、同业、理事、案例、游学等可匹配资源。</w:t>
            </w:r>
          </w:p>
        </w:tc>
      </w:tr>
      <w:tr>
        <w:tc>
          <w:tcPr>
            <w:tcW w:type="dxa" w:w="238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resource_match</w:t>
            </w:r>
          </w:p>
        </w:tc>
        <w:tc>
          <w:tcPr>
            <w:tcW w:type="dxa" w:w="538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推荐理由、执行情况和效果反馈。</w:t>
            </w:r>
          </w:p>
        </w:tc>
      </w:tr>
      <w:tr>
        <w:tc>
          <w:tcPr>
            <w:tcW w:type="dxa" w:w="238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member_insight</w:t>
            </w:r>
          </w:p>
        </w:tc>
        <w:tc>
          <w:tcPr>
            <w:tcW w:type="dxa" w:w="538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规则或AI生成的摘要、版本、证据、审核状态。</w:t>
            </w:r>
          </w:p>
        </w:tc>
      </w:tr>
      <w:tr>
        <w:tc>
          <w:tcPr>
            <w:tcW w:type="dxa" w:w="238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consent_record</w:t>
            </w:r>
          </w:p>
        </w:tc>
        <w:tc>
          <w:tcPr>
            <w:tcW w:type="dxa" w:w="538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本人授权范围、时间、撤回和用途。</w:t>
            </w:r>
          </w:p>
        </w:tc>
      </w:tr>
      <w:tr>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contact_access_log</w:t>
            </w:r>
          </w:p>
        </w:tc>
        <w:tc>
          <w:tcPr>
            <w:tcW w:type="dxa" w:w="538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完整手机号逐人查看的任务、用途、操作者、对象、时间、结果和客户端信息。</w:t>
            </w:r>
          </w:p>
        </w:tc>
      </w:tr>
      <w:tr>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visit_record</w:t>
            </w:r>
          </w:p>
        </w:tc>
        <w:tc>
          <w:tcPr>
            <w:tcW w:type="dxa" w:w="538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企业走访的预约/实际时间、参与人、地点类型、事实摘要、需求、支持、下一步和保密级别。</w:t>
            </w:r>
          </w:p>
        </w:tc>
      </w:tr>
      <w:tr>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sensitive_export_job</w:t>
            </w:r>
          </w:p>
        </w:tc>
        <w:tc>
          <w:tcPr>
            <w:tcW w:type="dxa" w:w="538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敏感导出申请、范围、字段、用途、二次确认、文件水印、到期和下载审计。</w:t>
            </w:r>
          </w:p>
        </w:tc>
      </w:tr>
    </w:tbl>
    <w:p/>
    <w:p>
      <w:pPr>
        <w:pStyle w:val="Heading2"/>
      </w:pPr>
      <w:r>
        <w:t>6.3 规则引擎先行</w:t>
      </w:r>
    </w:p>
    <w:p>
      <w:pPr>
        <w:pStyle w:val="ListBullet"/>
        <w:spacing w:before="0" w:after="60" w:line="312" w:lineRule="auto"/>
        <w:ind w:left="312" w:hanging="142"/>
      </w:pPr>
      <w:r>
        <w:rPr>
          <w:rFonts w:ascii="Noto Sans CJK SC" w:hAnsi="Noto Sans CJK SC" w:eastAsia="Noto Sans CJK SC"/>
          <w:sz w:val="20"/>
        </w:rPr>
        <w:t>首期规则以SQL/配置表达式实现，不引入难以解释的机器学习模型。</w:t>
      </w:r>
    </w:p>
    <w:p>
      <w:pPr>
        <w:pStyle w:val="ListBullet"/>
        <w:spacing w:before="0" w:after="60" w:line="312" w:lineRule="auto"/>
        <w:ind w:left="312" w:hanging="142"/>
      </w:pPr>
      <w:r>
        <w:rPr>
          <w:rFonts w:ascii="Noto Sans CJK SC" w:hAnsi="Noto Sans CJK SC" w:eastAsia="Noto Sans CJK SC"/>
          <w:sz w:val="20"/>
        </w:rPr>
        <w:t>信号只触发“需要确认/建议沟通”，不直接写成事实结论。</w:t>
      </w:r>
    </w:p>
    <w:p>
      <w:pPr>
        <w:pStyle w:val="ListBullet"/>
        <w:spacing w:before="0" w:after="60" w:line="312" w:lineRule="auto"/>
        <w:ind w:left="312" w:hanging="142"/>
      </w:pPr>
      <w:r>
        <w:rPr>
          <w:rFonts w:ascii="Noto Sans CJK SC" w:hAnsi="Noto Sans CJK SC" w:eastAsia="Noto Sans CJK SC"/>
          <w:sz w:val="20"/>
        </w:rPr>
        <w:t>每个信号保存evidence_json：活动、期间、对比基线和触发阈值。</w:t>
      </w:r>
    </w:p>
    <w:p>
      <w:pPr>
        <w:pStyle w:val="ListBullet"/>
        <w:spacing w:before="0" w:after="60" w:line="312" w:lineRule="auto"/>
        <w:ind w:left="312" w:hanging="142"/>
      </w:pPr>
      <w:r>
        <w:rPr>
          <w:rFonts w:ascii="Noto Sans CJK SC" w:hAnsi="Noto Sans CJK SC" w:eastAsia="Noto Sans CJK SC"/>
          <w:sz w:val="20"/>
        </w:rPr>
        <w:t>规则版本化，修改阈值后不覆盖历史信号。</w:t>
      </w:r>
    </w:p>
    <w:p>
      <w:pPr>
        <w:pStyle w:val="ListBullet"/>
        <w:spacing w:before="0" w:after="60" w:line="312" w:lineRule="auto"/>
        <w:ind w:left="312" w:hanging="142"/>
      </w:pPr>
      <w:r>
        <w:rPr>
          <w:rFonts w:ascii="Noto Sans CJK SC" w:hAnsi="Noto Sans CJK SC" w:eastAsia="Noto Sans CJK SC"/>
          <w:sz w:val="20"/>
        </w:rPr>
        <w:t>人工处理结果反哺规则：有效、误报、已解决、信息不足。</w:t>
      </w:r>
    </w:p>
    <w:p>
      <w:pPr>
        <w:pStyle w:val="Heading2"/>
      </w:pPr>
      <w:r>
        <w:t>6.4 AI能力边界</w:t>
      </w:r>
    </w:p>
    <w:p>
      <w:pPr>
        <w:pStyle w:val="ListBullet"/>
        <w:spacing w:before="0" w:after="60" w:line="312" w:lineRule="auto"/>
        <w:ind w:left="312" w:hanging="142"/>
      </w:pPr>
      <w:r>
        <w:rPr>
          <w:rFonts w:ascii="Noto Sans CJK SC" w:hAnsi="Noto Sans CJK SC" w:eastAsia="Noto Sans CJK SC"/>
          <w:sz w:val="20"/>
        </w:rPr>
        <w:t>允许：把已授权事实摘要成易读画像、生成沟通准备要点、推荐资源候选、生成月报草稿。</w:t>
      </w:r>
    </w:p>
    <w:p>
      <w:pPr>
        <w:pStyle w:val="ListBullet"/>
        <w:spacing w:before="0" w:after="60" w:line="312" w:lineRule="auto"/>
        <w:ind w:left="312" w:hanging="142"/>
      </w:pPr>
      <w:r>
        <w:rPr>
          <w:rFonts w:ascii="Noto Sans CJK SC" w:hAnsi="Noto Sans CJK SC" w:eastAsia="Noto Sans CJK SC"/>
          <w:sz w:val="20"/>
        </w:rPr>
        <w:t>不允许：自动评定个人价值、公开排名、自动决定续费、自动发送敏感结论。</w:t>
      </w:r>
    </w:p>
    <w:p>
      <w:pPr>
        <w:pStyle w:val="ListBullet"/>
        <w:spacing w:before="0" w:after="60" w:line="312" w:lineRule="auto"/>
        <w:ind w:left="312" w:hanging="142"/>
      </w:pPr>
      <w:r>
        <w:rPr>
          <w:rFonts w:ascii="Noto Sans CJK SC" w:hAnsi="Noto Sans CJK SC" w:eastAsia="Noto Sans CJK SC"/>
          <w:sz w:val="20"/>
        </w:rPr>
        <w:t>AI请求前进行字段裁剪和脱敏；企业精确财务值默认不进入外部模型。</w:t>
      </w:r>
    </w:p>
    <w:p>
      <w:pPr>
        <w:pStyle w:val="ListBullet"/>
        <w:spacing w:before="0" w:after="60" w:line="312" w:lineRule="auto"/>
        <w:ind w:left="312" w:hanging="142"/>
      </w:pPr>
      <w:r>
        <w:rPr>
          <w:rFonts w:ascii="Noto Sans CJK SC" w:hAnsi="Noto Sans CJK SC" w:eastAsia="Noto Sans CJK SC"/>
          <w:sz w:val="20"/>
        </w:rPr>
        <w:t>AI输出保存模型版本、提示模板版本、输入摘要哈希和人工审核状态。</w:t>
      </w:r>
    </w:p>
    <w:p>
      <w:pPr>
        <w:pStyle w:val="Heading2"/>
      </w:pPr>
      <w:r>
        <w:t>6.5 电话联系与企业走访实现</w:t>
      </w:r>
    </w:p>
    <w:p>
      <w:pPr/>
      <w:r>
        <w:t>任务渠道采用枚举WECHAT、PHONE、MEETING、ENTERPRISE_VISIT、COURSE_SUPPORT、OTHER。followup_task只保存任务和责任链，实际联系/走访保存为结构化followup_record或visit_record。</w:t>
      </w:r>
    </w:p>
    <w:p>
      <w:pPr>
        <w:pStyle w:val="ListBullet"/>
      </w:pPr>
      <w:r>
        <w:t>完整手机号不进入分析查询、列表接口、导出缓存或AI上下文。成员主数据中的手机号应采用应用层加密保存，同时维护phone_hash和phone_last4用于匹配与脱敏。</w:t>
      </w:r>
    </w:p>
    <w:p>
      <w:pPr>
        <w:pStyle w:val="ListBullet"/>
      </w:pPr>
      <w:r>
        <w:t>POST /members/{id}/contact-access接收task_id和purpose；服务端校验任务责任人、组织范围、有效期和权限后，返回短时单次展示值，并立即写contact_access_log。</w:t>
      </w:r>
    </w:p>
    <w:p>
      <w:pPr>
        <w:pStyle w:val="ListBullet"/>
      </w:pPr>
      <w:r>
        <w:t>前端完整号码只在任务详情中显示，默认60秒后重新脱敏；禁止批量接口。浏览器缓存、错误日志、埋点和网络调试信息不得记录完整号码。</w:t>
      </w:r>
    </w:p>
    <w:p>
      <w:pPr>
        <w:pStyle w:val="ListBullet"/>
      </w:pPr>
      <w:r>
        <w:t>企业走访表单默认不保存家庭住址；地点优先记录“企业/公共场所/线上/其他”及必要的企业地址。敏感事实与工作人员判断分栏保存。</w:t>
      </w:r>
    </w:p>
    <w:p>
      <w:pPr>
        <w:pStyle w:val="Heading1"/>
      </w:pPr>
      <w:r>
        <w:t>7. 活动签到与数据同步</w:t>
      </w:r>
    </w:p>
    <w:p>
      <w:pPr>
        <w:pStyle w:val="Heading2"/>
      </w:pPr>
      <w:r>
        <w:t>7.1 系统边界</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3289"/>
        <w:gridCol w:w="3289"/>
        <w:gridCol w:w="3289"/>
      </w:tblGrid>
      <w:tr>
        <w:trPr>
          <w:tblHeader w:val="true"/>
        </w:trPr>
        <w:tc>
          <w:tcPr>
            <w:tcW w:type="dxa" w:w="2268"/>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系统</w:t>
            </w:r>
          </w:p>
        </w:tc>
        <w:tc>
          <w:tcPr>
            <w:tcW w:type="dxa" w:w="2835"/>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权威数据</w:t>
            </w:r>
          </w:p>
        </w:tc>
        <w:tc>
          <w:tcPr>
            <w:tcW w:type="dxa" w:w="4252"/>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职责</w:t>
            </w:r>
          </w:p>
        </w:tc>
      </w:tr>
      <w:tr>
        <w:tc>
          <w:tcPr>
            <w:tcW w:type="dxa" w:w="226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统一平台MySQL</w:t>
            </w:r>
          </w:p>
        </w:tc>
        <w:tc>
          <w:tcPr>
            <w:tcW w:type="dxa" w:w="283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组织、成员、账户、年度计划、个人服务</w:t>
            </w:r>
          </w:p>
        </w:tc>
        <w:tc>
          <w:tcPr>
            <w:tcW w:type="dxa" w:w="4252"/>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主数据和分析。</w:t>
            </w:r>
          </w:p>
        </w:tc>
      </w:tr>
      <w:tr>
        <w:tc>
          <w:tcPr>
            <w:tcW w:type="dxa" w:w="226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签到CloudBase</w:t>
            </w:r>
          </w:p>
        </w:tc>
        <w:tc>
          <w:tcPr>
            <w:tcW w:type="dxa" w:w="2835"/>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活动现场报名和签到原始记录</w:t>
            </w:r>
          </w:p>
        </w:tc>
        <w:tc>
          <w:tcPr>
            <w:tcW w:type="dxa" w:w="4252"/>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高可用现场操作。</w:t>
            </w:r>
          </w:p>
        </w:tc>
      </w:tr>
      <w:tr>
        <w:tc>
          <w:tcPr>
            <w:tcW w:type="dxa" w:w="226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总部读书平台</w:t>
            </w:r>
          </w:p>
        </w:tc>
        <w:tc>
          <w:tcPr>
            <w:tcW w:type="dxa" w:w="2835"/>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读书打卡原始记录</w:t>
            </w:r>
          </w:p>
        </w:tc>
        <w:tc>
          <w:tcPr>
            <w:tcW w:type="dxa" w:w="4252"/>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通过快照同步。</w:t>
            </w:r>
          </w:p>
        </w:tc>
      </w:tr>
    </w:tbl>
    <w:p/>
    <w:p>
      <w:pPr>
        <w:pStyle w:val="Heading2"/>
      </w:pPr>
      <w:r>
        <w:t>7.2 同步模式</w:t>
      </w:r>
    </w:p>
    <w:p>
      <w:pPr>
        <w:pStyle w:val="ListBullet"/>
        <w:spacing w:before="0" w:after="60" w:line="312" w:lineRule="auto"/>
        <w:ind w:left="312" w:hanging="142"/>
      </w:pPr>
      <w:r>
        <w:rPr>
          <w:rFonts w:ascii="Noto Sans CJK SC" w:hAnsi="Noto Sans CJK SC" w:eastAsia="Noto Sans CJK SC"/>
          <w:sz w:val="20"/>
        </w:rPr>
        <w:t>签到→运营：事件结束或定时发送完整快照，upsert并支持replace_missing。</w:t>
      </w:r>
    </w:p>
    <w:p>
      <w:pPr>
        <w:pStyle w:val="ListBullet"/>
        <w:spacing w:before="0" w:after="60" w:line="312" w:lineRule="auto"/>
        <w:ind w:left="312" w:hanging="142"/>
      </w:pPr>
      <w:r>
        <w:rPr>
          <w:rFonts w:ascii="Noto Sans CJK SC" w:hAnsi="Noto Sans CJK SC" w:eastAsia="Noto Sans CJK SC"/>
          <w:sz w:val="20"/>
        </w:rPr>
        <w:t>运营→签到：按组织和班级提供当前有效名册，只读调用。</w:t>
      </w:r>
    </w:p>
    <w:p>
      <w:pPr>
        <w:pStyle w:val="ListBullet"/>
        <w:spacing w:before="0" w:after="60" w:line="312" w:lineRule="auto"/>
        <w:ind w:left="312" w:hanging="142"/>
      </w:pPr>
      <w:r>
        <w:rPr>
          <w:rFonts w:ascii="Noto Sans CJK SC" w:hAnsi="Noto Sans CJK SC" w:eastAsia="Noto Sans CJK SC"/>
          <w:sz w:val="20"/>
        </w:rPr>
        <w:t>同步必须幂等：使用source_system+external_id唯一键。</w:t>
      </w:r>
    </w:p>
    <w:p>
      <w:pPr>
        <w:pStyle w:val="ListBullet"/>
        <w:spacing w:before="0" w:after="60" w:line="312" w:lineRule="auto"/>
        <w:ind w:left="312" w:hanging="142"/>
      </w:pPr>
      <w:r>
        <w:rPr>
          <w:rFonts w:ascii="Noto Sans CJK SC" w:hAnsi="Noto Sans CJK SC" w:eastAsia="Noto Sans CJK SC"/>
          <w:sz w:val="20"/>
        </w:rPr>
        <w:t>未匹配成员进入unmatched队列，不以姓名直接创建重复成员。</w:t>
      </w:r>
    </w:p>
    <w:p>
      <w:pPr>
        <w:pStyle w:val="ListBullet"/>
        <w:spacing w:before="0" w:after="60" w:line="312" w:lineRule="auto"/>
        <w:ind w:left="312" w:hanging="142"/>
      </w:pPr>
      <w:r>
        <w:rPr>
          <w:rFonts w:ascii="Noto Sans CJK SC" w:hAnsi="Noto Sans CJK SC" w:eastAsia="Noto Sans CJK SC"/>
          <w:sz w:val="20"/>
        </w:rPr>
        <w:t>失败重试、处理计数、异常信息和源更新时间进入同步日志。</w:t>
      </w:r>
    </w:p>
    <w:p>
      <w:pPr>
        <w:pStyle w:val="ListBullet"/>
        <w:spacing w:before="0" w:after="60" w:line="312" w:lineRule="auto"/>
        <w:ind w:left="312" w:hanging="142"/>
      </w:pPr>
      <w:r>
        <w:rPr>
          <w:rFonts w:ascii="Noto Sans CJK SC" w:hAnsi="Noto Sans CJK SC" w:eastAsia="Noto Sans CJK SC"/>
          <w:sz w:val="20"/>
        </w:rPr>
        <w:t>统一门户迁移签到管理功能时，通过platform-api代理调用CloudBase管理接口或新建受保护服务接口。</w:t>
      </w:r>
    </w:p>
    <w:p>
      <w:pPr>
        <w:pStyle w:val="Heading2"/>
      </w:pPr>
      <w:r>
        <w:t>7.3 现场独立性</w:t>
      </w:r>
    </w:p>
    <w:tbl>
      <w:tblPr>
        <w:tblW w:type="auto" w:w="0"/>
        <w:jc w:val="center"/>
        <w:tblLook w:firstColumn="1" w:firstRow="1" w:lastColumn="0" w:lastRow="0" w:noHBand="0" w:noVBand="1" w:val="04A0"/>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866"/>
      </w:tblGrid>
      <w:tr>
        <w:tc>
          <w:tcPr>
            <w:tcW w:type="dxa" w:w="9866"/>
            <w:shd w:fill="FDECEC"/>
            <w:tcMar>
              <w:top w:w="150" w:type="dxa"/>
              <w:start w:w="160" w:type="dxa"/>
              <w:bottom w:w="150" w:type="dxa"/>
              <w:end w:w="160" w:type="dxa"/>
            </w:tcMar>
          </w:tcPr>
          <w:p>
            <w:r>
              <w:rPr>
                <w:rFonts w:ascii="Noto Sans CJK SC" w:hAnsi="Noto Sans CJK SC" w:eastAsia="Noto Sans CJK SC"/>
                <w:b/>
                <w:color w:val="A94442"/>
                <w:sz w:val="20"/>
              </w:rPr>
              <w:t>不可破坏约束：</w:t>
            </w:r>
            <w:r>
              <w:rPr>
                <w:rFonts w:ascii="Noto Sans CJK SC" w:hAnsi="Noto Sans CJK SC" w:eastAsia="Noto Sans CJK SC"/>
                <w:color w:val="A94442"/>
                <w:sz w:val="20"/>
              </w:rPr>
              <w:t>即使统一平台或MySQL短时不可用，已创建活动的扫码签到仍应在CloudBase独立完成；同步可以延迟，但现场不能中断。</w:t>
            </w:r>
          </w:p>
        </w:tc>
      </w:tr>
    </w:tbl>
    <w:p/>
    <w:p>
      <w:pPr>
        <w:pStyle w:val="Heading1"/>
      </w:pPr>
      <w:r>
        <w:t>8. 数据库设计</w:t>
      </w:r>
    </w:p>
    <w:p>
      <w:pPr>
        <w:pStyle w:val="Heading2"/>
      </w:pPr>
      <w:r>
        <w:t>8.1 现有表复用与升级</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blHeader w:val="true"/>
        </w:trPr>
        <w:tc>
          <w:tcPr>
            <w:tcW w:type="dxa" w:w="2721"/>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t>现有表/能力</w:t>
            </w:r>
          </w:p>
        </w:tc>
        <w:tc>
          <w:tcPr>
            <w:tcW w:type="dxa" w:w="5046"/>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t>处理建议</w:t>
            </w:r>
          </w:p>
        </w:tc>
      </w:tr>
      <w:tr>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members、companies、活动和读书事实表</w:t>
            </w:r>
          </w:p>
        </w:tc>
        <w:tc>
          <w:tcPr>
            <w:tcW w:type="dxa" w:w="504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继续复用，但逐步补充org_unit_id、发展归属、敏感级别；手机号迁移为加密值+哈希+后四位，禁止分析表保留明文。</w:t>
            </w:r>
          </w:p>
        </w:tc>
      </w:tr>
      <w:tr>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5"/>
              </w:rPr>
              <w:t>org_units、org_positions、member_org_assignments</w:t>
            </w:r>
          </w:p>
        </w:tc>
        <w:tc>
          <w:tcPr>
            <w:tcW w:type="dxa" w:w="504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5"/>
              </w:rPr>
              <w:t>作为组织和任职主模型。</w:t>
            </w:r>
          </w:p>
        </w:tc>
      </w:tr>
      <w:tr>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cohorts、member_cohort_enrollments</w:t>
            </w:r>
          </w:p>
        </w:tc>
        <w:tc>
          <w:tcPr>
            <w:tcW w:type="dxa" w:w="504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5"/>
              </w:rPr>
              <w:t>用于黄埔班以外的特殊班/跨组织项目；黄埔班若为正式直属班级则用org_units。</w:t>
            </w:r>
          </w:p>
        </w:tc>
      </w:tr>
      <w:tr>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5"/>
              </w:rPr>
              <w:t>annual_kpi_values、mp_kpi_values</w:t>
            </w:r>
          </w:p>
        </w:tc>
        <w:tc>
          <w:tcPr>
            <w:tcW w:type="dxa" w:w="504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5"/>
              </w:rPr>
              <w:t>保留兼容读取，迁移至新版plan/metric模型后逐步只读。</w:t>
            </w:r>
          </w:p>
        </w:tc>
      </w:tr>
      <w:tr>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portal_users、portal_roles、user_data_scopes</w:t>
            </w:r>
          </w:p>
        </w:tc>
        <w:tc>
          <w:tcPr>
            <w:tcW w:type="dxa" w:w="504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5"/>
              </w:rPr>
              <w:t>迁移到多角色IAM模型，保留旧登录过渡。</w:t>
            </w:r>
          </w:p>
        </w:tc>
      </w:tr>
      <w:tr>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5"/>
              </w:rPr>
              <w:t>suggestions_log</w:t>
            </w:r>
          </w:p>
        </w:tc>
        <w:tc>
          <w:tcPr>
            <w:tcW w:type="dxa" w:w="504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5"/>
              </w:rPr>
              <w:t>可迁移为member_insight，但需要增加证据、版本和审核状态。</w:t>
            </w:r>
          </w:p>
        </w:tc>
      </w:tr>
    </w:tbl>
    <w:p/>
    <w:p>
      <w:pPr>
        <w:pStyle w:val="Heading2"/>
      </w:pPr>
      <w:r>
        <w:t>8.2 新增核心表</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blHeader w:val="true"/>
        </w:trPr>
        <w:tc>
          <w:tcPr>
            <w:tcW w:type="dxa" w:w="2154"/>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表组</w:t>
            </w:r>
          </w:p>
        </w:tc>
        <w:tc>
          <w:tcPr>
            <w:tcW w:type="dxa" w:w="5613"/>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用途</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app_users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统一账户</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roles / permissions / user_roles / role_permissions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多角色权限</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data_scope_grants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组织数据范围</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metric_definitions / metric_versions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指标及年度口径</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annual_plans / plan_metrics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年度方案</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org_metric_targets / metric_period_values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组织目标和期间值</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metric_calculation_runs / metric_overrides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计算和人工覆盖</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annual_actions / action_milestones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重点行动</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member_enterprise_profiles / member_needs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企业与需求</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member_signals / renewal_assessments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可解释信号与续费状态</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followup_tasks / followup_records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关怀闭环</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support_resources / resource_matches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资源匹配</w:t>
            </w:r>
          </w:p>
        </w:tc>
      </w:tr>
      <w:tr>
        <w:tc>
          <w:tcPr>
            <w:tcW w:type="dxa" w:w="215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consent_records / sensitive_access_logs</w:t>
            </w:r>
          </w:p>
        </w:tc>
        <w:tc>
          <w:tcPr>
            <w:tcW w:type="dxa" w:w="561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授权与敏感访问</w:t>
            </w:r>
          </w:p>
        </w:tc>
      </w:tr>
      <w:tr>
        <w:tc>
          <w:tcPr>
            <w:tcW w:type="dxa" w:w="215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audit_logs</w:t>
            </w:r>
          </w:p>
        </w:tc>
        <w:tc>
          <w:tcPr>
            <w:tcW w:type="dxa" w:w="561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统一审计</w:t>
            </w:r>
          </w:p>
        </w:tc>
      </w:tr>
      <w:tr>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联系与走访</w:t>
            </w:r>
          </w:p>
        </w:tc>
        <w:tc>
          <w:tcPr>
            <w:tcW w:type="dxa" w:w="5613"/>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contact_access_logs, visit_records, followup_tasks, followup_records</w:t>
            </w:r>
          </w:p>
        </w:tc>
      </w:tr>
      <w:tr>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敏感导出</w:t>
            </w:r>
          </w:p>
        </w:tc>
        <w:tc>
          <w:tcPr>
            <w:tcW w:type="dxa" w:w="5613"/>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sensitive_export_jobs, export_download_logs</w:t>
            </w:r>
          </w:p>
        </w:tc>
      </w:tr>
    </w:tbl>
    <w:p/>
    <w:p>
      <w:pPr>
        <w:pStyle w:val="Heading2"/>
      </w:pPr>
      <w:r>
        <w:t>8.3 关键数据库约束</w:t>
      </w:r>
    </w:p>
    <w:p>
      <w:pPr>
        <w:pStyle w:val="ListBullet"/>
        <w:spacing w:before="0" w:after="60" w:line="312" w:lineRule="auto"/>
        <w:ind w:left="312" w:hanging="142"/>
      </w:pPr>
      <w:r>
        <w:rPr>
          <w:rFonts w:ascii="Noto Sans CJK SC" w:hAnsi="Noto Sans CJK SC" w:eastAsia="Noto Sans CJK SC"/>
          <w:sz w:val="20"/>
        </w:rPr>
        <w:t>成员唯一性优先使用member_code/手机号哈希/外部标识组合，不仅依赖姓名。</w:t>
      </w:r>
    </w:p>
    <w:p>
      <w:pPr>
        <w:pStyle w:val="ListBullet"/>
        <w:spacing w:before="0" w:after="60" w:line="312" w:lineRule="auto"/>
        <w:ind w:left="312" w:hanging="142"/>
      </w:pPr>
      <w:r>
        <w:rPr>
          <w:rFonts w:ascii="Noto Sans CJK SC" w:hAnsi="Noto Sans CJK SC" w:eastAsia="Noto Sans CJK SC"/>
          <w:sz w:val="20"/>
        </w:rPr>
        <w:t>组织目标唯一键至少包含plan_id、org_unit_id、metric_version_id。</w:t>
      </w:r>
    </w:p>
    <w:p>
      <w:pPr>
        <w:pStyle w:val="ListBullet"/>
        <w:spacing w:before="0" w:after="60" w:line="312" w:lineRule="auto"/>
        <w:ind w:left="312" w:hanging="142"/>
      </w:pPr>
      <w:r>
        <w:rPr>
          <w:rFonts w:ascii="Noto Sans CJK SC" w:hAnsi="Noto Sans CJK SC" w:eastAsia="Noto Sans CJK SC"/>
          <w:sz w:val="20"/>
        </w:rPr>
        <w:t>期间值唯一键包含target_id、period_type、period_no、value_type。</w:t>
      </w:r>
    </w:p>
    <w:p>
      <w:pPr>
        <w:pStyle w:val="ListBullet"/>
        <w:spacing w:before="0" w:after="60" w:line="312" w:lineRule="auto"/>
        <w:ind w:left="312" w:hanging="142"/>
      </w:pPr>
      <w:r>
        <w:rPr>
          <w:rFonts w:ascii="Noto Sans CJK SC" w:hAnsi="Noto Sans CJK SC" w:eastAsia="Noto Sans CJK SC"/>
          <w:sz w:val="20"/>
        </w:rPr>
        <w:t>所有历史关系和敏感记录采用逻辑失效或有效期，不直接物理删除。</w:t>
      </w:r>
    </w:p>
    <w:p>
      <w:pPr>
        <w:pStyle w:val="ListBullet"/>
        <w:spacing w:before="0" w:after="60" w:line="312" w:lineRule="auto"/>
        <w:ind w:left="312" w:hanging="142"/>
      </w:pPr>
      <w:r>
        <w:rPr>
          <w:rFonts w:ascii="Noto Sans CJK SC" w:hAnsi="Noto Sans CJK SC" w:eastAsia="Noto Sans CJK SC"/>
          <w:sz w:val="20"/>
        </w:rPr>
        <w:t>金额和比例使用DECIMAL，不使用浮点数保存需要精确核对的财务值。</w:t>
      </w:r>
    </w:p>
    <w:p>
      <w:pPr>
        <w:pStyle w:val="ListBullet"/>
        <w:spacing w:before="0" w:after="60" w:line="312" w:lineRule="auto"/>
        <w:ind w:left="312" w:hanging="142"/>
      </w:pPr>
      <w:r>
        <w:rPr>
          <w:rFonts w:ascii="Noto Sans CJK SC" w:hAnsi="Noto Sans CJK SC" w:eastAsia="Noto Sans CJK SC"/>
          <w:sz w:val="20"/>
        </w:rPr>
        <w:t>JSON只用于证据、快照和可变扩展字段，核心筛选字段保持结构化。</w:t>
      </w:r>
    </w:p>
    <w:p>
      <w:pPr>
        <w:pStyle w:val="ListBullet"/>
      </w:pPr>
      <w:r>
        <w:t>手机号加密密钥不得写入代码仓库；使用腾讯云密钥服务或独立生产环境密钥，并支持轮换。phone_hash仅用于精确匹配，不可反向还原。</w:t>
      </w:r>
    </w:p>
    <w:p>
      <w:pPr>
        <w:pStyle w:val="ListBullet"/>
      </w:pPr>
      <w:r>
        <w:t>分析库、缓存表和搜索索引只保留member_id、phone_hash、phone_last4和masked_phone；禁止同步完整手机号。</w:t>
      </w:r>
    </w:p>
    <w:p>
      <w:pPr>
        <w:pStyle w:val="ListBullet"/>
      </w:pPr>
      <w:r>
        <w:t>敏感导出文件必须加水印和到期时间，下载后仍保留审计；临时文件到期自动删除。</w:t>
      </w:r>
    </w:p>
    <w:p>
      <w:pPr>
        <w:pStyle w:val="Heading1"/>
      </w:pPr>
      <w:r>
        <w:t>9. API设计规范</w:t>
      </w:r>
    </w:p>
    <w:p>
      <w:pPr>
        <w:pStyle w:val="Heading2"/>
      </w:pPr>
      <w:r>
        <w:t>9.1 通用规范</w:t>
      </w:r>
    </w:p>
    <w:p>
      <w:pPr>
        <w:pStyle w:val="ListBullet"/>
        <w:spacing w:before="0" w:after="60" w:line="312" w:lineRule="auto"/>
        <w:ind w:left="312" w:hanging="142"/>
      </w:pPr>
      <w:r>
        <w:rPr>
          <w:rFonts w:ascii="Noto Sans CJK SC" w:hAnsi="Noto Sans CJK SC" w:eastAsia="Noto Sans CJK SC"/>
          <w:sz w:val="20"/>
        </w:rPr>
        <w:t>统一前缀/api/v1；资源名使用复数；OpenAPI作为前后端契约。</w:t>
      </w:r>
    </w:p>
    <w:p>
      <w:pPr>
        <w:pStyle w:val="ListBullet"/>
        <w:spacing w:before="0" w:after="60" w:line="312" w:lineRule="auto"/>
        <w:ind w:left="312" w:hanging="142"/>
      </w:pPr>
      <w:r>
        <w:rPr>
          <w:rFonts w:ascii="Noto Sans CJK SC" w:hAnsi="Noto Sans CJK SC" w:eastAsia="Noto Sans CJK SC"/>
          <w:sz w:val="20"/>
        </w:rPr>
        <w:t>用户认证使用Authorization: Bearer；服务间调用使用独立X-API-Key或服务令牌。</w:t>
      </w:r>
    </w:p>
    <w:p>
      <w:pPr>
        <w:pStyle w:val="ListBullet"/>
        <w:spacing w:before="0" w:after="60" w:line="312" w:lineRule="auto"/>
        <w:ind w:left="312" w:hanging="142"/>
      </w:pPr>
      <w:r>
        <w:rPr>
          <w:rFonts w:ascii="Noto Sans CJK SC" w:hAnsi="Noto Sans CJK SC" w:eastAsia="Noto Sans CJK SC"/>
          <w:sz w:val="20"/>
        </w:rPr>
        <w:t>响应包含data、meta、request_id；错误包含code、message、details。</w:t>
      </w:r>
    </w:p>
    <w:p>
      <w:pPr>
        <w:pStyle w:val="ListBullet"/>
        <w:spacing w:before="0" w:after="60" w:line="312" w:lineRule="auto"/>
        <w:ind w:left="312" w:hanging="142"/>
      </w:pPr>
      <w:r>
        <w:rPr>
          <w:rFonts w:ascii="Noto Sans CJK SC" w:hAnsi="Noto Sans CJK SC" w:eastAsia="Noto Sans CJK SC"/>
          <w:sz w:val="20"/>
        </w:rPr>
        <w:t>分页使用page/page_size或cursor；筛选明确组织范围和期间。</w:t>
      </w:r>
    </w:p>
    <w:p>
      <w:pPr>
        <w:pStyle w:val="ListBullet"/>
        <w:spacing w:before="0" w:after="60" w:line="312" w:lineRule="auto"/>
        <w:ind w:left="312" w:hanging="142"/>
      </w:pPr>
      <w:r>
        <w:rPr>
          <w:rFonts w:ascii="Noto Sans CJK SC" w:hAnsi="Noto Sans CJK SC" w:eastAsia="Noto Sans CJK SC"/>
          <w:sz w:val="20"/>
        </w:rPr>
        <w:t>写操作支持Idempotency-Key，导入/计算任务返回job_id。</w:t>
      </w:r>
    </w:p>
    <w:p>
      <w:pPr>
        <w:pStyle w:val="ListBullet"/>
        <w:spacing w:before="0" w:after="60" w:line="312" w:lineRule="auto"/>
        <w:ind w:left="312" w:hanging="142"/>
      </w:pPr>
      <w:r>
        <w:rPr>
          <w:rFonts w:ascii="Noto Sans CJK SC" w:hAnsi="Noto Sans CJK SC" w:eastAsia="Noto Sans CJK SC"/>
          <w:sz w:val="20"/>
        </w:rPr>
        <w:t>敏感字段根据AuthorizationContext裁剪，不只在前端遮罩。</w:t>
      </w:r>
    </w:p>
    <w:p>
      <w:pPr>
        <w:pStyle w:val="ListBullet"/>
      </w:pPr>
      <w:r>
        <w:t>完整手机号使用独立的POST授权接口按对象逐次获取，不通过GET列表接口、批量字段或普通成员详情返回。</w:t>
      </w:r>
    </w:p>
    <w:p>
      <w:pPr>
        <w:pStyle w:val="ListBullet"/>
      </w:pPr>
      <w:r>
        <w:t>导出采用异步任务；include_sensitive默认为false。请求敏感导出必须具备SENSITIVE_EXPORT权限、填写purpose并完成二次确认。</w:t>
      </w:r>
    </w:p>
    <w:p>
      <w:pPr>
        <w:pStyle w:val="Heading2"/>
      </w:pPr>
      <w:r>
        <w:t>9.2 响应示例</w:t>
      </w:r>
    </w:p>
    <w:p>
      <w:pPr>
        <w:pStyle w:val="CodeBlock"/>
        <w:keepLines/>
        <w:shd w:fill="F5F8F6"/>
      </w:pPr>
      <w:r>
        <w:rPr>
          <w:rFonts w:ascii="DejaVu Sans Mono" w:hAnsi="DejaVu Sans Mono" w:eastAsia="DejaVu Sans Mono"/>
          <w:b w:val="0"/>
          <w:color w:val="174B3A"/>
          <w:sz w:val="16"/>
        </w:rPr>
        <w:t>{</w:t>
        <w:br/>
        <w:t xml:space="preserve">  "data": { ... },</w:t>
        <w:br/>
        <w:t xml:space="preserve">  "meta": { "request_id": "...", "generated_at": "..." }</w:t>
        <w:br/>
        <w:t>}</w:t>
        <w:br/>
        <w:br/>
        <w:t>{</w:t>
        <w:br/>
        <w:t xml:space="preserve">  "error": {</w:t>
        <w:br/>
        <w:t xml:space="preserve">    "code": "METRIC_DENOMINATOR_MISSING",</w:t>
        <w:br/>
        <w:t xml:space="preserve">    "message": "缺少有效分母，无法计算参与率",</w:t>
        <w:br/>
        <w:t xml:space="preserve">    "details": { "metric_key": "class_meeting_rate" }</w:t>
        <w:br/>
        <w:t xml:space="preserve">  }</w:t>
        <w:br/>
        <w:t>}</w:t>
      </w:r>
    </w:p>
    <w:p>
      <w:pPr>
        <w:pStyle w:val="Heading1"/>
      </w:pPr>
      <w:r>
        <w:t>10. 前端信息架构</w:t>
      </w:r>
    </w:p>
    <w:p>
      <w:pPr>
        <w:pStyle w:val="Heading2"/>
      </w:pPr>
      <w:r>
        <w:t>10.1 菜单结构</w:t>
      </w:r>
    </w:p>
    <w:p>
      <w:pPr>
        <w:pStyle w:val="CodeBlock"/>
        <w:keepLines/>
        <w:shd w:fill="F5F8F6"/>
      </w:pPr>
      <w:r>
        <w:rPr>
          <w:rFonts w:ascii="DejaVu Sans Mono" w:hAnsi="DejaVu Sans Mono" w:eastAsia="DejaVu Sans Mono"/>
          <w:b w:val="0"/>
          <w:color w:val="174B3A"/>
          <w:sz w:val="16"/>
        </w:rPr>
        <w:t>首页</w:t>
        <w:br/>
        <w:t>├── 我的工作台</w:t>
        <w:br/>
        <w:t>├── 苏州塾/分中心总览</w:t>
        <w:br/>
        <w:t>年度MP</w:t>
        <w:br/>
        <w:t>├── 年度方案</w:t>
        <w:br/>
        <w:t>├── 指标与目标分解</w:t>
        <w:br/>
        <w:t>├── 月度预定与实绩</w:t>
        <w:br/>
        <w:t>├── 重点行动</w:t>
        <w:br/>
        <w:t>└── 复盘与对比</w:t>
        <w:br/>
        <w:t>发展建设</w:t>
        <w:br/>
        <w:t>├── 学长全景</w:t>
        <w:br/>
        <w:t>├── 个人画像</w:t>
        <w:br/>
        <w:t>├── 关怀与跟进</w:t>
        <w:br/>
        <w:t>├── 续费与留存</w:t>
        <w:br/>
        <w:t>├── 企业需求</w:t>
        <w:br/>
        <w:t>└── 资源匹配</w:t>
        <w:br/>
        <w:t>活动与签到</w:t>
        <w:br/>
        <w:t>├── 活动列表</w:t>
        <w:br/>
        <w:t>├── 报名与现场</w:t>
        <w:br/>
        <w:t>└── 参会分析</w:t>
        <w:br/>
        <w:t>组织与成员</w:t>
        <w:br/>
        <w:t>├── 组织树</w:t>
        <w:br/>
        <w:t>├── 学长名册</w:t>
        <w:br/>
        <w:t>├── 任职与账户</w:t>
        <w:br/>
        <w:t>└── 组织导入</w:t>
        <w:br/>
        <w:t>数据与系统</w:t>
        <w:br/>
        <w:t>├── 数据导入/同步</w:t>
        <w:br/>
        <w:t>├── 计算明细</w:t>
        <w:br/>
        <w:t>├── 权限管理</w:t>
        <w:br/>
        <w:t>└── 审计日志</w:t>
      </w:r>
    </w:p>
    <w:p>
      <w:pPr>
        <w:pStyle w:val="Heading2"/>
      </w:pPr>
      <w:r>
        <w:t>10.2 组件设计</w:t>
      </w:r>
    </w:p>
    <w:p>
      <w:pPr>
        <w:pStyle w:val="ListBullet"/>
        <w:spacing w:before="0" w:after="60" w:line="312" w:lineRule="auto"/>
        <w:ind w:left="312" w:hanging="142"/>
      </w:pPr>
      <w:r>
        <w:rPr>
          <w:rFonts w:ascii="Noto Sans CJK SC" w:hAnsi="Noto Sans CJK SC" w:eastAsia="Noto Sans CJK SC"/>
          <w:sz w:val="20"/>
        </w:rPr>
        <w:t>OrganizationScopeSelector：统一组织范围选择器。</w:t>
      </w:r>
    </w:p>
    <w:p>
      <w:pPr>
        <w:pStyle w:val="ListBullet"/>
        <w:spacing w:before="0" w:after="60" w:line="312" w:lineRule="auto"/>
        <w:ind w:left="312" w:hanging="142"/>
      </w:pPr>
      <w:r>
        <w:rPr>
          <w:rFonts w:ascii="Noto Sans CJK SC" w:hAnsi="Noto Sans CJK SC" w:eastAsia="Noto Sans CJK SC"/>
          <w:sz w:val="20"/>
        </w:rPr>
        <w:t>MetricCard/MetricTrend/MetricDrilldown：指标卡、趋势和下钻。</w:t>
      </w:r>
    </w:p>
    <w:p>
      <w:pPr>
        <w:pStyle w:val="ListBullet"/>
        <w:spacing w:before="0" w:after="60" w:line="312" w:lineRule="auto"/>
        <w:ind w:left="312" w:hanging="142"/>
      </w:pPr>
      <w:r>
        <w:rPr>
          <w:rFonts w:ascii="Noto Sans CJK SC" w:hAnsi="Noto Sans CJK SC" w:eastAsia="Noto Sans CJK SC"/>
          <w:sz w:val="20"/>
        </w:rPr>
        <w:t>PlanMatrix：年度目标×组织矩阵，支持差额提示。</w:t>
      </w:r>
    </w:p>
    <w:p>
      <w:pPr>
        <w:pStyle w:val="ListBullet"/>
        <w:spacing w:before="0" w:after="60" w:line="312" w:lineRule="auto"/>
        <w:ind w:left="312" w:hanging="142"/>
      </w:pPr>
      <w:r>
        <w:rPr>
          <w:rFonts w:ascii="Noto Sans CJK SC" w:hAnsi="Noto Sans CJK SC" w:eastAsia="Noto Sans CJK SC"/>
          <w:sz w:val="20"/>
        </w:rPr>
        <w:t>MemberTimeline：个人参与、沟通、支持和状态时间线。</w:t>
      </w:r>
    </w:p>
    <w:p>
      <w:pPr>
        <w:pStyle w:val="ListBullet"/>
        <w:spacing w:before="0" w:after="60" w:line="312" w:lineRule="auto"/>
        <w:ind w:left="312" w:hanging="142"/>
      </w:pPr>
      <w:r>
        <w:rPr>
          <w:rFonts w:ascii="Noto Sans CJK SC" w:hAnsi="Noto Sans CJK SC" w:eastAsia="Noto Sans CJK SC"/>
          <w:sz w:val="20"/>
        </w:rPr>
        <w:t>SignalEvidencePanel：显示规则证据和人工处理。</w:t>
      </w:r>
    </w:p>
    <w:p>
      <w:pPr>
        <w:pStyle w:val="ListBullet"/>
        <w:spacing w:before="0" w:after="60" w:line="312" w:lineRule="auto"/>
        <w:ind w:left="312" w:hanging="142"/>
      </w:pPr>
      <w:r>
        <w:rPr>
          <w:rFonts w:ascii="Noto Sans CJK SC" w:hAnsi="Noto Sans CJK SC" w:eastAsia="Noto Sans CJK SC"/>
          <w:sz w:val="20"/>
        </w:rPr>
        <w:t>SensitiveField：按权限显示、脱敏或隐藏。</w:t>
      </w:r>
    </w:p>
    <w:p>
      <w:pPr>
        <w:pStyle w:val="ListBullet"/>
        <w:spacing w:before="0" w:after="60" w:line="312" w:lineRule="auto"/>
        <w:ind w:left="312" w:hanging="142"/>
      </w:pPr>
      <w:r>
        <w:rPr>
          <w:rFonts w:ascii="Noto Sans CJK SC" w:hAnsi="Noto Sans CJK SC" w:eastAsia="Noto Sans CJK SC"/>
          <w:sz w:val="20"/>
        </w:rPr>
        <w:t>ImportPreview：导入差异、冲突、错误和确认。</w:t>
      </w:r>
    </w:p>
    <w:p>
      <w:pPr>
        <w:pStyle w:val="ListBullet"/>
        <w:spacing w:before="0" w:after="60" w:line="312" w:lineRule="auto"/>
        <w:ind w:left="312" w:hanging="142"/>
      </w:pPr>
      <w:r>
        <w:rPr>
          <w:rFonts w:ascii="Noto Sans CJK SC" w:hAnsi="Noto Sans CJK SC" w:eastAsia="Noto Sans CJK SC"/>
          <w:sz w:val="20"/>
        </w:rPr>
        <w:t>AuditDrawer：查看值的来源、计算和变更。</w:t>
      </w:r>
    </w:p>
    <w:p>
      <w:pPr>
        <w:pStyle w:val="ListBullet"/>
      </w:pPr>
      <w:r>
        <w:t>ContactAccessButton：仅在有效关怀任务中出现，填写用途后短时显示完整手机号并自动恢复脱敏。</w:t>
      </w:r>
    </w:p>
    <w:p>
      <w:pPr>
        <w:pStyle w:val="ListBullet"/>
      </w:pPr>
      <w:r>
        <w:t>VisitRecordForm：结构化记录预约、走访事实、本人需求、支持和下一步，控制保密级别。</w:t>
      </w:r>
    </w:p>
    <w:p>
      <w:pPr>
        <w:pStyle w:val="ListBullet"/>
      </w:pPr>
      <w:r>
        <w:t>ExportGuard：预览导出字段和脱敏结果；非最高权限不显示“含敏感字段”选项。</w:t>
      </w:r>
    </w:p>
    <w:p>
      <w:pPr>
        <w:pStyle w:val="Heading1"/>
      </w:pPr>
      <w:r>
        <w:t>11. 安全、隐私与审计</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blHeader w:val="true"/>
        </w:trPr>
        <w:tc>
          <w:tcPr>
            <w:tcW w:type="dxa" w:w="1531"/>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领域</w:t>
            </w:r>
          </w:p>
        </w:tc>
        <w:tc>
          <w:tcPr>
            <w:tcW w:type="dxa" w:w="6236"/>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要求</w:t>
            </w:r>
          </w:p>
        </w:tc>
      </w:tr>
      <w:tr>
        <w:tc>
          <w:tcPr>
            <w:tcW w:type="dxa" w:w="153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认证</w:t>
            </w:r>
          </w:p>
        </w:tc>
        <w:tc>
          <w:tcPr>
            <w:tcW w:type="dxa" w:w="623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密码使用Argon2/bcrypt；短期访问令牌+刷新令牌；支持停用和强制退出。</w:t>
            </w:r>
          </w:p>
        </w:tc>
      </w:tr>
      <w:tr>
        <w:tc>
          <w:tcPr>
            <w:tcW w:type="dxa" w:w="153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授权</w:t>
            </w:r>
          </w:p>
        </w:tc>
        <w:tc>
          <w:tcPr>
            <w:tcW w:type="dxa" w:w="623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服务端RBAC+组织数据范围+敏感字段权限。</w:t>
            </w:r>
          </w:p>
        </w:tc>
      </w:tr>
      <w:tr>
        <w:tc>
          <w:tcPr>
            <w:tcW w:type="dxa" w:w="153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接口</w:t>
            </w:r>
          </w:p>
        </w:tc>
        <w:tc>
          <w:tcPr>
            <w:tcW w:type="dxa" w:w="623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限制CORS来源；CSRF/重放防护；登录和导出限速。</w:t>
            </w:r>
          </w:p>
        </w:tc>
      </w:tr>
      <w:tr>
        <w:tc>
          <w:tcPr>
            <w:tcW w:type="dxa" w:w="153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密钥</w:t>
            </w:r>
          </w:p>
        </w:tc>
        <w:tc>
          <w:tcPr>
            <w:tcW w:type="dxa" w:w="623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API Key和数据库密码只存环境变量/密钥服务，不写仓库。</w:t>
            </w:r>
          </w:p>
        </w:tc>
      </w:tr>
      <w:tr>
        <w:tc>
          <w:tcPr>
            <w:tcW w:type="dxa" w:w="153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数据</w:t>
            </w:r>
          </w:p>
        </w:tc>
        <w:tc>
          <w:tcPr>
            <w:tcW w:type="dxa" w:w="623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传输HTTPS；备份加密；手机号应用层加密、分析端只保留哈希/后四位/脱敏值；企业敏感数据分级。</w:t>
            </w:r>
          </w:p>
        </w:tc>
      </w:tr>
      <w:tr>
        <w:tc>
          <w:tcPr>
            <w:tcW w:type="dxa" w:w="153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审计</w:t>
            </w:r>
          </w:p>
        </w:tc>
        <w:tc>
          <w:tcPr>
            <w:tcW w:type="dxa" w:w="623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登录、敏感字段逐人查看、电话/走访、导出、角色变更、目标修改、覆盖和AI建议审核均可追溯。</w:t>
            </w:r>
          </w:p>
        </w:tc>
      </w:tr>
      <w:tr>
        <w:tc>
          <w:tcPr>
            <w:tcW w:type="dxa" w:w="153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隐私</w:t>
            </w:r>
          </w:p>
        </w:tc>
        <w:tc>
          <w:tcPr>
            <w:tcW w:type="dxa" w:w="6236"/>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用途说明、同意记录、更正、撤回、保留期限和最小可见范围。</w:t>
            </w:r>
          </w:p>
        </w:tc>
      </w:tr>
      <w:tr>
        <w:tc>
          <w:tcPr>
            <w:tcW w:type="dxa" w:w="153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现场签到</w:t>
            </w:r>
          </w:p>
        </w:tc>
        <w:tc>
          <w:tcPr>
            <w:tcW w:type="dxa" w:w="6236"/>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避免在响应中泄露完整手机号；错误信息不暴露他人报名信息。</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导出</w:t>
            </w:r>
          </w:p>
        </w:tc>
        <w:tc>
          <w:tcPr>
            <w:tcW w:type="dxa" w:w="623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普通导出强制脱敏；敏感导出仅数据安全管理员，需用途、二次确认、水印、限时下载和审计。</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日志与AI</w:t>
            </w:r>
          </w:p>
        </w:tc>
        <w:tc>
          <w:tcPr>
            <w:tcW w:type="dxa" w:w="623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日志、监控、缓存和AI输入不得包含完整手机号、精确财务或无关关怀备注。</w:t>
            </w:r>
          </w:p>
        </w:tc>
      </w:tr>
    </w:tbl>
    <w:p/>
    <w:tbl>
      <w:tblPr>
        <w:tblW w:type="auto" w:w="0"/>
        <w:jc w:val="center"/>
        <w:tblLook w:firstColumn="1" w:firstRow="1" w:lastColumn="0" w:lastRow="0" w:noHBand="0" w:noVBand="1" w:val="04A0"/>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9866"/>
      </w:tblGrid>
      <w:tr>
        <w:tc>
          <w:tcPr>
            <w:tcW w:type="dxa" w:w="9866"/>
            <w:shd w:fill="FDECEC"/>
            <w:tcMar>
              <w:top w:w="150" w:type="dxa"/>
              <w:start w:w="160" w:type="dxa"/>
              <w:bottom w:w="150" w:type="dxa"/>
              <w:end w:w="160" w:type="dxa"/>
            </w:tcMar>
          </w:tcPr>
          <w:p>
            <w:r>
              <w:rPr>
                <w:rFonts w:ascii="Noto Sans CJK SC" w:hAnsi="Noto Sans CJK SC" w:eastAsia="Noto Sans CJK SC"/>
                <w:b/>
                <w:color w:val="A94442"/>
                <w:sz w:val="20"/>
              </w:rPr>
              <w:t>现有风险：</w:t>
            </w:r>
            <w:r>
              <w:rPr>
                <w:rFonts w:ascii="Noto Sans CJK SC" w:hAnsi="Noto Sans CJK SC" w:eastAsia="Noto Sans CJK SC"/>
                <w:color w:val="A94442"/>
                <w:sz w:val="20"/>
              </w:rPr>
              <w:t>签到云函数中的单一管理员密码哈希、宽泛CORS和单一管理员令牌应在统一账户上线后退出管理用途；迁移期间至少轮换密码并限制管理接口来源。</w:t>
            </w:r>
          </w:p>
        </w:tc>
      </w:tr>
    </w:tbl>
    <w:p/>
    <w:p>
      <w:pPr>
        <w:pStyle w:val="Heading2"/>
      </w:pPr>
      <w:r>
        <w:t>11.1 手机号保护数据流</w:t>
      </w:r>
    </w:p>
    <w:p>
      <w:pPr>
        <w:pStyle w:val="CodeBlock"/>
      </w:pPr>
      <w:r>
        <w:t>主数据录入/同步 → 标准化 → phone_hash与phone_last4 → 完整值加密保存 → 常规API只返回masked_phone → 有效任务逐人授权解密 → 60秒短时展示 → 写敏感访问审计。</w:t>
      </w:r>
    </w:p>
    <w:p>
      <w:pPr>
        <w:pStyle w:val="ListBullet"/>
      </w:pPr>
      <w:r>
        <w:t>任何需要“按手机号查找”的功能均在服务端使用精确哈希匹配；不得把完整手机号下载到前端后再筛选。</w:t>
      </w:r>
    </w:p>
    <w:p>
      <w:pPr>
        <w:pStyle w:val="ListBullet"/>
      </w:pPr>
      <w:r>
        <w:t>历史members.phone明文字段迁移前先备份和核对；迁移完成、回归测试通过后再清除明文，并保留可回滚脚本。</w:t>
      </w:r>
    </w:p>
    <w:p>
      <w:pPr>
        <w:pStyle w:val="Heading2"/>
      </w:pPr>
      <w:r>
        <w:t>11.2 导出分级</w:t>
      </w:r>
    </w:p>
    <w:tbl>
      <w:tblPr>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级别</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示例字段</w:t>
            </w:r>
          </w:p>
        </w:tc>
        <w:tc>
          <w:tcPr>
            <w:tcW w:type="dxa" w:w="204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可导出角色</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技术控制</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普通内部</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组织、班级、脱敏手机号、参与汇总</w:t>
            </w:r>
          </w:p>
        </w:tc>
        <w:tc>
          <w:tcPr>
            <w:tcW w:type="dxa" w:w="204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有导出权限且在组织范围内的角色</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服务端裁剪字段，记录审计。</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敏感</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完整手机号、精确企业财务、个人困难、保密关怀备注</w:t>
            </w:r>
          </w:p>
        </w:tc>
        <w:tc>
          <w:tcPr>
            <w:tcW w:type="dxa" w:w="204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仅数据安全管理员（最高权限）</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用途+二次确认+水印+限时链接+下载日志。</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禁止进入导出</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密码哈希、令牌、密钥、内部模型提示、无关个人信息</w:t>
            </w:r>
          </w:p>
        </w:tc>
        <w:tc>
          <w:tcPr>
            <w:tcW w:type="dxa" w:w="204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任何角色均不可</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在导出字段注册表中硬性禁止。</w:t>
            </w:r>
          </w:p>
        </w:tc>
      </w:tr>
    </w:tbl>
    <w:p>
      <w:pPr>
        <w:pStyle w:val="Heading1"/>
      </w:pPr>
      <w:r>
        <w:t>12. 测试策略</w:t>
      </w:r>
    </w:p>
    <w:p>
      <w:pPr>
        <w:pStyle w:val="Heading2"/>
      </w:pPr>
      <w:r>
        <w:t>12.1 测试分层</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rPr>
        <w:tc>
          <w:tcPr>
            <w:tcW w:type="dxa" w:w="1928"/>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类型</w:t>
            </w:r>
          </w:p>
        </w:tc>
        <w:tc>
          <w:tcPr>
            <w:tcW w:type="dxa" w:w="7427"/>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重点</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单元测试</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指标算法、空值规则、组织范围、信号规则、状态机。</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契约测试</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前端与OpenAPI、运营平台与签到/读书快照。</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集成测试</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MySQL事务、导入、自动计算、人工覆盖、同步幂等。</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权限测试</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跨区域越权、ID枚举、导出、字段级权限、多任职有效期。</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数据核对</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2026 Excel与系统导入后的14项指标、六中心目标和月度值逐项比对。</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端到端测试</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创建年度方案、分解、填报、自动刷新、下钻、关怀任务闭环。</w:t>
            </w:r>
          </w:p>
        </w:tc>
      </w:tr>
      <w:tr>
        <w:tc>
          <w:tcPr>
            <w:tcW w:type="dxa" w:w="1928"/>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性能测试</w:t>
            </w:r>
          </w:p>
        </w:tc>
        <w:tc>
          <w:tcPr>
            <w:tcW w:type="dxa" w:w="7427"/>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全苏州塾看板、大名单导入、活动现场并发签到。</w:t>
            </w:r>
          </w:p>
        </w:tc>
      </w:tr>
      <w:tr>
        <w:tc>
          <w:tcPr>
            <w:tcW w:type="dxa" w:w="1928"/>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安全测试</w:t>
            </w:r>
          </w:p>
        </w:tc>
        <w:tc>
          <w:tcPr>
            <w:tcW w:type="dxa" w:w="7427"/>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认证、令牌、CORS、注入、文件上传、日志敏感信息。</w:t>
            </w:r>
          </w:p>
        </w:tc>
      </w:tr>
    </w:tbl>
    <w:p/>
    <w:p>
      <w:pPr>
        <w:pStyle w:val="Heading2"/>
      </w:pPr>
      <w:r>
        <w:t>12.2 必测业务场景</w:t>
      </w:r>
    </w:p>
    <w:p>
      <w:pPr>
        <w:pStyle w:val="ListBullet"/>
        <w:spacing w:before="0" w:after="60" w:line="312" w:lineRule="auto"/>
        <w:ind w:left="312" w:hanging="142"/>
      </w:pPr>
      <w:r>
        <w:rPr>
          <w:rFonts w:ascii="Noto Sans CJK SC" w:hAnsi="Noto Sans CJK SC" w:eastAsia="Noto Sans CJK SC"/>
          <w:sz w:val="20"/>
        </w:rPr>
        <w:t>一个用户同时担任区域理事和班主任，访问范围正确合并。</w:t>
      </w:r>
    </w:p>
    <w:p>
      <w:pPr>
        <w:pStyle w:val="ListBullet"/>
        <w:spacing w:before="0" w:after="60" w:line="312" w:lineRule="auto"/>
        <w:ind w:left="312" w:hanging="142"/>
      </w:pPr>
      <w:r>
        <w:rPr>
          <w:rFonts w:ascii="Noto Sans CJK SC" w:hAnsi="Noto Sans CJK SC" w:eastAsia="Noto Sans CJK SC"/>
          <w:sz w:val="20"/>
        </w:rPr>
        <w:t>黄埔班直属苏州塾，区域分中心用户无法查看，苏州塾管理员可查看。</w:t>
      </w:r>
    </w:p>
    <w:p>
      <w:pPr>
        <w:pStyle w:val="ListBullet"/>
        <w:spacing w:before="0" w:after="60" w:line="312" w:lineRule="auto"/>
        <w:ind w:left="312" w:hanging="142"/>
      </w:pPr>
      <w:r>
        <w:rPr>
          <w:rFonts w:ascii="Noto Sans CJK SC" w:hAnsi="Noto Sans CJK SC" w:eastAsia="Noto Sans CJK SC"/>
          <w:sz w:val="20"/>
        </w:rPr>
        <w:t>目标1000、分解1041时系统显示+41挑战差额并可解释。</w:t>
      </w:r>
    </w:p>
    <w:p>
      <w:pPr>
        <w:pStyle w:val="ListBullet"/>
        <w:spacing w:before="0" w:after="60" w:line="312" w:lineRule="auto"/>
        <w:ind w:left="312" w:hanging="142"/>
      </w:pPr>
      <w:r>
        <w:rPr>
          <w:rFonts w:ascii="Noto Sans CJK SC" w:hAnsi="Noto Sans CJK SC" w:eastAsia="Noto Sans CJK SC"/>
          <w:sz w:val="20"/>
        </w:rPr>
        <w:t>指标目标为0、实际为0、实际无数据三种场景达成率不同。</w:t>
      </w:r>
    </w:p>
    <w:p>
      <w:pPr>
        <w:pStyle w:val="ListBullet"/>
        <w:spacing w:before="0" w:after="60" w:line="312" w:lineRule="auto"/>
        <w:ind w:left="312" w:hanging="142"/>
      </w:pPr>
      <w:r>
        <w:rPr>
          <w:rFonts w:ascii="Noto Sans CJK SC" w:hAnsi="Noto Sans CJK SC" w:eastAsia="Noto Sans CJK SC"/>
          <w:sz w:val="20"/>
        </w:rPr>
        <w:t>同一活动重复同步不会重复生成报名或参与记录。</w:t>
      </w:r>
    </w:p>
    <w:p>
      <w:pPr>
        <w:pStyle w:val="ListBullet"/>
        <w:spacing w:before="0" w:after="60" w:line="312" w:lineRule="auto"/>
        <w:ind w:left="312" w:hanging="142"/>
      </w:pPr>
      <w:r>
        <w:rPr>
          <w:rFonts w:ascii="Noto Sans CJK SC" w:hAnsi="Noto Sans CJK SC" w:eastAsia="Noto Sans CJK SC"/>
          <w:sz w:val="20"/>
        </w:rPr>
        <w:t>个人信号被人工判定为误报后不继续重复提醒，除非出现新证据。</w:t>
      </w:r>
    </w:p>
    <w:p>
      <w:pPr>
        <w:pStyle w:val="ListBullet"/>
        <w:spacing w:before="0" w:after="60" w:line="312" w:lineRule="auto"/>
        <w:ind w:left="312" w:hanging="142"/>
      </w:pPr>
      <w:r>
        <w:rPr>
          <w:rFonts w:ascii="Noto Sans CJK SC" w:hAnsi="Noto Sans CJK SC" w:eastAsia="Noto Sans CJK SC"/>
          <w:sz w:val="20"/>
        </w:rPr>
        <w:t>导出仅包含用户授权组织且敏感字段按权限脱敏。</w:t>
      </w:r>
    </w:p>
    <w:p>
      <w:pPr>
        <w:pStyle w:val="ListBullet"/>
      </w:pPr>
      <w:r>
        <w:t>组长无任务时不能查看完整手机号；创建并分配有效电话任务后可逐人查看，60秒后恢复脱敏，审计包含用途和task_id。</w:t>
      </w:r>
    </w:p>
    <w:p>
      <w:pPr>
        <w:pStyle w:val="ListBullet"/>
      </w:pPr>
      <w:r>
        <w:t>辅导员可记录企业走访，普通班委只能看到授权摘要；指定人员可见备注不会被其他同班用户访问。</w:t>
      </w:r>
    </w:p>
    <w:p>
      <w:pPr>
        <w:pStyle w:val="ListBullet"/>
      </w:pPr>
      <w:r>
        <w:t>系统管理员没有SENSITIVE_EXPORT权限时仍不能导出完整手机号；只有数据安全管理员通过二次确认后可生成限时水印文件。</w:t>
      </w:r>
    </w:p>
    <w:p>
      <w:pPr>
        <w:pStyle w:val="ListBullet"/>
      </w:pPr>
      <w:r>
        <w:t>日志、错误报告、浏览器缓存、导出预览和AI请求中不出现完整手机号。</w:t>
      </w:r>
    </w:p>
    <w:p>
      <w:pPr>
        <w:pStyle w:val="Heading1"/>
      </w:pPr>
      <w:r>
        <w:t>13. 部署与运维</w:t>
      </w:r>
    </w:p>
    <w:p>
      <w:pPr>
        <w:pStyle w:val="Heading2"/>
      </w:pPr>
      <w:r>
        <w:t>13.1 环境</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3289"/>
        <w:gridCol w:w="3289"/>
        <w:gridCol w:w="3289"/>
      </w:tblGrid>
      <w:tr>
        <w:trPr>
          <w:tblHeader w:val="true"/>
        </w:trPr>
        <w:tc>
          <w:tcPr>
            <w:tcW w:type="dxa" w:w="1701"/>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环境</w:t>
            </w:r>
          </w:p>
        </w:tc>
        <w:tc>
          <w:tcPr>
            <w:tcW w:type="dxa" w:w="2948"/>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用途</w:t>
            </w:r>
          </w:p>
        </w:tc>
        <w:tc>
          <w:tcPr>
            <w:tcW w:type="dxa" w:w="4706"/>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要求</w:t>
            </w:r>
          </w:p>
        </w:tc>
      </w:tr>
      <w:tr>
        <w:tc>
          <w:tcPr>
            <w:tcW w:type="dxa" w:w="170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dev</w:t>
            </w:r>
          </w:p>
        </w:tc>
        <w:tc>
          <w:tcPr>
            <w:tcW w:type="dxa" w:w="2948"/>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本地开发</w:t>
            </w:r>
          </w:p>
        </w:tc>
        <w:tc>
          <w:tcPr>
            <w:tcW w:type="dxa" w:w="4706"/>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可使用脱敏样例和SQLite/MySQL容器。</w:t>
            </w:r>
          </w:p>
        </w:tc>
      </w:tr>
      <w:tr>
        <w:tc>
          <w:tcPr>
            <w:tcW w:type="dxa" w:w="1701"/>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staging</w:t>
            </w:r>
          </w:p>
        </w:tc>
        <w:tc>
          <w:tcPr>
            <w:tcW w:type="dxa" w:w="2948"/>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集成与业务验收</w:t>
            </w:r>
          </w:p>
        </w:tc>
        <w:tc>
          <w:tcPr>
            <w:tcW w:type="dxa" w:w="4706"/>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使用生产结构、脱敏数据、独立CloudBase环境。</w:t>
            </w:r>
          </w:p>
        </w:tc>
      </w:tr>
      <w:tr>
        <w:tc>
          <w:tcPr>
            <w:tcW w:type="dxa" w:w="1701"/>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production</w:t>
            </w:r>
          </w:p>
        </w:tc>
        <w:tc>
          <w:tcPr>
            <w:tcW w:type="dxa" w:w="2948"/>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正式使用</w:t>
            </w:r>
          </w:p>
        </w:tc>
        <w:tc>
          <w:tcPr>
            <w:tcW w:type="dxa" w:w="4706"/>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腾讯云国内节点、MySQL私网、密钥管理、备份和监控。</w:t>
            </w:r>
          </w:p>
        </w:tc>
      </w:tr>
    </w:tbl>
    <w:p/>
    <w:p>
      <w:pPr>
        <w:pStyle w:val="Heading2"/>
      </w:pPr>
      <w:r>
        <w:t>13.2 发布单元</w:t>
      </w:r>
    </w:p>
    <w:p>
      <w:pPr>
        <w:pStyle w:val="ListBullet"/>
        <w:spacing w:before="0" w:after="60" w:line="312" w:lineRule="auto"/>
        <w:ind w:left="312" w:hanging="142"/>
      </w:pPr>
      <w:r>
        <w:rPr>
          <w:rFonts w:ascii="Noto Sans CJK SC" w:hAnsi="Noto Sans CJK SC" w:eastAsia="Noto Sans CJK SC"/>
          <w:sz w:val="20"/>
        </w:rPr>
        <w:t>admin-web构建为静态资源，可部署CloudBase静态托管或对象存储+CDN。</w:t>
      </w:r>
    </w:p>
    <w:p>
      <w:pPr>
        <w:pStyle w:val="ListBullet"/>
        <w:spacing w:before="0" w:after="60" w:line="312" w:lineRule="auto"/>
        <w:ind w:left="312" w:hanging="142"/>
      </w:pPr>
      <w:r>
        <w:rPr>
          <w:rFonts w:ascii="Noto Sans CJK SC" w:hAnsi="Noto Sans CJK SC" w:eastAsia="Noto Sans CJK SC"/>
          <w:sz w:val="20"/>
        </w:rPr>
        <w:t>platform-api使用CloudBase Run容器部署，保留健康检查和OpenAPI。</w:t>
      </w:r>
    </w:p>
    <w:p>
      <w:pPr>
        <w:pStyle w:val="ListBullet"/>
        <w:spacing w:before="0" w:after="60" w:line="312" w:lineRule="auto"/>
        <w:ind w:left="312" w:hanging="142"/>
      </w:pPr>
      <w:r>
        <w:rPr>
          <w:rFonts w:ascii="Noto Sans CJK SC" w:hAnsi="Noto Sans CJK SC" w:eastAsia="Noto Sans CJK SC"/>
          <w:sz w:val="20"/>
        </w:rPr>
        <w:t>数据库迁移在发布前执行，必须支持向前兼容和回滚方案。</w:t>
      </w:r>
    </w:p>
    <w:p>
      <w:pPr>
        <w:pStyle w:val="ListBullet"/>
        <w:spacing w:before="0" w:after="60" w:line="312" w:lineRule="auto"/>
        <w:ind w:left="312" w:hanging="142"/>
      </w:pPr>
      <w:r>
        <w:rPr>
          <w:rFonts w:ascii="Noto Sans CJK SC" w:hAnsi="Noto Sans CJK SC" w:eastAsia="Noto Sans CJK SC"/>
          <w:sz w:val="20"/>
        </w:rPr>
        <w:t>签到函数独立发布，避免与统一门户同一时间进行高风险切换。</w:t>
      </w:r>
    </w:p>
    <w:p>
      <w:pPr>
        <w:pStyle w:val="Heading2"/>
      </w:pPr>
      <w:r>
        <w:t>13.3 监控指标</w:t>
      </w:r>
    </w:p>
    <w:p>
      <w:pPr>
        <w:pStyle w:val="ListBullet"/>
        <w:spacing w:before="0" w:after="60" w:line="312" w:lineRule="auto"/>
        <w:ind w:left="312" w:hanging="142"/>
      </w:pPr>
      <w:r>
        <w:rPr>
          <w:rFonts w:ascii="Noto Sans CJK SC" w:hAnsi="Noto Sans CJK SC" w:eastAsia="Noto Sans CJK SC"/>
          <w:sz w:val="20"/>
        </w:rPr>
        <w:t>API请求量、错误率、P95响应时间、登录失败。</w:t>
      </w:r>
    </w:p>
    <w:p>
      <w:pPr>
        <w:pStyle w:val="ListBullet"/>
        <w:spacing w:before="0" w:after="60" w:line="312" w:lineRule="auto"/>
        <w:ind w:left="312" w:hanging="142"/>
      </w:pPr>
      <w:r>
        <w:rPr>
          <w:rFonts w:ascii="Noto Sans CJK SC" w:hAnsi="Noto Sans CJK SC" w:eastAsia="Noto Sans CJK SC"/>
          <w:sz w:val="20"/>
        </w:rPr>
        <w:t>签到同步成功率、未匹配人数、延迟、自动MP刷新失败。</w:t>
      </w:r>
    </w:p>
    <w:p>
      <w:pPr>
        <w:pStyle w:val="ListBullet"/>
        <w:spacing w:before="0" w:after="60" w:line="312" w:lineRule="auto"/>
        <w:ind w:left="312" w:hanging="142"/>
      </w:pPr>
      <w:r>
        <w:rPr>
          <w:rFonts w:ascii="Noto Sans CJK SC" w:hAnsi="Noto Sans CJK SC" w:eastAsia="Noto Sans CJK SC"/>
          <w:sz w:val="20"/>
        </w:rPr>
        <w:t>导入失败、计算异常、分母缺失、人工覆盖数量。</w:t>
      </w:r>
    </w:p>
    <w:p>
      <w:pPr>
        <w:pStyle w:val="ListBullet"/>
        <w:spacing w:before="0" w:after="60" w:line="312" w:lineRule="auto"/>
        <w:ind w:left="312" w:hanging="142"/>
      </w:pPr>
      <w:r>
        <w:rPr>
          <w:rFonts w:ascii="Noto Sans CJK SC" w:hAnsi="Noto Sans CJK SC" w:eastAsia="Noto Sans CJK SC"/>
          <w:sz w:val="20"/>
        </w:rPr>
        <w:t>权限拒绝和敏感导出事件。</w:t>
      </w:r>
    </w:p>
    <w:p>
      <w:pPr>
        <w:pStyle w:val="ListBullet"/>
        <w:spacing w:before="0" w:after="60" w:line="312" w:lineRule="auto"/>
        <w:ind w:left="312" w:hanging="142"/>
      </w:pPr>
      <w:r>
        <w:rPr>
          <w:rFonts w:ascii="Noto Sans CJK SC" w:hAnsi="Noto Sans CJK SC" w:eastAsia="Noto Sans CJK SC"/>
          <w:sz w:val="20"/>
        </w:rPr>
        <w:t>任务逾期、规则误报反馈和AI建议驳回率。</w:t>
      </w:r>
    </w:p>
    <w:p>
      <w:pPr>
        <w:pStyle w:val="ListBullet"/>
      </w:pPr>
      <w:r>
        <w:t>腾讯云资源点/实例费用、数据库存储、AI API、短信和导出文件存储的月度费用与预算告警。</w:t>
      </w:r>
    </w:p>
    <w:p>
      <w:pPr>
        <w:pStyle w:val="Heading1"/>
      </w:pPr>
      <w:r>
        <w:t>14. 数据迁移与上线步骤</w:t>
      </w:r>
    </w:p>
    <w:tbl>
      <w:tblPr>
        <w:tblW w:type="auto" w:w="0"/>
        <w:jc w:val="center"/>
        <w:tblLayout w:type="fixed"/>
        <w:tblLook w:firstColumn="1" w:firstRow="1" w:lastColumn="0" w:lastRow="0" w:noHBand="0" w:noVBand="1" w:val="04A0"/>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rPr>
        <w:tc>
          <w:tcPr>
            <w:tcW w:type="dxa" w:w="1984"/>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步骤</w:t>
            </w:r>
          </w:p>
        </w:tc>
        <w:tc>
          <w:tcPr>
            <w:tcW w:type="dxa" w:w="7370"/>
            <w:shd w:fill="174B3A"/>
            <w:tcMar>
              <w:top w:w="90" w:type="dxa"/>
              <w:start w:w="80" w:type="dxa"/>
              <w:bottom w:w="90" w:type="dxa"/>
              <w:end w:w="80" w:type="dxa"/>
            </w:tcMar>
            <w:vAlign w:val="center"/>
          </w:tcPr>
          <w:p>
            <w:pPr>
              <w:jc w:val="center"/>
            </w:pPr>
            <w:r>
              <w:rPr>
                <w:rFonts w:ascii="Noto Sans CJK SC" w:hAnsi="Noto Sans CJK SC" w:eastAsia="Noto Sans CJK SC"/>
                <w:b/>
                <w:color w:val="FFFFFF"/>
                <w:sz w:val="17"/>
              </w:rPr>
              <w:t>内容</w:t>
            </w:r>
          </w:p>
        </w:tc>
      </w:tr>
      <w:tr>
        <w:tc>
          <w:tcPr>
            <w:tcW w:type="dxa" w:w="198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1. 冻结业务字典</w:t>
            </w:r>
          </w:p>
        </w:tc>
        <w:tc>
          <w:tcPr>
            <w:tcW w:type="dxa" w:w="737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确认组织名称、黄埔班、指标公式、空值、差额和新增负数。</w:t>
            </w:r>
          </w:p>
        </w:tc>
      </w:tr>
      <w:tr>
        <w:tc>
          <w:tcPr>
            <w:tcW w:type="dxa" w:w="198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2. 建立组织和成员主数据</w:t>
            </w:r>
          </w:p>
        </w:tc>
        <w:tc>
          <w:tcPr>
            <w:tcW w:type="dxa" w:w="737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导入org_units、member identifiers、任职和有效期。</w:t>
            </w:r>
          </w:p>
        </w:tc>
      </w:tr>
      <w:tr>
        <w:tc>
          <w:tcPr>
            <w:tcW w:type="dxa" w:w="198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3. 建立IAM</w:t>
            </w:r>
          </w:p>
        </w:tc>
        <w:tc>
          <w:tcPr>
            <w:tcW w:type="dxa" w:w="737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迁移现有管理员，创建区域和班级账户，小范围测试权限。</w:t>
            </w:r>
          </w:p>
        </w:tc>
      </w:tr>
      <w:tr>
        <w:tc>
          <w:tcPr>
            <w:tcW w:type="dxa" w:w="198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4. 导入2026年度MP</w:t>
            </w:r>
          </w:p>
        </w:tc>
        <w:tc>
          <w:tcPr>
            <w:tcW w:type="dxa" w:w="737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先预览、再导入、生成核对报告。</w:t>
            </w:r>
          </w:p>
        </w:tc>
      </w:tr>
      <w:tr>
        <w:tc>
          <w:tcPr>
            <w:tcW w:type="dxa" w:w="198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5. 上线统一年度MP</w:t>
            </w:r>
          </w:p>
        </w:tc>
        <w:tc>
          <w:tcPr>
            <w:tcW w:type="dxa" w:w="737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与现有Streamlit并行，先只读后切换填报。</w:t>
            </w:r>
          </w:p>
        </w:tc>
      </w:tr>
      <w:tr>
        <w:tc>
          <w:tcPr>
            <w:tcW w:type="dxa" w:w="198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6. 接入自动数据</w:t>
            </w:r>
          </w:p>
        </w:tc>
        <w:tc>
          <w:tcPr>
            <w:tcW w:type="dxa" w:w="737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签到、读书和活动刷新，保留人工校正。</w:t>
            </w:r>
          </w:p>
        </w:tc>
      </w:tr>
      <w:tr>
        <w:tc>
          <w:tcPr>
            <w:tcW w:type="dxa" w:w="198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7. 迁移签到管理后台</w:t>
            </w:r>
          </w:p>
        </w:tc>
        <w:tc>
          <w:tcPr>
            <w:tcW w:type="dxa" w:w="737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活动和名单管理逐页替换，扫码页保持不变。</w:t>
            </w:r>
          </w:p>
        </w:tc>
      </w:tr>
      <w:tr>
        <w:tc>
          <w:tcPr>
            <w:tcW w:type="dxa" w:w="1984"/>
            <w:tcMar>
              <w:top w:w="75" w:type="dxa"/>
              <w:start w:w="75" w:type="dxa"/>
              <w:bottom w:w="75" w:type="dxa"/>
              <w:end w:w="75" w:type="dxa"/>
            </w:tcMar>
            <w:vAlign w:val="center"/>
            <w:shd w:fill="F8FAF9"/>
          </w:tcPr>
          <w:p>
            <w:pPr>
              <w:spacing w:after="0" w:line="276" w:lineRule="auto"/>
              <w:jc w:val="center"/>
            </w:pPr>
            <w:r>
              <w:rPr>
                <w:rFonts w:ascii="Noto Sans CJK SC" w:hAnsi="Noto Sans CJK SC" w:eastAsia="Noto Sans CJK SC"/>
                <w:sz w:val="17"/>
              </w:rPr>
              <w:t>8. 上线个人发展建设</w:t>
            </w:r>
          </w:p>
        </w:tc>
        <w:tc>
          <w:tcPr>
            <w:tcW w:type="dxa" w:w="7370"/>
            <w:tcMar>
              <w:top w:w="75" w:type="dxa"/>
              <w:start w:w="75" w:type="dxa"/>
              <w:bottom w:w="75" w:type="dxa"/>
              <w:end w:w="75" w:type="dxa"/>
            </w:tcMar>
            <w:vAlign w:val="center"/>
            <w:shd w:fill="F8FAF9"/>
          </w:tcPr>
          <w:p>
            <w:pPr>
              <w:spacing w:after="0" w:line="276" w:lineRule="auto"/>
              <w:jc w:val="left"/>
            </w:pPr>
            <w:r>
              <w:rPr>
                <w:rFonts w:ascii="Noto Sans CJK SC" w:hAnsi="Noto Sans CJK SC" w:eastAsia="Noto Sans CJK SC"/>
                <w:sz w:val="17"/>
              </w:rPr>
              <w:t>先选1个区域分中心和若干班级试点。</w:t>
            </w:r>
          </w:p>
        </w:tc>
      </w:tr>
      <w:tr>
        <w:tc>
          <w:tcPr>
            <w:tcW w:type="dxa" w:w="1984"/>
            <w:tcMar>
              <w:top w:w="75" w:type="dxa"/>
              <w:start w:w="75" w:type="dxa"/>
              <w:bottom w:w="75" w:type="dxa"/>
              <w:end w:w="75" w:type="dxa"/>
            </w:tcMar>
            <w:vAlign w:val="center"/>
          </w:tcPr>
          <w:p>
            <w:pPr>
              <w:spacing w:after="0" w:line="276" w:lineRule="auto"/>
              <w:jc w:val="center"/>
            </w:pPr>
            <w:r>
              <w:rPr>
                <w:rFonts w:ascii="Noto Sans CJK SC" w:hAnsi="Noto Sans CJK SC" w:eastAsia="Noto Sans CJK SC"/>
                <w:sz w:val="17"/>
              </w:rPr>
              <w:t>9. 全面推广与复盘</w:t>
            </w:r>
          </w:p>
        </w:tc>
        <w:tc>
          <w:tcPr>
            <w:tcW w:type="dxa" w:w="7370"/>
            <w:tcMar>
              <w:top w:w="75" w:type="dxa"/>
              <w:start w:w="75" w:type="dxa"/>
              <w:bottom w:w="75" w:type="dxa"/>
              <w:end w:w="75" w:type="dxa"/>
            </w:tcMar>
            <w:vAlign w:val="center"/>
          </w:tcPr>
          <w:p>
            <w:pPr>
              <w:spacing w:after="0" w:line="276" w:lineRule="auto"/>
              <w:jc w:val="left"/>
            </w:pPr>
            <w:r>
              <w:rPr>
                <w:rFonts w:ascii="Noto Sans CJK SC" w:hAnsi="Noto Sans CJK SC" w:eastAsia="Noto Sans CJK SC"/>
                <w:sz w:val="17"/>
              </w:rPr>
              <w:t>培训、数据治理、规则调整和阶段验收。</w:t>
            </w:r>
          </w:p>
        </w:tc>
      </w:tr>
    </w:tbl>
    <w:p/>
    <w:p>
      <w:pPr>
        <w:pStyle w:val="Heading2"/>
      </w:pPr>
      <w:r>
        <w:t>14.1 Excel导入核对</w:t>
      </w:r>
    </w:p>
    <w:p>
      <w:pPr>
        <w:pStyle w:val="ListBullet"/>
        <w:spacing w:before="0" w:after="60" w:line="312" w:lineRule="auto"/>
        <w:ind w:left="312" w:hanging="142"/>
      </w:pPr>
      <w:r>
        <w:rPr>
          <w:rFonts w:ascii="Noto Sans CJK SC" w:hAnsi="Noto Sans CJK SC" w:eastAsia="Noto Sans CJK SC"/>
          <w:sz w:val="20"/>
        </w:rPr>
        <w:t>导入批次保存原文件哈希、工作表、单元格位置和解析结果。</w:t>
      </w:r>
    </w:p>
    <w:p>
      <w:pPr>
        <w:pStyle w:val="ListBullet"/>
        <w:spacing w:before="0" w:after="60" w:line="312" w:lineRule="auto"/>
        <w:ind w:left="312" w:hanging="142"/>
      </w:pPr>
      <w:r>
        <w:rPr>
          <w:rFonts w:ascii="Noto Sans CJK SC" w:hAnsi="Noto Sans CJK SC" w:eastAsia="Noto Sans CJK SC"/>
          <w:sz w:val="20"/>
        </w:rPr>
        <w:t>系统生成总目标、六中心合计、月度值、公式和差额核对报告。</w:t>
      </w:r>
    </w:p>
    <w:p>
      <w:pPr>
        <w:pStyle w:val="ListBullet"/>
        <w:spacing w:before="0" w:after="60" w:line="312" w:lineRule="auto"/>
        <w:ind w:left="312" w:hanging="142"/>
      </w:pPr>
      <w:r>
        <w:rPr>
          <w:rFonts w:ascii="Noto Sans CJK SC" w:hAnsi="Noto Sans CJK SC" w:eastAsia="Noto Sans CJK SC"/>
          <w:sz w:val="20"/>
        </w:rPr>
        <w:t>“/”和空白先映射为状态，不直接变成0。</w:t>
      </w:r>
    </w:p>
    <w:p>
      <w:pPr>
        <w:pStyle w:val="ListBullet"/>
        <w:spacing w:before="0" w:after="60" w:line="312" w:lineRule="auto"/>
        <w:ind w:left="312" w:hanging="142"/>
      </w:pPr>
      <w:r>
        <w:rPr>
          <w:rFonts w:ascii="Noto Sans CJK SC" w:hAnsi="Noto Sans CJK SC" w:eastAsia="Noto Sans CJK SC"/>
          <w:sz w:val="20"/>
        </w:rPr>
        <w:t>公式结果与原表显示值同时保留，发现不一致时进入待确认。</w:t>
      </w:r>
    </w:p>
    <w:p>
      <w:pPr>
        <w:pStyle w:val="ListBullet"/>
        <w:spacing w:before="0" w:after="60" w:line="312" w:lineRule="auto"/>
        <w:ind w:left="312" w:hanging="142"/>
      </w:pPr>
      <w:r>
        <w:rPr>
          <w:rFonts w:ascii="Noto Sans CJK SC" w:hAnsi="Noto Sans CJK SC" w:eastAsia="Noto Sans CJK SC"/>
          <w:sz w:val="20"/>
        </w:rPr>
        <w:t>导入正式应用前必须由业务负责人确认。</w:t>
      </w:r>
    </w:p>
    <w:p>
      <w:pPr>
        <w:pStyle w:val="ListBullet"/>
      </w:pPr>
      <w:r>
        <w:t>手机号迁移独立执行：先生成哈希/后四位并验证匹配，再加密回填；任何一步失败均不删除原值。完成预发布验证和备份后，才在生产清理明文字段。</w:t>
      </w:r>
    </w:p>
    <w:p>
      <w:pPr>
        <w:pStyle w:val="ListBullet"/>
      </w:pPr>
      <w:r>
        <w:t>敏感权限上线前创建数据安全管理员账户，其他账户默认无SENSITIVE_EXPORT；使用测试数据验证越权和审计。</w:t>
      </w:r>
    </w:p>
    <w:p>
      <w:pPr>
        <w:pStyle w:val="Heading1"/>
      </w:pPr>
      <w:r>
        <w:t>15. 迭代计划与工作分解</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blHeader w:val="true"/>
        </w:trPr>
        <w:tc>
          <w:tcPr>
            <w:tcW w:type="dxa" w:w="2324"/>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t>Epic</w:t>
            </w:r>
          </w:p>
        </w:tc>
        <w:tc>
          <w:tcPr>
            <w:tcW w:type="dxa" w:w="5443"/>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t>交付内容</w:t>
            </w:r>
          </w:p>
        </w:tc>
      </w:tr>
      <w:tr>
        <w:tc>
          <w:tcPr>
            <w:tcW w:type="dxa" w:w="232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Epic 0：业务字典</w:t>
            </w:r>
          </w:p>
        </w:tc>
        <w:tc>
          <w:tcPr>
            <w:tcW w:type="dxa" w:w="54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5"/>
              </w:rPr>
              <w:t>指标口径、组织、成员标识、空值和差额。</w:t>
            </w:r>
          </w:p>
        </w:tc>
      </w:tr>
      <w:tr>
        <w:tc>
          <w:tcPr>
            <w:tcW w:type="dxa" w:w="232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5"/>
              </w:rPr>
              <w:t>Epic 1：统一账户与组织</w:t>
            </w:r>
          </w:p>
        </w:tc>
        <w:tc>
          <w:tcPr>
            <w:tcW w:type="dxa" w:w="544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IAM、组织树、多任职、数据范围、敏感字段权限和最高权限账户。</w:t>
            </w:r>
          </w:p>
        </w:tc>
      </w:tr>
      <w:tr>
        <w:tc>
          <w:tcPr>
            <w:tcW w:type="dxa" w:w="232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Epic 2：年度MP</w:t>
            </w:r>
          </w:p>
        </w:tc>
        <w:tc>
          <w:tcPr>
            <w:tcW w:type="dxa" w:w="54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5"/>
              </w:rPr>
              <w:t>指标版本、年度方案、目标矩阵、月度填报、看板。</w:t>
            </w:r>
          </w:p>
        </w:tc>
      </w:tr>
      <w:tr>
        <w:tc>
          <w:tcPr>
            <w:tcW w:type="dxa" w:w="232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5"/>
              </w:rPr>
              <w:t>Epic 3：数据集成</w:t>
            </w:r>
          </w:p>
        </w:tc>
        <w:tc>
          <w:tcPr>
            <w:tcW w:type="dxa" w:w="544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5"/>
              </w:rPr>
              <w:t>签到、读书、导入、自动计算和数据质量。</w:t>
            </w:r>
          </w:p>
        </w:tc>
      </w:tr>
      <w:tr>
        <w:tc>
          <w:tcPr>
            <w:tcW w:type="dxa" w:w="232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Epic 4：统一活动后台</w:t>
            </w:r>
          </w:p>
        </w:tc>
        <w:tc>
          <w:tcPr>
            <w:tcW w:type="dxa" w:w="54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5"/>
              </w:rPr>
              <w:t>活动、名单、现场统计、迟到请假和导出。</w:t>
            </w:r>
          </w:p>
        </w:tc>
      </w:tr>
      <w:tr>
        <w:tc>
          <w:tcPr>
            <w:tcW w:type="dxa" w:w="232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5"/>
              </w:rPr>
              <w:t>Epic 5：个人发展建设</w:t>
            </w:r>
          </w:p>
        </w:tc>
        <w:tc>
          <w:tcPr>
            <w:tcW w:type="dxa" w:w="5443"/>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画像、信号、电话/走访、关怀、续费沟通、资源匹配和保密记录。</w:t>
            </w:r>
          </w:p>
        </w:tc>
      </w:tr>
      <w:tr>
        <w:tc>
          <w:tcPr>
            <w:tcW w:type="dxa" w:w="232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5"/>
              </w:rPr>
              <w:t>Epic 6：智能分析</w:t>
            </w:r>
          </w:p>
        </w:tc>
        <w:tc>
          <w:tcPr>
            <w:tcW w:type="dxa" w:w="54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5"/>
              </w:rPr>
              <w:t>画像摘要、运营建议、月报和解释性分析。</w:t>
            </w:r>
          </w:p>
        </w:tc>
      </w:tr>
    </w:tbl>
    <w:p/>
    <w:p>
      <w:pPr>
        <w:pStyle w:val="Heading2"/>
      </w:pPr>
      <w:r>
        <w:t>15.1 首个可用版本建议</w:t>
      </w:r>
    </w:p>
    <w:tbl>
      <w:tblPr>
        <w:tblW w:type="auto" w:w="0"/>
        <w:jc w:val="center"/>
        <w:tblLook w:firstColumn="1" w:firstRow="1" w:lastColumn="0" w:lastRow="0" w:noHBand="0" w:noVBand="1" w:val="04A0"/>
        <w:tblBorders>
          <w:top w:val="single" w:sz="0" w:space="0" w:color="EAF4EF"/>
          <w:left w:val="single" w:sz="0" w:space="0" w:color="EAF4EF"/>
          <w:bottom w:val="single" w:sz="0" w:space="0" w:color="EAF4EF"/>
          <w:right w:val="single" w:sz="0" w:space="0" w:color="EAF4EF"/>
          <w:insideH w:val="single" w:sz="0" w:space="0" w:color="EAF4EF"/>
          <w:insideV w:val="single" w:sz="0" w:space="0" w:color="EAF4EF"/>
        </w:tblBorders>
      </w:tblPr>
      <w:tblGrid>
        <w:gridCol w:w="9866"/>
      </w:tblGrid>
      <w:tr>
        <w:tc>
          <w:tcPr>
            <w:tcW w:type="dxa" w:w="9866"/>
            <w:shd w:fill="E8F1ED"/>
            <w:tcMar>
              <w:top w:w="150" w:type="dxa"/>
              <w:start w:w="160" w:type="dxa"/>
              <w:bottom w:w="150" w:type="dxa"/>
              <w:end w:w="160" w:type="dxa"/>
            </w:tcMar>
            <w:tcBorders>
              <w:top w:val="single" w:sz="8" w:color="185943"/>
              <w:left w:val="single" w:sz="8" w:color="185943"/>
              <w:bottom w:val="single" w:sz="8" w:color="185943"/>
              <w:right w:val="single" w:sz="8" w:color="185943"/>
            </w:tcBorders>
          </w:tcPr>
          <w:p>
            <w:pPr>
              <w:spacing w:before="0" w:after="0" w:line="245" w:lineRule="auto"/>
            </w:pPr>
            <w:r/>
            <w:r>
              <w:rPr>
                <w:rFonts w:ascii="Microsoft YaHei" w:hAnsi="Microsoft YaHei" w:eastAsia="Microsoft YaHei"/>
                <w:b/>
                <w:color w:val="185943"/>
                <w:sz w:val="17"/>
              </w:rPr>
              <w:t>MVP：统一登录和组织权限 + 2026年度MP完整导入 + 六区域分中心独立看板和填报 + 差额/空值/计算明细 + 手机号默认脱敏与导出隔离。个人发展首期加入参与趋势、电话/走访任务、关怀记录和续费沟通。</w:t>
            </w:r>
          </w:p>
        </w:tc>
      </w:tr>
    </w:tbl>
    <w:p/>
    <w:p>
      <w:pPr>
        <w:pStyle w:val="Heading1"/>
      </w:pPr>
      <w:r>
        <w:t>16. 技术风险与架构决策</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3289"/>
        <w:gridCol w:w="3289"/>
        <w:gridCol w:w="3289"/>
      </w:tblGrid>
      <w:tr>
        <w:trPr>
          <w:tblHeader w:val="true"/>
          <w:tblHeader w:val="true"/>
        </w:trPr>
        <w:tc>
          <w:tcPr>
            <w:tcW w:type="dxa" w:w="850"/>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等级</w:t>
            </w:r>
          </w:p>
        </w:tc>
        <w:tc>
          <w:tcPr>
            <w:tcW w:type="dxa" w:w="2721"/>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风险</w:t>
            </w:r>
          </w:p>
        </w:tc>
        <w:tc>
          <w:tcPr>
            <w:tcW w:type="dxa" w:w="4195"/>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对策</w:t>
            </w:r>
          </w:p>
        </w:tc>
      </w:tr>
      <w:tr>
        <w:tc>
          <w:tcPr>
            <w:tcW w:type="dxa" w:w="850"/>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高</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业务口径未确认就编码</w:t>
            </w:r>
          </w:p>
        </w:tc>
        <w:tc>
          <w:tcPr>
            <w:tcW w:type="dxa" w:w="4195"/>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建立P0业务字典门禁；配置化但不掩盖未确认。</w:t>
            </w:r>
          </w:p>
        </w:tc>
      </w:tr>
      <w:tr>
        <w:tc>
          <w:tcPr>
            <w:tcW w:type="dxa" w:w="850"/>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高</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名称字符串导致组织越权或汇总错</w:t>
            </w:r>
          </w:p>
        </w:tc>
        <w:tc>
          <w:tcPr>
            <w:tcW w:type="dxa" w:w="4195"/>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所有新功能使用org_unit_id，建立旧名称映射。</w:t>
            </w:r>
          </w:p>
        </w:tc>
      </w:tr>
      <w:tr>
        <w:tc>
          <w:tcPr>
            <w:tcW w:type="dxa" w:w="850"/>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高</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个人画像造成标签化和隐私问题</w:t>
            </w:r>
          </w:p>
        </w:tc>
        <w:tc>
          <w:tcPr>
            <w:tcW w:type="dxa" w:w="4195"/>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数据分层、保密级别、人工确认、审计和AI红线。</w:t>
            </w:r>
          </w:p>
        </w:tc>
      </w:tr>
      <w:tr>
        <w:tc>
          <w:tcPr>
            <w:tcW w:type="dxa" w:w="850"/>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高</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统一平台故障影响现场签到</w:t>
            </w:r>
          </w:p>
        </w:tc>
        <w:tc>
          <w:tcPr>
            <w:tcW w:type="dxa" w:w="4195"/>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现场链路独立，采用快照同步和最终一致。</w:t>
            </w:r>
          </w:p>
        </w:tc>
      </w:tr>
      <w:tr>
        <w:tc>
          <w:tcPr>
            <w:tcW w:type="dxa" w:w="850"/>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中</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两个数据源成员匹配错误</w:t>
            </w:r>
          </w:p>
        </w:tc>
        <w:tc>
          <w:tcPr>
            <w:tcW w:type="dxa" w:w="4195"/>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内部member_id+外部标识，冲突进入人工队列。</w:t>
            </w:r>
          </w:p>
        </w:tc>
      </w:tr>
      <w:tr>
        <w:tc>
          <w:tcPr>
            <w:tcW w:type="dxa" w:w="850"/>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中</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指标算法越来越复杂</w:t>
            </w:r>
          </w:p>
        </w:tc>
        <w:tc>
          <w:tcPr>
            <w:tcW w:type="dxa" w:w="4195"/>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metric_version+算法插件，保存计算日志和测试样例。</w:t>
            </w:r>
          </w:p>
        </w:tc>
      </w:tr>
      <w:tr>
        <w:tc>
          <w:tcPr>
            <w:tcW w:type="dxa" w:w="850"/>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中</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一次性重写范围过大</w:t>
            </w:r>
          </w:p>
        </w:tc>
        <w:tc>
          <w:tcPr>
            <w:tcW w:type="dxa" w:w="4195"/>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逐页迁移、功能开关、并行运行、阶段验收。</w:t>
            </w:r>
          </w:p>
        </w:tc>
      </w:tr>
      <w:tr>
        <w:tc>
          <w:tcPr>
            <w:tcW w:type="dxa" w:w="850"/>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中</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现有单角色账户迁移困难</w:t>
            </w:r>
          </w:p>
        </w:tc>
        <w:tc>
          <w:tcPr>
            <w:tcW w:type="dxa" w:w="4195"/>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兼容读取旧role，后台迁移为user_roles。</w:t>
            </w:r>
          </w:p>
        </w:tc>
      </w:tr>
      <w:tr>
        <w:tc>
          <w:tcPr>
            <w:tcW w:type="dxa" w:w="85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高</w:t>
            </w:r>
          </w:p>
        </w:tc>
        <w:tc>
          <w:tcPr>
            <w:tcW w:type="dxa" w:w="272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Codex一次性改动过大或直接操作生产</w:t>
            </w:r>
          </w:p>
        </w:tc>
        <w:tc>
          <w:tcPr>
            <w:tcW w:type="dxa" w:w="419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一任务一分支一PR；预发布验证；生产变更需人工批准；备份和回滚脚本先行。</w:t>
            </w:r>
          </w:p>
        </w:tc>
      </w:tr>
      <w:tr>
        <w:tc>
          <w:tcPr>
            <w:tcW w:type="dxa" w:w="85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中</w:t>
            </w:r>
          </w:p>
        </w:tc>
        <w:tc>
          <w:tcPr>
            <w:tcW w:type="dxa" w:w="272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云资源或AI费用无上限增长</w:t>
            </w:r>
          </w:p>
        </w:tc>
        <w:tc>
          <w:tcPr>
            <w:tcW w:type="dxa" w:w="419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预算告警、按阶段启用、默认关闭付费AI/SMS、每月成本复盘。</w:t>
            </w:r>
          </w:p>
        </w:tc>
      </w:tr>
    </w:tbl>
    <w:p/>
    <w:p>
      <w:pPr>
        <w:pStyle w:val="Heading2"/>
      </w:pPr>
      <w:r>
        <w:t>16.1 架构决策记录（ADR）</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3289"/>
        <w:gridCol w:w="3289"/>
        <w:gridCol w:w="3289"/>
      </w:tblGrid>
      <w:tr>
        <w:trPr>
          <w:tblHeader w:val="true"/>
          <w:tblHeader w:val="true"/>
        </w:trPr>
        <w:tc>
          <w:tcPr>
            <w:tcW w:type="dxa" w:w="1247"/>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决策</w:t>
            </w:r>
          </w:p>
        </w:tc>
        <w:tc>
          <w:tcPr>
            <w:tcW w:type="dxa" w:w="2721"/>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结论</w:t>
            </w:r>
          </w:p>
        </w:tc>
        <w:tc>
          <w:tcPr>
            <w:tcW w:type="dxa" w:w="3912"/>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理由</w:t>
            </w:r>
          </w:p>
        </w:tc>
      </w:tr>
      <w:tr>
        <w:tc>
          <w:tcPr>
            <w:tcW w:type="dxa" w:w="1247"/>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ADR-001</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采用模块化单体FastAPI</w:t>
            </w:r>
          </w:p>
        </w:tc>
        <w:tc>
          <w:tcPr>
            <w:tcW w:type="dxa" w:w="391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团队和规模适合，避免过早微服务。</w:t>
            </w:r>
          </w:p>
        </w:tc>
      </w:tr>
      <w:tr>
        <w:tc>
          <w:tcPr>
            <w:tcW w:type="dxa" w:w="1247"/>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ADR-002</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统一前端选Pure Admin Thin</w:t>
            </w:r>
          </w:p>
        </w:tc>
        <w:tc>
          <w:tcPr>
            <w:tcW w:type="dxa" w:w="391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成熟、中文、改造成本低。</w:t>
            </w:r>
          </w:p>
        </w:tc>
      </w:tr>
      <w:tr>
        <w:tc>
          <w:tcPr>
            <w:tcW w:type="dxa" w:w="1247"/>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ADR-003</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签到现场链路保留CloudBase</w:t>
            </w:r>
          </w:p>
        </w:tc>
        <w:tc>
          <w:tcPr>
            <w:tcW w:type="dxa" w:w="391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国内微信访问和独立可用性。</w:t>
            </w:r>
          </w:p>
        </w:tc>
      </w:tr>
      <w:tr>
        <w:tc>
          <w:tcPr>
            <w:tcW w:type="dxa" w:w="1247"/>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ADR-004</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MySQL作为主数据源</w:t>
            </w:r>
          </w:p>
        </w:tc>
        <w:tc>
          <w:tcPr>
            <w:tcW w:type="dxa" w:w="391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组织、目标、权限和审计需要事务一致性。</w:t>
            </w:r>
          </w:p>
        </w:tc>
      </w:tr>
      <w:tr>
        <w:tc>
          <w:tcPr>
            <w:tcW w:type="dxa" w:w="1247"/>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ADR-005</w:t>
            </w:r>
          </w:p>
        </w:tc>
        <w:tc>
          <w:tcPr>
            <w:tcW w:type="dxa" w:w="2721"/>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规则引擎先于机器学习</w:t>
            </w:r>
          </w:p>
        </w:tc>
        <w:tc>
          <w:tcPr>
            <w:tcW w:type="dxa" w:w="391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可解释、数据量要求低、业务更易验证。</w:t>
            </w:r>
          </w:p>
        </w:tc>
      </w:tr>
      <w:tr>
        <w:tc>
          <w:tcPr>
            <w:tcW w:type="dxa" w:w="1247"/>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ADR-006</w:t>
            </w:r>
          </w:p>
        </w:tc>
        <w:tc>
          <w:tcPr>
            <w:tcW w:type="dxa" w:w="2721"/>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先逻辑整合后物理合仓</w:t>
            </w:r>
          </w:p>
        </w:tc>
        <w:tc>
          <w:tcPr>
            <w:tcW w:type="dxa" w:w="391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降低生产风险，允许独立发布。</w:t>
            </w:r>
          </w:p>
        </w:tc>
      </w:tr>
      <w:tr>
        <w:tc>
          <w:tcPr>
            <w:tcW w:type="dxa" w:w="124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ADR-007</w:t>
            </w:r>
          </w:p>
        </w:tc>
        <w:tc>
          <w:tcPr>
            <w:tcW w:type="dxa" w:w="272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完整手机号按任务逐人授权，不进入分析库</w:t>
            </w:r>
          </w:p>
        </w:tc>
        <w:tc>
          <w:tcPr>
            <w:tcW w:type="dxa" w:w="391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兼顾辅导员/组长联系需要与隐私保护。</w:t>
            </w:r>
          </w:p>
        </w:tc>
      </w:tr>
      <w:tr>
        <w:tc>
          <w:tcPr>
            <w:tcW w:type="dxa" w:w="124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ADR-008</w:t>
            </w:r>
          </w:p>
        </w:tc>
        <w:tc>
          <w:tcPr>
            <w:tcW w:type="dxa" w:w="272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敏感导出权限与系统管理权限分离</w:t>
            </w:r>
          </w:p>
        </w:tc>
        <w:tc>
          <w:tcPr>
            <w:tcW w:type="dxa" w:w="391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避免日常管理员误导出，符合最小权限。</w:t>
            </w:r>
          </w:p>
        </w:tc>
      </w:tr>
      <w:tr>
        <w:tc>
          <w:tcPr>
            <w:tcW w:type="dxa" w:w="124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ADR-009</w:t>
            </w:r>
          </w:p>
        </w:tc>
        <w:tc>
          <w:tcPr>
            <w:tcW w:type="dxa" w:w="272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Codex采用小步PR与人工业务验收</w:t>
            </w:r>
          </w:p>
        </w:tc>
        <w:tc>
          <w:tcPr>
            <w:tcW w:type="dxa" w:w="391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团队不懂技术时仍可控制风险和质量。</w:t>
            </w:r>
          </w:p>
        </w:tc>
      </w:tr>
      <w:tr>
        <w:tc>
          <w:tcPr>
            <w:tcW w:type="dxa" w:w="124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ADR-010</w:t>
            </w:r>
          </w:p>
        </w:tc>
        <w:tc>
          <w:tcPr>
            <w:tcW w:type="dxa" w:w="272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首期设置明确费用上限</w:t>
            </w:r>
          </w:p>
        </w:tc>
        <w:tc>
          <w:tcPr>
            <w:tcW w:type="dxa" w:w="391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避免提前购买复杂组件和不可控API成本。</w:t>
            </w:r>
          </w:p>
        </w:tc>
      </w:tr>
    </w:tbl>
    <w:p/>
    <w:p>
      <w:pPr>
        <w:pStyle w:val="Heading1"/>
      </w:pPr>
      <w:r>
        <w:t>17. 费用预算与成本控制</w:t>
      </w:r>
    </w:p>
    <w:p>
      <w:pPr>
        <w:pStyle w:val="Heading2"/>
      </w:pPr>
      <w:r>
        <w:t>17.1 成本原则</w:t>
      </w:r>
    </w:p>
    <w:p>
      <w:pPr/>
      <w:r>
        <w:t>首期成本的主要目标是利用现有腾讯云环境和开源组件完成业务闭环，而不是追求复杂架构。腾讯云CloudBase采用套餐/按量模式，OpenAI的ChatGPT订阅与API为不同计费渠道；实际价格以对应控制台账单为准。</w:t>
      </w:r>
    </w:p>
    <w:p>
      <w:pPr>
        <w:pStyle w:val="ListBullet"/>
      </w:pPr>
      <w:r>
        <w:t>默认不引入Redis、独立消息队列、商业BI、短信通知和大规模AI批处理；当现有数据库任务表、站内提醒和人工流程能够满足需求时，不新增付费组件。</w:t>
      </w:r>
    </w:p>
    <w:p>
      <w:pPr>
        <w:pStyle w:val="ListBullet"/>
      </w:pPr>
      <w:r>
        <w:t>所有付费资源必须有owner、月度上限、用途、关闭方式和预算告警。</w:t>
      </w:r>
    </w:p>
    <w:p>
      <w:pPr>
        <w:pStyle w:val="ListBullet"/>
      </w:pPr>
      <w:r>
        <w:t>性能问题先通过查询优化、索引、缓存表和异步任务解决，再考虑升配。</w:t>
      </w:r>
    </w:p>
    <w:p>
      <w:pPr>
        <w:pStyle w:val="Heading2"/>
      </w:pPr>
      <w:r>
        <w:t>17.2 预算预留</w:t>
      </w:r>
    </w:p>
    <w:tbl>
      <w:tblPr>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费用类别</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技术假设</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预算预留（人民币）</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触发升级条件</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腾讯云运行资源</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复用现有CloudBase Run/MySQL/静态托管，小规模内部用户。</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约300–2,000元/月</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CPU/内存、存储或响应时间持续超过阈值。</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备份、域名、证书、监控</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优先平台自带和免费证书。</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约0–1,500元/年</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需要更长保留期或第三方监控。</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Codex/ChatGPT与API</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开发使用现有账户；平台AI功能按需调用。</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开发账户按现有方案；API预留0–1,000元/月</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阶段4启用并经过预算审批。</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短信/微信通知</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首期关闭，使用站内任务和人工电话。</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约0–500元/月</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站内提醒无法满足明确业务场景。</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外部技术/安全支持（可选）</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仅用于复杂故障、安全评审或关键上线。</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约5,000–30,000元/次</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Codex和现有团队无法安全完成且有明确交付。</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首年现金预算参考</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不含内部业务人员时间和外包开发人工。</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约6,000–40,000元；另留20%预备金</w:t>
            </w:r>
          </w:p>
        </w:tc>
        <w:tc>
          <w:tcPr>
            <w:tcW w:type="dxa" w:w="221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每月账单复盘、每阶段重新批准。</w:t>
            </w:r>
          </w:p>
        </w:tc>
      </w:tr>
    </w:tbl>
    <w:p>
      <w:pPr>
        <w:pStyle w:val="Heading1"/>
      </w:pPr>
      <w:r>
        <w:t>18. Codex开发执行与非技术验收</w:t>
      </w:r>
    </w:p>
    <w:p>
      <w:pPr>
        <w:pStyle w:val="Heading2"/>
      </w:pPr>
      <w:r>
        <w:t>18.1 Codex执行规则</w:t>
      </w:r>
    </w:p>
    <w:p>
      <w:pPr/>
      <w:r>
        <w:t>Codex不是“自动上线工具”，而是受本文件约束的开发执行者。每次只处理一个明确任务，所有改动必须可查看、可测试、可回退。</w:t>
      </w:r>
    </w:p>
    <w:p>
      <w:pPr>
        <w:pStyle w:val="ListBullet"/>
      </w:pPr>
      <w:r>
        <w:t>禁止直接在生产数据库试错、禁止把生产密钥写入代码或聊天、禁止一次性重写两个现有项目、禁止对未确认口径自行作结论。</w:t>
      </w:r>
    </w:p>
    <w:p>
      <w:pPr>
        <w:pStyle w:val="ListBullet"/>
      </w:pPr>
      <w:r>
        <w:t>一任务一Issue/任务卡、一分支、一组相关提交和一个PR；PR必须说明改了什么、为什么、风险、测试和回滚。</w:t>
      </w:r>
    </w:p>
    <w:p>
      <w:pPr>
        <w:pStyle w:val="ListBullet"/>
      </w:pPr>
      <w:r>
        <w:t>先在dev运行自动测试，再部署staging给业务验收；只有业务负责人明确批准后才能执行生产迁移或部署。</w:t>
      </w:r>
    </w:p>
    <w:p>
      <w:pPr>
        <w:pStyle w:val="ListBullet"/>
      </w:pPr>
      <w:r>
        <w:t>遇到不确定的业务规则时停止编码，列出问题和可选方案，不用“技术上方便”替代业务决定。</w:t>
      </w:r>
    </w:p>
    <w:p>
      <w:pPr>
        <w:pStyle w:val="Heading2"/>
      </w:pPr>
      <w:r>
        <w:t>18.2 非技术团队验收流程</w:t>
      </w:r>
    </w:p>
    <w:p>
      <w:pPr>
        <w:pStyle w:val="CodeBlock"/>
      </w:pPr>
      <w:r>
        <w:t>1. Codex完成任务并生成“变更说明、页面截图/演示、测试结果、数据核对、权限测试、费用影响、回滚说明”。</w:t>
        <w:br/>
        <w:t>2. 业务负责人按场景操作预发布系统，不需要阅读代码。</w:t>
        <w:br/>
        <w:t>3. 数据负责人核对样例和MP数字；权限负责人使用不同账户验证看见/看不见的范围。</w:t>
        <w:br/>
        <w:t>4. 验收通过后明确回复“批准上线”；否则记录问题并由Codex修正。</w:t>
        <w:br/>
        <w:t>5. 上线后按检查清单观察24小时，异常时执行回滚。</w:t>
      </w:r>
    </w:p>
    <w:p>
      <w:pPr>
        <w:pStyle w:val="Heading2"/>
      </w:pPr>
      <w:r>
        <w:t>18.3 完成定义（Definition of Done）</w:t>
      </w:r>
    </w:p>
    <w:tbl>
      <w:tblPr>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项目</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Codex必须提交</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业务人员如何验收</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功能</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可运行页面/API、变更说明和演示步骤。</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按说明完成真实业务场景。</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数据</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迁移/导入脚本、核对报告、异常列表。</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关键数字与Excel或现有系统一致。</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权限</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角色矩阵和越权测试结果。</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用至少三个不同角色账户验证。</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隐私</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手机号脱敏、逐人授权、导出限制和审计测试。</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普通账号看不到/导不出敏感信息；最高权限流程可追溯。</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质量</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自动测试、构建结果、错误处理。</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主要操作无阻塞，提示能看懂。</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部署</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staging地址、生产步骤、备份和回滚脚本。</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未批准前不生产上线；批准后可恢复。</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费用</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是否新增资源、预计月费、预算告警设置。</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无批准不产生新增付费。</w:t>
            </w:r>
          </w:p>
        </w:tc>
      </w:tr>
      <w:tr>
        <w:tc>
          <w:tcPr>
            <w:tcW w:type="dxa" w:w="1020"/>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文档</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README、数据字典、接口和发布说明同步更新。</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下一次无需重新猜测。</w:t>
            </w:r>
          </w:p>
        </w:tc>
      </w:tr>
    </w:tbl>
    <w:p>
      <w:pPr>
        <w:pStyle w:val="Heading2"/>
      </w:pPr>
      <w:r>
        <w:t>18.4 Codex任务卡模板</w:t>
      </w:r>
    </w:p>
    <w:p>
      <w:pPr>
        <w:pStyle w:val="CodeBlock"/>
      </w:pPr>
      <w:r>
        <w:t>任务目标：只描述一个可验收结果。</w:t>
        <w:br/>
        <w:t>业务依据：需求文档章节和已确认口径。</w:t>
        <w:br/>
        <w:t>允许修改：明确仓库、目录、数据库表。</w:t>
        <w:br/>
        <w:t>禁止事项：不得改生产、不得泄露密钥、不得扩大范围。</w:t>
        <w:br/>
        <w:t>验收场景：给出业务人员可操作的步骤和预期结果。</w:t>
        <w:br/>
        <w:t>测试要求：单元、集成、权限、数据核对。</w:t>
        <w:br/>
        <w:t>交付物：PR、迁移脚本、截图、测试报告、费用影响、回滚说明。</w:t>
      </w:r>
    </w:p>
    <w:p>
      <w:pPr>
        <w:pStyle w:val="Heading2"/>
      </w:pPr>
      <w:r>
        <w:t>18.5 建议的首批Codex任务顺序</w:t>
      </w:r>
    </w:p>
    <w:tbl>
      <w:tblPr>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顺序</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任务</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上线条件</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1</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把最终需求和技术文档放入新仓库docs，建立任务模板和禁止生产直改规则。</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文档版本和仓库结构确认。</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2</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建立dev/staging环境、.env.example、数据库备份/恢复和CI测试。</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不接生产敏感数据。</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3</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升级IAM：多角色、组织范围、数据安全管理员和审计。</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越权测试全部通过。</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4</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建立年度MP新模型并导入2026工作簿，只读核对。</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关键数值、空值和黄埔班口径一致。</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5</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上线月MP/预定/实绩填报和六分中心看板。</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业务验收后再开放写入。</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6</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实现手机号加密/脱敏、逐人联系授权和敏感导出隔离。</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历史数据迁移可回滚，隐私测试通过。</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7</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实现电话/企业走访关怀闭环。</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选定小范围试点。</w:t>
            </w:r>
          </w:p>
        </w:tc>
      </w:tr>
      <w:tr>
        <w:tc>
          <w:tcPr>
            <w:tcW w:type="dxa" w:w="567"/>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8</w:t>
            </w:r>
          </w:p>
        </w:tc>
        <w:tc>
          <w:tcPr>
            <w:tcW w:type="dxa" w:w="4876"/>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接入签到/读书自动指标并逐步迁移签到管理后台。</w:t>
            </w:r>
          </w:p>
        </w:tc>
        <w:tc>
          <w:tcPr>
            <w:tcW w:type="dxa" w:w="238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现场扫码链路保持独立。</w:t>
            </w:r>
          </w:p>
        </w:tc>
      </w:tr>
    </w:tbl>
    <w:p>
      <w:pPr>
        <w:pStyle w:val="Heading1"/>
      </w:pPr>
      <w:r>
        <w:t>附录A：建议接口清单</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3289"/>
        <w:gridCol w:w="3289"/>
        <w:gridCol w:w="3289"/>
      </w:tblGrid>
      <w:tr>
        <w:trPr>
          <w:tblHeader w:val="true"/>
          <w:tblHeader w:val="true"/>
        </w:trPr>
        <w:tc>
          <w:tcPr>
            <w:tcW w:type="dxa" w:w="794"/>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3"/>
              </w:rPr>
              <w:t>方法</w:t>
            </w:r>
          </w:p>
        </w:tc>
        <w:tc>
          <w:tcPr>
            <w:tcW w:type="dxa" w:w="3402"/>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3"/>
              </w:rPr>
              <w:t>路径</w:t>
            </w:r>
          </w:p>
        </w:tc>
        <w:tc>
          <w:tcPr>
            <w:tcW w:type="dxa" w:w="3742"/>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3"/>
              </w:rPr>
              <w:t>说明</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/api/v1/auth/login</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登录</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/api/v1/auth/refresh</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刷新会话</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/api/v1/me</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当前用户和权限</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/api/v1/org-units/tree</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组织树</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/api/v1/members</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学长列表</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/api/v1/members/{id}</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个人画像</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/api/v1/annual-plans</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年度方案</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/api/v1/annual-plans/{id}/publish</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发布</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GET/PUT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/api/v1/org-metric-targets</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组织目标</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GET/PUT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/api/v1/metric-period-values</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月MP/预定/实绩</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/api/v1/metrics/recalculate</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重算</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/api/v1/metrics/{id}/lineage</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计算明细</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/api/v1/followup-tasks</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关怀任务</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/api/v1/followup-tasks/{id}/records</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沟通记录</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GET/PUT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/api/v1/members/{id}/renewal-assessment</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续费状态</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/api/v1/member-signals</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个人信号</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GET/POST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/api/v1/activities</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活动</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/api/v1/attendance/overview</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参会分析</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/api/v1/imports/mp</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MP导入</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/api/v1/imports/{id}/preview</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导入预览</w:t>
            </w:r>
          </w:p>
        </w:tc>
      </w:tr>
      <w:tr>
        <w:tc>
          <w:tcPr>
            <w:tcW w:type="dxa" w:w="79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3"/>
              </w:rPr>
              <w:t>POST</w:t>
            </w:r>
          </w:p>
        </w:tc>
        <w:tc>
          <w:tcPr>
            <w:tcW w:type="dxa" w:w="340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/api/v1/imports/{id}/apply</w:t>
            </w:r>
          </w:p>
        </w:tc>
        <w:tc>
          <w:tcPr>
            <w:tcW w:type="dxa" w:w="3742"/>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3"/>
              </w:rPr>
              <w:t>应用导入</w:t>
            </w:r>
          </w:p>
        </w:tc>
      </w:tr>
      <w:tr>
        <w:tc>
          <w:tcPr>
            <w:tcW w:type="dxa" w:w="79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3"/>
              </w:rPr>
              <w:t>GET</w:t>
            </w:r>
          </w:p>
        </w:tc>
        <w:tc>
          <w:tcPr>
            <w:tcW w:type="dxa" w:w="340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/api/v1/audit-logs</w:t>
            </w:r>
          </w:p>
        </w:tc>
        <w:tc>
          <w:tcPr>
            <w:tcW w:type="dxa" w:w="3742"/>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3"/>
              </w:rPr>
              <w:t>审计查询</w:t>
            </w:r>
          </w:p>
        </w:tc>
      </w:tr>
      <w:tr>
        <w:tc>
          <w:tcPr>
            <w:tcW w:type="dxa" w:w="79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POST</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/api/v1/members/{id}/contact-access</w:t>
            </w:r>
          </w:p>
        </w:tc>
        <w:tc>
          <w:tcPr>
            <w:tcW w:type="dxa" w:w="374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在有效任务中逐人授权查看完整联系方式并写审计</w:t>
            </w:r>
          </w:p>
        </w:tc>
      </w:tr>
      <w:tr>
        <w:tc>
          <w:tcPr>
            <w:tcW w:type="dxa" w:w="79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POST</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/api/v1/followup-tasks/{id}/visit-records</w:t>
            </w:r>
          </w:p>
        </w:tc>
        <w:tc>
          <w:tcPr>
            <w:tcW w:type="dxa" w:w="374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新增企业走访记录</w:t>
            </w:r>
          </w:p>
        </w:tc>
      </w:tr>
      <w:tr>
        <w:tc>
          <w:tcPr>
            <w:tcW w:type="dxa" w:w="79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POST</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/api/v1/exports</w:t>
            </w:r>
          </w:p>
        </w:tc>
        <w:tc>
          <w:tcPr>
            <w:tcW w:type="dxa" w:w="374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创建普通/敏感导出任务；敏感默认禁止</w:t>
            </w:r>
          </w:p>
        </w:tc>
      </w:tr>
      <w:tr>
        <w:tc>
          <w:tcPr>
            <w:tcW w:type="dxa" w:w="79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GET</w:t>
            </w:r>
          </w:p>
        </w:tc>
        <w:tc>
          <w:tcPr>
            <w:tcW w:type="dxa" w:w="340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/api/v1/exports/{id}</w:t>
            </w:r>
          </w:p>
        </w:tc>
        <w:tc>
          <w:tcPr>
            <w:tcW w:type="dxa" w:w="3742"/>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3"/>
              </w:rPr>
            </w:r>
            <w:r>
              <w:rPr>
                <w:rFonts w:ascii="Microsoft YaHei" w:hAnsi="Microsoft YaHei" w:eastAsia="Microsoft YaHei"/>
                <w:b w:val="0"/>
                <w:color w:val="20302A"/>
                <w:sz w:val="13"/>
              </w:rPr>
              <w:t>查看状态并获取限时下载链接</w:t>
            </w:r>
          </w:p>
        </w:tc>
      </w:tr>
    </w:tbl>
    <w:p/>
    <w:p>
      <w:pPr>
        <w:pStyle w:val="Heading1"/>
      </w:pPr>
      <w:r>
        <w:t>附录B：核心表清单</w:t>
      </w:r>
    </w:p>
    <w:tbl>
      <w:tblPr>
        <w:tblW w:type="auto" w:w="0"/>
        <w:tblLayout w:type="autofit"/>
        <w:tblLook w:firstColumn="1" w:firstRow="1" w:lastColumn="0" w:lastRow="0" w:noHBand="0" w:noVBand="1" w:val="04A0"/>
        <w:jc w:val="center"/>
        <w:tblBorders>
          <w:top w:val="single" w:sz="6" w:space="0" w:color="C8D5CE"/>
          <w:left w:val="single" w:sz="6" w:space="0" w:color="C8D5CE"/>
          <w:bottom w:val="single" w:sz="6" w:space="0" w:color="C8D5CE"/>
          <w:right w:val="single" w:sz="6" w:space="0" w:color="C8D5CE"/>
          <w:insideH w:val="single" w:sz="6" w:space="0" w:color="C8D5CE"/>
          <w:insideV w:val="single" w:sz="6" w:space="0" w:color="C8D5CE"/>
        </w:tblBorders>
      </w:tblPr>
      <w:tblGrid>
        <w:gridCol w:w="4933"/>
        <w:gridCol w:w="4933"/>
      </w:tblGrid>
      <w:tr>
        <w:trPr>
          <w:tblHeader w:val="true"/>
          <w:tblHeader w:val="true"/>
        </w:trPr>
        <w:tc>
          <w:tcPr>
            <w:tcW w:type="dxa" w:w="1814"/>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领域</w:t>
            </w:r>
          </w:p>
        </w:tc>
        <w:tc>
          <w:tcPr>
            <w:tcW w:type="dxa" w:w="6009"/>
            <w:shd w:fill="185943"/>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4"/>
              </w:rPr>
              <w:t>表</w:t>
            </w:r>
          </w:p>
        </w:tc>
      </w:tr>
      <w:tr>
        <w:tc>
          <w:tcPr>
            <w:tcW w:type="dxa" w:w="181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IAM</w:t>
            </w:r>
          </w:p>
        </w:tc>
        <w:tc>
          <w:tcPr>
            <w:tcW w:type="dxa" w:w="6009"/>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app_users, roles, permissions, user_roles, role_permissions, data_scope_grants</w:t>
            </w:r>
          </w:p>
        </w:tc>
      </w:tr>
      <w:tr>
        <w:tc>
          <w:tcPr>
            <w:tcW w:type="dxa" w:w="181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组织成员</w:t>
            </w:r>
          </w:p>
        </w:tc>
        <w:tc>
          <w:tcPr>
            <w:tcW w:type="dxa" w:w="6009"/>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org_units, org_positions, member_org_assignments, cohorts, member_identifiers</w:t>
            </w:r>
          </w:p>
        </w:tc>
      </w:tr>
      <w:tr>
        <w:tc>
          <w:tcPr>
            <w:tcW w:type="dxa" w:w="181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年度MP</w:t>
            </w:r>
          </w:p>
        </w:tc>
        <w:tc>
          <w:tcPr>
            <w:tcW w:type="dxa" w:w="6009"/>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metric_definitions, metric_versions, annual_plans, plan_metrics, org_metric_targets, metric_period_values</w:t>
            </w:r>
          </w:p>
        </w:tc>
      </w:tr>
      <w:tr>
        <w:tc>
          <w:tcPr>
            <w:tcW w:type="dxa" w:w="181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计算治理</w:t>
            </w:r>
          </w:p>
        </w:tc>
        <w:tc>
          <w:tcPr>
            <w:tcW w:type="dxa" w:w="6009"/>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metric_calculation_runs, metric_overrides, data_quality_issues</w:t>
            </w:r>
          </w:p>
        </w:tc>
      </w:tr>
      <w:tr>
        <w:tc>
          <w:tcPr>
            <w:tcW w:type="dxa" w:w="181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重点行动</w:t>
            </w:r>
          </w:p>
        </w:tc>
        <w:tc>
          <w:tcPr>
            <w:tcW w:type="dxa" w:w="6009"/>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annual_actions, action_milestones, action_updates</w:t>
            </w:r>
          </w:p>
        </w:tc>
      </w:tr>
      <w:tr>
        <w:tc>
          <w:tcPr>
            <w:tcW w:type="dxa" w:w="181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个人发展</w:t>
            </w:r>
          </w:p>
        </w:tc>
        <w:tc>
          <w:tcPr>
            <w:tcW w:type="dxa" w:w="6009"/>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member_enterprise_profiles, member_needs, member_signals, renewal_assessments</w:t>
            </w:r>
          </w:p>
        </w:tc>
      </w:tr>
      <w:tr>
        <w:tc>
          <w:tcPr>
            <w:tcW w:type="dxa" w:w="1814"/>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center"/>
            </w:pPr>
            <w:r>
              <w:rPr>
                <w:rFonts w:ascii="Microsoft YaHei" w:hAnsi="Microsoft YaHei" w:eastAsia="Microsoft YaHei"/>
                <w:b w:val="0"/>
                <w:color w:val="20302A"/>
                <w:sz w:val="14"/>
              </w:rPr>
              <w:t>关怀服务</w:t>
            </w:r>
          </w:p>
        </w:tc>
        <w:tc>
          <w:tcPr>
            <w:tcW w:type="dxa" w:w="6009"/>
            <w:tcMar>
              <w:top w:w="70" w:type="dxa"/>
              <w:start w:w="85" w:type="dxa"/>
              <w:bottom w:w="70" w:type="dxa"/>
              <w:end w:w="85" w:type="dxa"/>
            </w:tcMar>
            <w:vAlign w:val="center"/>
            <w:tcBorders>
              <w:top w:val="single" w:sz="4" w:color="C8D3CE"/>
              <w:left w:val="single" w:sz="4" w:color="C8D3CE"/>
              <w:bottom w:val="single" w:sz="4" w:color="C8D3CE"/>
              <w:right w:val="single" w:sz="4" w:color="C8D3CE"/>
            </w:tcBorders>
            <w:shd w:fill="FFFFFF"/>
          </w:tcPr>
          <w:p>
            <w:pPr>
              <w:spacing w:after="0" w:line="245" w:lineRule="auto" w:before="0"/>
              <w:jc w:val="left"/>
            </w:pPr>
            <w:r>
              <w:rPr>
                <w:rFonts w:ascii="Microsoft YaHei" w:hAnsi="Microsoft YaHei" w:eastAsia="Microsoft YaHei"/>
                <w:b w:val="0"/>
                <w:color w:val="20302A"/>
                <w:sz w:val="14"/>
              </w:rPr>
              <w:t>followup_tasks, followup_records, support_resources, resource_matches</w:t>
            </w:r>
          </w:p>
        </w:tc>
      </w:tr>
      <w:tr>
        <w:tc>
          <w:tcPr>
            <w:tcW w:type="dxa" w:w="1814"/>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center"/>
            </w:pPr>
            <w:r>
              <w:rPr>
                <w:rFonts w:ascii="Microsoft YaHei" w:hAnsi="Microsoft YaHei" w:eastAsia="Microsoft YaHei"/>
                <w:b w:val="0"/>
                <w:color w:val="20302A"/>
                <w:sz w:val="14"/>
              </w:rPr>
              <w:t>治理</w:t>
            </w:r>
          </w:p>
        </w:tc>
        <w:tc>
          <w:tcPr>
            <w:tcW w:type="dxa" w:w="6009"/>
            <w:tcMar>
              <w:top w:w="70" w:type="dxa"/>
              <w:start w:w="85" w:type="dxa"/>
              <w:bottom w:w="70" w:type="dxa"/>
              <w:end w:w="85" w:type="dxa"/>
            </w:tcMar>
            <w:vAlign w:val="center"/>
            <w:shd w:fill="F5F7F6"/>
            <w:tcBorders>
              <w:top w:val="single" w:sz="4" w:color="C8D3CE"/>
              <w:left w:val="single" w:sz="4" w:color="C8D3CE"/>
              <w:bottom w:val="single" w:sz="4" w:color="C8D3CE"/>
              <w:right w:val="single" w:sz="4" w:color="C8D3CE"/>
            </w:tcBorders>
          </w:tcPr>
          <w:p>
            <w:pPr>
              <w:spacing w:after="0" w:line="245" w:lineRule="auto" w:before="0"/>
              <w:jc w:val="left"/>
            </w:pPr>
            <w:r>
              <w:rPr>
                <w:rFonts w:ascii="Microsoft YaHei" w:hAnsi="Microsoft YaHei" w:eastAsia="Microsoft YaHei"/>
                <w:b w:val="0"/>
                <w:color w:val="20302A"/>
                <w:sz w:val="14"/>
              </w:rPr>
              <w:t>consent_records, sensitive_access_logs, audit_logs, import_batches, sync_logs</w:t>
            </w:r>
          </w:p>
        </w:tc>
      </w:tr>
      <w:tr>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联系与隐私</w:t>
            </w:r>
          </w:p>
        </w:tc>
        <w:tc>
          <w:tcPr>
            <w:tcW w:type="dxa" w:w="600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contact_access_logs, visit_records, sensitive_export_jobs, export_download_logs</w:t>
            </w:r>
          </w:p>
        </w:tc>
      </w:tr>
    </w:tbl>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F6B66"/>
        <w:sz w:val="16"/>
      </w:rPr>
      <w:t xml:space="preserve">盛和塾综合运营与发展建设平台  ·  第 </w:t>
    </w:r>
    <w:r>
      <w:rPr>
        <w:rFonts w:ascii="Noto Sans CJK SC" w:hAnsi="Noto Sans CJK SC" w:eastAsia="Noto Sans CJK SC"/>
        <w:color w:val="5F6B66"/>
        <w:sz w:val="16"/>
      </w:rPr>
      <w:fldChar w:fldCharType="begin"/>
      <w:instrText xml:space="preserve">PAGE</w:instrText>
      <w:fldChar w:fldCharType="end"/>
    </w:r>
    <w:r>
      <w:rPr>
        <w:rFonts w:ascii="Noto Sans CJK SC" w:hAnsi="Noto Sans CJK SC" w:eastAsia="Noto Sans CJK SC"/>
        <w:color w:val="5F6B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8D5CE"/>
      </w:pBdr>
    </w:pPr>
    <w:r>
      <w:rPr>
        <w:rFonts w:ascii="Microsoft YaHei" w:hAnsi="Microsoft YaHei" w:eastAsia="Microsoft YaHei"/>
        <w:b w:val="0"/>
        <w:color w:val="6D7772"/>
        <w:sz w:val="17"/>
      </w:rPr>
      <w:t>技术设计与Codex开发实施文档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74B3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D7A5B"/>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74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eastAsia="Noto Sans CJK SC"/>
      <w:b/>
      <w:color w:val="174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SC" w:hAnsi="Noto Sans CJK SC" w:eastAsia="Noto Sans CJK SC"/>
      <w:b/>
      <w:i/>
      <w:iCs/>
      <w:color w:val="5F6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76" w:lineRule="auto"/>
      <w:ind w:left="283" w:right="170"/>
    </w:pPr>
    <w:rPr>
      <w:rFonts w:ascii="DejaVu Sans Mono" w:hAnsi="DejaVu Sans Mono" w:eastAsia="DejaVu Sans Mono"/>
      <w:sz w:val="17"/>
    </w:rPr>
  </w:style>
  <w:style w:type="paragraph" w:customStyle="1" w:styleId="SmallText">
    <w:name w:val="Small Text"/>
    <w:pPr>
      <w:spacing w:after="60" w:line="288" w:lineRule="auto"/>
    </w:pPr>
    <w:rPr>
      <w:rFonts w:ascii="Noto Sans CJK SC" w:hAnsi="Noto Sans CJK SC" w:eastAsia="Noto Sans CJK SC"/>
      <w:color w:val="5F6B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盛和塾综合运营与发展建设平台技术设计与Codex开发实施文档 V1.1</dc:title>
  <dc:subject>最终技术基线（Codex执行版）</dc:subject>
  <dc:creator>盛和塾</dc:creator>
  <cp:keywords>盛和塾, 运营管理, 年度MP, 个人画像, 组织建设</cp:keywords>
  <dc:description>generated by python-docx</dc:description>
  <cp:lastModifiedBy>盛和塾</cp:lastModifiedBy>
  <cp:revision>1</cp:revision>
  <dcterms:created xsi:type="dcterms:W3CDTF">2013-12-23T23:15:00Z</dcterms:created>
  <dcterms:modified xsi:type="dcterms:W3CDTF">2013-12-23T23:15:00Z</dcterms:modified>
  <cp:category/>
</cp:coreProperties>
</file>