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4FE0"/>
          <w:sz w:val="72"/>
          <w:szCs w:val="72"/>
        </w:rPr>
        <w:t xml:space="preserve">ClashLab</w:t>
      </w:r>
    </w:p>
    <w:p>
      <w:pPr>
        <w:spacing w:after="800" w:before="200"/>
        <w:jc w:val="center"/>
      </w:pPr>
      <w:r>
        <w:rPr>
          <w:color w:val="5B6472"/>
          <w:sz w:val="28"/>
          <w:szCs w:val="28"/>
        </w:rPr>
        <w:t xml:space="preserve">AI-Powered Debate Coaching &amp; Presentation Analysis Platform</w:t>
      </w:r>
    </w:p>
    <w:p>
      <w:pPr>
        <w:spacing w:before="1200"/>
        <w:jc w:val="center"/>
      </w:pPr>
      <w:r>
        <w:rPr>
          <w:b/>
          <w:bCs/>
          <w:sz w:val="32"/>
          <w:szCs w:val="32"/>
        </w:rPr>
        <w:t xml:space="preserve">Project Report</w:t>
      </w:r>
    </w:p>
    <w:p>
      <w:pPr>
        <w:spacing w:before="800"/>
        <w:jc w:val="center"/>
      </w:pPr>
      <w:r>
        <w:rPr>
          <w:i/>
          <w:iCs/>
          <w:color w:val="5B6472"/>
          <w:sz w:val="22"/>
          <w:szCs w:val="22"/>
        </w:rPr>
        <w:t xml:space="preserve">A full-stack, zero-budget application combining a FastAPI backend, a React frontend, and multiple distinct AI agent architectures.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ClashLab is a full-stack debate coaching and presentation analysis platform built from the ground up on a zero-budget constraint: every capability runs on free tiers, and every dependency was chosen deliberately, with documented reasoning for anything that was substituted, simplified, or rejected.</w:t>
      </w:r>
    </w:p>
    <w:p>
      <w:pPr>
        <w:spacing w:after="160"/>
      </w:pPr>
      <w:r>
        <w:t xml:space="preserve">The platform combines conventional CRUD-based features (profiles, goals, classes, notifications) with four genuinely distinct artificial intelligence architectures — a fixed pipeline, a multi-agent graph, a self-directed search loop, and a tool-calling agent — each chosen deliberately for the task it serves, not applied uniformly for its own sake.</w:t>
      </w:r>
    </w:p>
    <w:p>
      <w:pPr>
        <w:spacing w:after="160"/>
      </w:pPr>
      <w:r>
        <w:t xml:space="preserve">As of this report, the platform has passed a complete functional testing pass: a rebuilt seed dataset covering every feature and every user role, a written manual test plan with concrete sample inputs, and an automated API smoke test suite covering 54 checks across every module and every role, all passing — including verified role-based access control and a complete human-vs-human debate flow executed end-to-end with two real accounts.</w:t>
      </w:r>
    </w:p>
    <w:p>
      <w:pPr>
        <w:pStyle w:val="Heading1"/>
        <w:spacing w:after="200" w:before="400"/>
      </w:pPr>
      <w:r>
        <w:t xml:space="preserve">2. Project Objectives</w:t>
      </w:r>
    </w:p>
    <w:p>
      <w:pPr>
        <w:pStyle w:val="ListParagraph"/>
        <w:numPr>
          <w:ilvl w:val="0"/>
          <w:numId w:val="1"/>
        </w:numPr>
        <w:spacing w:after="80"/>
      </w:pPr>
      <w:r>
        <w:t xml:space="preserve">Provide a genuinely useful set of AI-assisted debate and presentation practice tools, not a single novelty feature.</w:t>
      </w:r>
    </w:p>
    <w:p>
      <w:pPr>
        <w:pStyle w:val="ListParagraph"/>
        <w:numPr>
          <w:ilvl w:val="0"/>
          <w:numId w:val="1"/>
        </w:numPr>
        <w:spacing w:after="80"/>
      </w:pPr>
      <w:r>
        <w:t xml:space="preserve">Support every role a real debate program needs: individual learners, one-on-one coaching (Debate Coach), classroom-style cohort management (Educator), and platform administration (Admin).</w:t>
      </w:r>
    </w:p>
    <w:p>
      <w:pPr>
        <w:pStyle w:val="ListParagraph"/>
        <w:numPr>
          <w:ilvl w:val="0"/>
          <w:numId w:val="1"/>
        </w:numPr>
        <w:spacing w:after="80"/>
      </w:pPr>
      <w:r>
        <w:t xml:space="preserve">Demonstrate multiple distinct patterns of AI agent design within a single coherent product, rather than one repeated pattern.</w:t>
      </w:r>
    </w:p>
    <w:p>
      <w:pPr>
        <w:pStyle w:val="ListParagraph"/>
        <w:numPr>
          <w:ilvl w:val="0"/>
          <w:numId w:val="1"/>
        </w:numPr>
        <w:spacing w:after="80"/>
      </w:pPr>
      <w:r>
        <w:t xml:space="preserve">Operate entirely on free-tier infrastructure, with every architectural choice justified against that constraint.</w:t>
      </w:r>
    </w:p>
    <w:p>
      <w:pPr>
        <w:pStyle w:val="ListParagraph"/>
        <w:numPr>
          <w:ilvl w:val="0"/>
          <w:numId w:val="1"/>
        </w:numPr>
        <w:spacing w:after="80"/>
      </w:pPr>
      <w:r>
        <w:t xml:space="preserve">Reach a fully tested, stable state before any purely visual redesign work, to avoid destabilizing a working system.</w:t>
      </w:r>
    </w:p>
    <w:p>
      <w:pPr>
        <w:pStyle w:val="Heading1"/>
        <w:spacing w:after="200" w:before="400"/>
      </w:pPr>
      <w:r>
        <w:t xml:space="preserve">3. Technology Stack</w:t>
      </w:r>
    </w:p>
    <w:p>
      <w:pPr>
        <w:pStyle w:val="Heading2"/>
        <w:spacing w:after="150" w:before="300"/>
      </w:pPr>
      <w:r>
        <w:t xml:space="preserve">3.1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EEEDFE" w:val="clear"/>
            <w:tcMar>
              <w:top w:type="dxa" w:w="100"/>
              <w:left w:type="dxa" w:w="120"/>
              <w:bottom w:type="dxa" w:w="100"/>
              <w:right w:type="dxa" w:w="120"/>
            </w:tcMar>
          </w:tcPr>
          <w:p>
            <w:r>
              <w:rPr>
                <w:b/>
                <w:bCs/>
                <w:sz w:val="20"/>
                <w:szCs w:val="20"/>
              </w:rPr>
              <w:t xml:space="preserve">Technology</w:t>
            </w:r>
          </w:p>
        </w:tc>
        <w:tc>
          <w:tcPr>
            <w:tcW w:type="dxa" w:w="2200"/>
            <w:shd w:fill="EEEDFE" w:val="clear"/>
            <w:tcMar>
              <w:top w:type="dxa" w:w="100"/>
              <w:left w:type="dxa" w:w="120"/>
              <w:bottom w:type="dxa" w:w="100"/>
              <w:right w:type="dxa" w:w="120"/>
            </w:tcMar>
          </w:tcPr>
          <w:p>
            <w:r>
              <w:rPr>
                <w:b/>
                <w:bCs/>
                <w:sz w:val="20"/>
                <w:szCs w:val="20"/>
              </w:rPr>
              <w:t xml:space="preserve">Role</w:t>
            </w:r>
          </w:p>
        </w:tc>
        <w:tc>
          <w:tcPr>
            <w:tcW w:type="dxa" w:w="4600"/>
            <w:shd w:fill="EEEDFE" w:val="clear"/>
            <w:tcMar>
              <w:top w:type="dxa" w:w="100"/>
              <w:left w:type="dxa" w:w="120"/>
              <w:bottom w:type="dxa" w:w="100"/>
              <w:right w:type="dxa" w:w="120"/>
            </w:tcMar>
          </w:tcPr>
          <w:p>
            <w:r>
              <w:rPr>
                <w:b/>
                <w:bCs/>
                <w:sz w:val="20"/>
                <w:szCs w:val="20"/>
              </w:rPr>
              <w:t xml:space="preserve">Why this choice</w:t>
            </w:r>
          </w:p>
        </w:tc>
      </w:tr>
      <w:tr>
        <w:tc>
          <w:tcPr>
            <w:tcW w:type="dxa" w:w="2200"/>
            <w:tcMar>
              <w:top w:type="dxa" w:w="100"/>
              <w:left w:type="dxa" w:w="120"/>
              <w:bottom w:type="dxa" w:w="100"/>
              <w:right w:type="dxa" w:w="120"/>
            </w:tcMar>
          </w:tcPr>
          <w:p>
            <w:r>
              <w:rPr>
                <w:b w:val="false"/>
                <w:bCs w:val="false"/>
                <w:sz w:val="20"/>
                <w:szCs w:val="20"/>
              </w:rPr>
              <w:t xml:space="preserve">FastAPI</w:t>
            </w:r>
          </w:p>
        </w:tc>
        <w:tc>
          <w:tcPr>
            <w:tcW w:type="dxa" w:w="2200"/>
            <w:tcMar>
              <w:top w:type="dxa" w:w="100"/>
              <w:left w:type="dxa" w:w="120"/>
              <w:bottom w:type="dxa" w:w="100"/>
              <w:right w:type="dxa" w:w="120"/>
            </w:tcMar>
          </w:tcPr>
          <w:p>
            <w:r>
              <w:rPr>
                <w:b w:val="false"/>
                <w:bCs w:val="false"/>
                <w:sz w:val="20"/>
                <w:szCs w:val="20"/>
              </w:rPr>
              <w:t xml:space="preserve">Python web framework</w:t>
            </w:r>
          </w:p>
        </w:tc>
        <w:tc>
          <w:tcPr>
            <w:tcW w:type="dxa" w:w="4600"/>
            <w:tcMar>
              <w:top w:type="dxa" w:w="100"/>
              <w:left w:type="dxa" w:w="120"/>
              <w:bottom w:type="dxa" w:w="100"/>
              <w:right w:type="dxa" w:w="120"/>
            </w:tcMar>
          </w:tcPr>
          <w:p>
            <w:r>
              <w:rPr>
                <w:b w:val="false"/>
                <w:bCs w:val="false"/>
                <w:sz w:val="20"/>
                <w:szCs w:val="20"/>
              </w:rPr>
              <w:t xml:space="preserve">Async-friendly, automatic OpenAPI docs, minimal boilerplate for a REST API this size.</w:t>
            </w:r>
          </w:p>
        </w:tc>
      </w:tr>
      <w:tr>
        <w:tc>
          <w:tcPr>
            <w:tcW w:type="dxa" w:w="2200"/>
            <w:tcMar>
              <w:top w:type="dxa" w:w="100"/>
              <w:left w:type="dxa" w:w="120"/>
              <w:bottom w:type="dxa" w:w="100"/>
              <w:right w:type="dxa" w:w="120"/>
            </w:tcMar>
          </w:tcPr>
          <w:p>
            <w:r>
              <w:rPr>
                <w:b w:val="false"/>
                <w:bCs w:val="false"/>
                <w:sz w:val="20"/>
                <w:szCs w:val="20"/>
              </w:rPr>
              <w:t xml:space="preserve">Uvicorn</w:t>
            </w:r>
          </w:p>
        </w:tc>
        <w:tc>
          <w:tcPr>
            <w:tcW w:type="dxa" w:w="2200"/>
            <w:tcMar>
              <w:top w:type="dxa" w:w="100"/>
              <w:left w:type="dxa" w:w="120"/>
              <w:bottom w:type="dxa" w:w="100"/>
              <w:right w:type="dxa" w:w="120"/>
            </w:tcMar>
          </w:tcPr>
          <w:p>
            <w:r>
              <w:rPr>
                <w:b w:val="false"/>
                <w:bCs w:val="false"/>
                <w:sz w:val="20"/>
                <w:szCs w:val="20"/>
              </w:rPr>
              <w:t xml:space="preserve">ASGI server</w:t>
            </w:r>
          </w:p>
        </w:tc>
        <w:tc>
          <w:tcPr>
            <w:tcW w:type="dxa" w:w="4600"/>
            <w:tcMar>
              <w:top w:type="dxa" w:w="100"/>
              <w:left w:type="dxa" w:w="120"/>
              <w:bottom w:type="dxa" w:w="100"/>
              <w:right w:type="dxa" w:w="120"/>
            </w:tcMar>
          </w:tcPr>
          <w:p>
            <w:r>
              <w:rPr>
                <w:b w:val="false"/>
                <w:bCs w:val="false"/>
                <w:sz w:val="20"/>
                <w:szCs w:val="20"/>
              </w:rPr>
              <w:t xml:space="preserve">Runs the FastAPI app; supports hot-reload during development.</w:t>
            </w:r>
          </w:p>
        </w:tc>
      </w:tr>
      <w:tr>
        <w:tc>
          <w:tcPr>
            <w:tcW w:type="dxa" w:w="2200"/>
            <w:tcMar>
              <w:top w:type="dxa" w:w="100"/>
              <w:left w:type="dxa" w:w="120"/>
              <w:bottom w:type="dxa" w:w="100"/>
              <w:right w:type="dxa" w:w="120"/>
            </w:tcMar>
          </w:tcPr>
          <w:p>
            <w:r>
              <w:rPr>
                <w:b w:val="false"/>
                <w:bCs w:val="false"/>
                <w:sz w:val="20"/>
                <w:szCs w:val="20"/>
              </w:rPr>
              <w:t xml:space="preserve">Pydantic</w:t>
            </w:r>
          </w:p>
        </w:tc>
        <w:tc>
          <w:tcPr>
            <w:tcW w:type="dxa" w:w="2200"/>
            <w:tcMar>
              <w:top w:type="dxa" w:w="100"/>
              <w:left w:type="dxa" w:w="120"/>
              <w:bottom w:type="dxa" w:w="100"/>
              <w:right w:type="dxa" w:w="120"/>
            </w:tcMar>
          </w:tcPr>
          <w:p>
            <w:r>
              <w:rPr>
                <w:b w:val="false"/>
                <w:bCs w:val="false"/>
                <w:sz w:val="20"/>
                <w:szCs w:val="20"/>
              </w:rPr>
              <w:t xml:space="preserve">Data validation</w:t>
            </w:r>
          </w:p>
        </w:tc>
        <w:tc>
          <w:tcPr>
            <w:tcW w:type="dxa" w:w="4600"/>
            <w:tcMar>
              <w:top w:type="dxa" w:w="100"/>
              <w:left w:type="dxa" w:w="120"/>
              <w:bottom w:type="dxa" w:w="100"/>
              <w:right w:type="dxa" w:w="120"/>
            </w:tcMar>
          </w:tcPr>
          <w:p>
            <w:r>
              <w:rPr>
                <w:b w:val="false"/>
                <w:bCs w:val="false"/>
                <w:sz w:val="20"/>
                <w:szCs w:val="20"/>
              </w:rPr>
              <w:t xml:space="preserve">Request/response validation and serialization, built into FastAPI.</w:t>
            </w:r>
          </w:p>
        </w:tc>
      </w:tr>
      <w:tr>
        <w:tc>
          <w:tcPr>
            <w:tcW w:type="dxa" w:w="2200"/>
            <w:tcMar>
              <w:top w:type="dxa" w:w="100"/>
              <w:left w:type="dxa" w:w="120"/>
              <w:bottom w:type="dxa" w:w="100"/>
              <w:right w:type="dxa" w:w="120"/>
            </w:tcMar>
          </w:tcPr>
          <w:p>
            <w:r>
              <w:rPr>
                <w:b w:val="false"/>
                <w:bCs w:val="false"/>
                <w:sz w:val="20"/>
                <w:szCs w:val="20"/>
              </w:rPr>
              <w:t xml:space="preserve">requests / httpx</w:t>
            </w:r>
          </w:p>
        </w:tc>
        <w:tc>
          <w:tcPr>
            <w:tcW w:type="dxa" w:w="2200"/>
            <w:tcMar>
              <w:top w:type="dxa" w:w="100"/>
              <w:left w:type="dxa" w:w="120"/>
              <w:bottom w:type="dxa" w:w="100"/>
              <w:right w:type="dxa" w:w="120"/>
            </w:tcMar>
          </w:tcPr>
          <w:p>
            <w:r>
              <w:rPr>
                <w:b w:val="false"/>
                <w:bCs w:val="false"/>
                <w:sz w:val="20"/>
                <w:szCs w:val="20"/>
              </w:rPr>
              <w:t xml:space="preserve">HTTP clients</w:t>
            </w:r>
          </w:p>
        </w:tc>
        <w:tc>
          <w:tcPr>
            <w:tcW w:type="dxa" w:w="4600"/>
            <w:tcMar>
              <w:top w:type="dxa" w:w="100"/>
              <w:left w:type="dxa" w:w="120"/>
              <w:bottom w:type="dxa" w:w="100"/>
              <w:right w:type="dxa" w:w="120"/>
            </w:tcMar>
          </w:tcPr>
          <w:p>
            <w:r>
              <w:rPr>
                <w:b w:val="false"/>
                <w:bCs w:val="false"/>
                <w:sz w:val="20"/>
                <w:szCs w:val="20"/>
              </w:rPr>
              <w:t xml:space="preserve">requests for synchronous calls, httpx for concurrent async calls (a shared, pooled client — see Performance Notes).</w:t>
            </w:r>
          </w:p>
        </w:tc>
      </w:tr>
      <w:tr>
        <w:tc>
          <w:tcPr>
            <w:tcW w:type="dxa" w:w="2200"/>
            <w:tcMar>
              <w:top w:type="dxa" w:w="100"/>
              <w:left w:type="dxa" w:w="120"/>
              <w:bottom w:type="dxa" w:w="100"/>
              <w:right w:type="dxa" w:w="120"/>
            </w:tcMar>
          </w:tcPr>
          <w:p>
            <w:r>
              <w:rPr>
                <w:b w:val="false"/>
                <w:bCs w:val="false"/>
                <w:sz w:val="20"/>
                <w:szCs w:val="20"/>
              </w:rPr>
              <w:t xml:space="preserve">python-dotenv</w:t>
            </w:r>
          </w:p>
        </w:tc>
        <w:tc>
          <w:tcPr>
            <w:tcW w:type="dxa" w:w="2200"/>
            <w:tcMar>
              <w:top w:type="dxa" w:w="100"/>
              <w:left w:type="dxa" w:w="120"/>
              <w:bottom w:type="dxa" w:w="100"/>
              <w:right w:type="dxa" w:w="120"/>
            </w:tcMar>
          </w:tcPr>
          <w:p>
            <w:r>
              <w:rPr>
                <w:b w:val="false"/>
                <w:bCs w:val="false"/>
                <w:sz w:val="20"/>
                <w:szCs w:val="20"/>
              </w:rPr>
              <w:t xml:space="preserve">Environment config</w:t>
            </w:r>
          </w:p>
        </w:tc>
        <w:tc>
          <w:tcPr>
            <w:tcW w:type="dxa" w:w="4600"/>
            <w:tcMar>
              <w:top w:type="dxa" w:w="100"/>
              <w:left w:type="dxa" w:w="120"/>
              <w:bottom w:type="dxa" w:w="100"/>
              <w:right w:type="dxa" w:w="120"/>
            </w:tcMar>
          </w:tcPr>
          <w:p>
            <w:r>
              <w:rPr>
                <w:b w:val="false"/>
                <w:bCs w:val="false"/>
                <w:sz w:val="20"/>
                <w:szCs w:val="20"/>
              </w:rPr>
              <w:t xml:space="preserve">Loads .env files for local configuration.</w:t>
            </w:r>
          </w:p>
        </w:tc>
      </w:tr>
      <w:tr>
        <w:tc>
          <w:tcPr>
            <w:tcW w:type="dxa" w:w="2200"/>
            <w:tcMar>
              <w:top w:type="dxa" w:w="100"/>
              <w:left w:type="dxa" w:w="120"/>
              <w:bottom w:type="dxa" w:w="100"/>
              <w:right w:type="dxa" w:w="120"/>
            </w:tcMar>
          </w:tcPr>
          <w:p>
            <w:r>
              <w:rPr>
                <w:b w:val="false"/>
                <w:bCs w:val="false"/>
                <w:sz w:val="20"/>
                <w:szCs w:val="20"/>
              </w:rPr>
              <w:t xml:space="preserve">LangGraph</w:t>
            </w:r>
          </w:p>
        </w:tc>
        <w:tc>
          <w:tcPr>
            <w:tcW w:type="dxa" w:w="2200"/>
            <w:tcMar>
              <w:top w:type="dxa" w:w="100"/>
              <w:left w:type="dxa" w:w="120"/>
              <w:bottom w:type="dxa" w:w="100"/>
              <w:right w:type="dxa" w:w="120"/>
            </w:tcMar>
          </w:tcPr>
          <w:p>
            <w:r>
              <w:rPr>
                <w:b w:val="false"/>
                <w:bCs w:val="false"/>
                <w:sz w:val="20"/>
                <w:szCs w:val="20"/>
              </w:rPr>
              <w:t xml:space="preserve">Agent orchestration</w:t>
            </w:r>
          </w:p>
        </w:tc>
        <w:tc>
          <w:tcPr>
            <w:tcW w:type="dxa" w:w="4600"/>
            <w:tcMar>
              <w:top w:type="dxa" w:w="100"/>
              <w:left w:type="dxa" w:w="120"/>
              <w:bottom w:type="dxa" w:w="100"/>
              <w:right w:type="dxa" w:w="120"/>
            </w:tcMar>
          </w:tcPr>
          <w:p>
            <w:r>
              <w:rPr>
                <w:b w:val="false"/>
                <w:bCs w:val="false"/>
                <w:sz w:val="20"/>
                <w:szCs w:val="20"/>
              </w:rPr>
              <w:t xml:space="preserve">Deliberately lighter than full LangChain — used for every multi-step or agentic AI feature (see AI Architecture).</w:t>
            </w:r>
          </w:p>
        </w:tc>
      </w:tr>
      <w:tr>
        <w:tc>
          <w:tcPr>
            <w:tcW w:type="dxa" w:w="2200"/>
            <w:tcMar>
              <w:top w:type="dxa" w:w="100"/>
              <w:left w:type="dxa" w:w="120"/>
              <w:bottom w:type="dxa" w:w="100"/>
              <w:right w:type="dxa" w:w="120"/>
            </w:tcMar>
          </w:tcPr>
          <w:p>
            <w:r>
              <w:rPr>
                <w:b w:val="false"/>
                <w:bCs w:val="false"/>
                <w:sz w:val="20"/>
                <w:szCs w:val="20"/>
              </w:rPr>
              <w:t xml:space="preserve">fpdf2</w:t>
            </w:r>
          </w:p>
        </w:tc>
        <w:tc>
          <w:tcPr>
            <w:tcW w:type="dxa" w:w="2200"/>
            <w:tcMar>
              <w:top w:type="dxa" w:w="100"/>
              <w:left w:type="dxa" w:w="120"/>
              <w:bottom w:type="dxa" w:w="100"/>
              <w:right w:type="dxa" w:w="120"/>
            </w:tcMar>
          </w:tcPr>
          <w:p>
            <w:r>
              <w:rPr>
                <w:b w:val="false"/>
                <w:bCs w:val="false"/>
                <w:sz w:val="20"/>
                <w:szCs w:val="20"/>
              </w:rPr>
              <w:t xml:space="preserve">PDF generation</w:t>
            </w:r>
          </w:p>
        </w:tc>
        <w:tc>
          <w:tcPr>
            <w:tcW w:type="dxa" w:w="4600"/>
            <w:tcMar>
              <w:top w:type="dxa" w:w="100"/>
              <w:left w:type="dxa" w:w="120"/>
              <w:bottom w:type="dxa" w:w="100"/>
              <w:right w:type="dxa" w:w="120"/>
            </w:tcMar>
          </w:tcPr>
          <w:p>
            <w:r>
              <w:rPr>
                <w:b w:val="false"/>
                <w:bCs w:val="false"/>
                <w:sz w:val="20"/>
                <w:szCs w:val="20"/>
              </w:rPr>
              <w:t xml:space="preserve">Per-item and aggregate report exports.</w:t>
            </w:r>
          </w:p>
        </w:tc>
      </w:tr>
      <w:tr>
        <w:tc>
          <w:tcPr>
            <w:tcW w:type="dxa" w:w="2200"/>
            <w:tcMar>
              <w:top w:type="dxa" w:w="100"/>
              <w:left w:type="dxa" w:w="120"/>
              <w:bottom w:type="dxa" w:w="100"/>
              <w:right w:type="dxa" w:w="120"/>
            </w:tcMar>
          </w:tcPr>
          <w:p>
            <w:r>
              <w:rPr>
                <w:b w:val="false"/>
                <w:bCs w:val="false"/>
                <w:sz w:val="20"/>
                <w:szCs w:val="20"/>
              </w:rPr>
              <w:t xml:space="preserve">openpyxl</w:t>
            </w:r>
          </w:p>
        </w:tc>
        <w:tc>
          <w:tcPr>
            <w:tcW w:type="dxa" w:w="2200"/>
            <w:tcMar>
              <w:top w:type="dxa" w:w="100"/>
              <w:left w:type="dxa" w:w="120"/>
              <w:bottom w:type="dxa" w:w="100"/>
              <w:right w:type="dxa" w:w="120"/>
            </w:tcMar>
          </w:tcPr>
          <w:p>
            <w:r>
              <w:rPr>
                <w:b w:val="false"/>
                <w:bCs w:val="false"/>
                <w:sz w:val="20"/>
                <w:szCs w:val="20"/>
              </w:rPr>
              <w:t xml:space="preserve">Excel generation</w:t>
            </w:r>
          </w:p>
        </w:tc>
        <w:tc>
          <w:tcPr>
            <w:tcW w:type="dxa" w:w="4600"/>
            <w:tcMar>
              <w:top w:type="dxa" w:w="100"/>
              <w:left w:type="dxa" w:w="120"/>
              <w:bottom w:type="dxa" w:w="100"/>
              <w:right w:type="dxa" w:w="120"/>
            </w:tcMar>
          </w:tcPr>
          <w:p>
            <w:r>
              <w:rPr>
                <w:b w:val="false"/>
                <w:bCs w:val="false"/>
                <w:sz w:val="20"/>
                <w:szCs w:val="20"/>
              </w:rPr>
              <w:t xml:space="preserve">Aggregate progress report exports.</w:t>
            </w:r>
          </w:p>
        </w:tc>
      </w:tr>
    </w:tbl>
    <w:p>
      <w:pPr>
        <w:spacing w:after="200"/>
      </w:pPr>
    </w:p>
    <w:p>
      <w:pPr>
        <w:pStyle w:val="Heading2"/>
        <w:spacing w:after="150" w:before="300"/>
      </w:pPr>
      <w:r>
        <w:t xml:space="preserve">3.2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EEEDFE" w:val="clear"/>
            <w:tcMar>
              <w:top w:type="dxa" w:w="100"/>
              <w:left w:type="dxa" w:w="120"/>
              <w:bottom w:type="dxa" w:w="100"/>
              <w:right w:type="dxa" w:w="120"/>
            </w:tcMar>
          </w:tcPr>
          <w:p>
            <w:r>
              <w:rPr>
                <w:b/>
                <w:bCs/>
                <w:sz w:val="20"/>
                <w:szCs w:val="20"/>
              </w:rPr>
              <w:t xml:space="preserve">Technology</w:t>
            </w:r>
          </w:p>
        </w:tc>
        <w:tc>
          <w:tcPr>
            <w:tcW w:type="dxa" w:w="2200"/>
            <w:shd w:fill="EEEDFE" w:val="clear"/>
            <w:tcMar>
              <w:top w:type="dxa" w:w="100"/>
              <w:left w:type="dxa" w:w="120"/>
              <w:bottom w:type="dxa" w:w="100"/>
              <w:right w:type="dxa" w:w="120"/>
            </w:tcMar>
          </w:tcPr>
          <w:p>
            <w:r>
              <w:rPr>
                <w:b/>
                <w:bCs/>
                <w:sz w:val="20"/>
                <w:szCs w:val="20"/>
              </w:rPr>
              <w:t xml:space="preserve">Role</w:t>
            </w:r>
          </w:p>
        </w:tc>
        <w:tc>
          <w:tcPr>
            <w:tcW w:type="dxa" w:w="4600"/>
            <w:shd w:fill="EEEDFE" w:val="clear"/>
            <w:tcMar>
              <w:top w:type="dxa" w:w="100"/>
              <w:left w:type="dxa" w:w="120"/>
              <w:bottom w:type="dxa" w:w="100"/>
              <w:right w:type="dxa" w:w="120"/>
            </w:tcMar>
          </w:tcPr>
          <w:p>
            <w:r>
              <w:rPr>
                <w:b/>
                <w:bCs/>
                <w:sz w:val="20"/>
                <w:szCs w:val="20"/>
              </w:rPr>
              <w:t xml:space="preserve">Why this choice</w:t>
            </w:r>
          </w:p>
        </w:tc>
      </w:tr>
      <w:tr>
        <w:tc>
          <w:tcPr>
            <w:tcW w:type="dxa" w:w="2200"/>
            <w:tcMar>
              <w:top w:type="dxa" w:w="100"/>
              <w:left w:type="dxa" w:w="120"/>
              <w:bottom w:type="dxa" w:w="100"/>
              <w:right w:type="dxa" w:w="120"/>
            </w:tcMar>
          </w:tcPr>
          <w:p>
            <w:r>
              <w:rPr>
                <w:b w:val="false"/>
                <w:bCs w:val="false"/>
                <w:sz w:val="20"/>
                <w:szCs w:val="20"/>
              </w:rPr>
              <w:t xml:space="preserve">React 18</w:t>
            </w:r>
          </w:p>
        </w:tc>
        <w:tc>
          <w:tcPr>
            <w:tcW w:type="dxa" w:w="2200"/>
            <w:tcMar>
              <w:top w:type="dxa" w:w="100"/>
              <w:left w:type="dxa" w:w="120"/>
              <w:bottom w:type="dxa" w:w="100"/>
              <w:right w:type="dxa" w:w="120"/>
            </w:tcMar>
          </w:tcPr>
          <w:p>
            <w:r>
              <w:rPr>
                <w:b w:val="false"/>
                <w:bCs w:val="false"/>
                <w:sz w:val="20"/>
                <w:szCs w:val="20"/>
              </w:rPr>
              <w:t xml:space="preserve">UI library</w:t>
            </w:r>
          </w:p>
        </w:tc>
        <w:tc>
          <w:tcPr>
            <w:tcW w:type="dxa" w:w="4600"/>
            <w:tcMar>
              <w:top w:type="dxa" w:w="100"/>
              <w:left w:type="dxa" w:w="120"/>
              <w:bottom w:type="dxa" w:w="100"/>
              <w:right w:type="dxa" w:w="120"/>
            </w:tcMar>
          </w:tcPr>
          <w:p>
            <w:r>
              <w:rPr>
                <w:b w:val="false"/>
                <w:bCs w:val="false"/>
                <w:sz w:val="20"/>
                <w:szCs w:val="20"/>
              </w:rPr>
              <w:t xml:space="preserve">Component-based frontend, hooks-based state management throughout.</w:t>
            </w:r>
          </w:p>
        </w:tc>
      </w:tr>
      <w:tr>
        <w:tc>
          <w:tcPr>
            <w:tcW w:type="dxa" w:w="2200"/>
            <w:tcMar>
              <w:top w:type="dxa" w:w="100"/>
              <w:left w:type="dxa" w:w="120"/>
              <w:bottom w:type="dxa" w:w="100"/>
              <w:right w:type="dxa" w:w="120"/>
            </w:tcMar>
          </w:tcPr>
          <w:p>
            <w:r>
              <w:rPr>
                <w:b w:val="false"/>
                <w:bCs w:val="false"/>
                <w:sz w:val="20"/>
                <w:szCs w:val="20"/>
              </w:rPr>
              <w:t xml:space="preserve">Vite</w:t>
            </w:r>
          </w:p>
        </w:tc>
        <w:tc>
          <w:tcPr>
            <w:tcW w:type="dxa" w:w="2200"/>
            <w:tcMar>
              <w:top w:type="dxa" w:w="100"/>
              <w:left w:type="dxa" w:w="120"/>
              <w:bottom w:type="dxa" w:w="100"/>
              <w:right w:type="dxa" w:w="120"/>
            </w:tcMar>
          </w:tcPr>
          <w:p>
            <w:r>
              <w:rPr>
                <w:b w:val="false"/>
                <w:bCs w:val="false"/>
                <w:sz w:val="20"/>
                <w:szCs w:val="20"/>
              </w:rPr>
              <w:t xml:space="preserve">Build tool</w:t>
            </w:r>
          </w:p>
        </w:tc>
        <w:tc>
          <w:tcPr>
            <w:tcW w:type="dxa" w:w="4600"/>
            <w:tcMar>
              <w:top w:type="dxa" w:w="100"/>
              <w:left w:type="dxa" w:w="120"/>
              <w:bottom w:type="dxa" w:w="100"/>
              <w:right w:type="dxa" w:w="120"/>
            </w:tcMar>
          </w:tcPr>
          <w:p>
            <w:r>
              <w:rPr>
                <w:b w:val="false"/>
                <w:bCs w:val="false"/>
                <w:sz w:val="20"/>
                <w:szCs w:val="20"/>
              </w:rPr>
              <w:t xml:space="preserve">Fast dev server and bundler.</w:t>
            </w:r>
          </w:p>
        </w:tc>
      </w:tr>
      <w:tr>
        <w:tc>
          <w:tcPr>
            <w:tcW w:type="dxa" w:w="2200"/>
            <w:tcMar>
              <w:top w:type="dxa" w:w="100"/>
              <w:left w:type="dxa" w:w="120"/>
              <w:bottom w:type="dxa" w:w="100"/>
              <w:right w:type="dxa" w:w="120"/>
            </w:tcMar>
          </w:tcPr>
          <w:p>
            <w:r>
              <w:rPr>
                <w:b w:val="false"/>
                <w:bCs w:val="false"/>
                <w:sz w:val="20"/>
                <w:szCs w:val="20"/>
              </w:rPr>
              <w:t xml:space="preserve">Tailwind CSS</w:t>
            </w:r>
          </w:p>
        </w:tc>
        <w:tc>
          <w:tcPr>
            <w:tcW w:type="dxa" w:w="2200"/>
            <w:tcMar>
              <w:top w:type="dxa" w:w="100"/>
              <w:left w:type="dxa" w:w="120"/>
              <w:bottom w:type="dxa" w:w="100"/>
              <w:right w:type="dxa" w:w="120"/>
            </w:tcMar>
          </w:tcPr>
          <w:p>
            <w:r>
              <w:rPr>
                <w:b w:val="false"/>
                <w:bCs w:val="false"/>
                <w:sz w:val="20"/>
                <w:szCs w:val="20"/>
              </w:rPr>
              <w:t xml:space="preserve">Styling</w:t>
            </w:r>
          </w:p>
        </w:tc>
        <w:tc>
          <w:tcPr>
            <w:tcW w:type="dxa" w:w="4600"/>
            <w:tcMar>
              <w:top w:type="dxa" w:w="100"/>
              <w:left w:type="dxa" w:w="120"/>
              <w:bottom w:type="dxa" w:w="100"/>
              <w:right w:type="dxa" w:w="120"/>
            </w:tcMar>
          </w:tcPr>
          <w:p>
            <w:r>
              <w:rPr>
                <w:b w:val="false"/>
                <w:bCs w:val="false"/>
                <w:sz w:val="20"/>
                <w:szCs w:val="20"/>
              </w:rPr>
              <w:t xml:space="preserve">Utility-first styling with a small set of CSS custom properties for theming (dark/light mode).</w:t>
            </w:r>
          </w:p>
        </w:tc>
      </w:tr>
      <w:tr>
        <w:tc>
          <w:tcPr>
            <w:tcW w:type="dxa" w:w="2200"/>
            <w:tcMar>
              <w:top w:type="dxa" w:w="100"/>
              <w:left w:type="dxa" w:w="120"/>
              <w:bottom w:type="dxa" w:w="100"/>
              <w:right w:type="dxa" w:w="120"/>
            </w:tcMar>
          </w:tcPr>
          <w:p>
            <w:r>
              <w:rPr>
                <w:b w:val="false"/>
                <w:bCs w:val="false"/>
                <w:sz w:val="20"/>
                <w:szCs w:val="20"/>
              </w:rPr>
              <w:t xml:space="preserve">React Router</w:t>
            </w:r>
          </w:p>
        </w:tc>
        <w:tc>
          <w:tcPr>
            <w:tcW w:type="dxa" w:w="2200"/>
            <w:tcMar>
              <w:top w:type="dxa" w:w="100"/>
              <w:left w:type="dxa" w:w="120"/>
              <w:bottom w:type="dxa" w:w="100"/>
              <w:right w:type="dxa" w:w="120"/>
            </w:tcMar>
          </w:tcPr>
          <w:p>
            <w:r>
              <w:rPr>
                <w:b w:val="false"/>
                <w:bCs w:val="false"/>
                <w:sz w:val="20"/>
                <w:szCs w:val="20"/>
              </w:rPr>
              <w:t xml:space="preserve">Client-side routing</w:t>
            </w:r>
          </w:p>
        </w:tc>
        <w:tc>
          <w:tcPr>
            <w:tcW w:type="dxa" w:w="4600"/>
            <w:tcMar>
              <w:top w:type="dxa" w:w="100"/>
              <w:left w:type="dxa" w:w="120"/>
              <w:bottom w:type="dxa" w:w="100"/>
              <w:right w:type="dxa" w:w="120"/>
            </w:tcMar>
          </w:tcPr>
          <w:p>
            <w:r>
              <w:rPr>
                <w:b w:val="false"/>
                <w:bCs w:val="false"/>
                <w:sz w:val="20"/>
                <w:szCs w:val="20"/>
              </w:rPr>
              <w:t xml:space="preserve">Role-gated route protection, nested layouts.</w:t>
            </w:r>
          </w:p>
        </w:tc>
      </w:tr>
      <w:tr>
        <w:tc>
          <w:tcPr>
            <w:tcW w:type="dxa" w:w="2200"/>
            <w:tcMar>
              <w:top w:type="dxa" w:w="100"/>
              <w:left w:type="dxa" w:w="120"/>
              <w:bottom w:type="dxa" w:w="100"/>
              <w:right w:type="dxa" w:w="120"/>
            </w:tcMar>
          </w:tcPr>
          <w:p>
            <w:r>
              <w:rPr>
                <w:b w:val="false"/>
                <w:bCs w:val="false"/>
                <w:sz w:val="20"/>
                <w:szCs w:val="20"/>
              </w:rPr>
              <w:t xml:space="preserve">Recharts</w:t>
            </w:r>
          </w:p>
        </w:tc>
        <w:tc>
          <w:tcPr>
            <w:tcW w:type="dxa" w:w="2200"/>
            <w:tcMar>
              <w:top w:type="dxa" w:w="100"/>
              <w:left w:type="dxa" w:w="120"/>
              <w:bottom w:type="dxa" w:w="100"/>
              <w:right w:type="dxa" w:w="120"/>
            </w:tcMar>
          </w:tcPr>
          <w:p>
            <w:r>
              <w:rPr>
                <w:b w:val="false"/>
                <w:bCs w:val="false"/>
                <w:sz w:val="20"/>
                <w:szCs w:val="20"/>
              </w:rPr>
              <w:t xml:space="preserve">Data visualization</w:t>
            </w:r>
          </w:p>
        </w:tc>
        <w:tc>
          <w:tcPr>
            <w:tcW w:type="dxa" w:w="4600"/>
            <w:tcMar>
              <w:top w:type="dxa" w:w="100"/>
              <w:left w:type="dxa" w:w="120"/>
              <w:bottom w:type="dxa" w:w="100"/>
              <w:right w:type="dxa" w:w="120"/>
            </w:tcMar>
          </w:tcPr>
          <w:p>
            <w:r>
              <w:rPr>
                <w:b w:val="false"/>
                <w:bCs w:val="false"/>
                <w:sz w:val="20"/>
                <w:szCs w:val="20"/>
              </w:rPr>
              <w:t xml:space="preserve">Trend charts, radar charts for peer comparison.</w:t>
            </w:r>
          </w:p>
        </w:tc>
      </w:tr>
      <w:tr>
        <w:tc>
          <w:tcPr>
            <w:tcW w:type="dxa" w:w="2200"/>
            <w:tcMar>
              <w:top w:type="dxa" w:w="100"/>
              <w:left w:type="dxa" w:w="120"/>
              <w:bottom w:type="dxa" w:w="100"/>
              <w:right w:type="dxa" w:w="120"/>
            </w:tcMar>
          </w:tcPr>
          <w:p>
            <w:r>
              <w:rPr>
                <w:b w:val="false"/>
                <w:bCs w:val="false"/>
                <w:sz w:val="20"/>
                <w:szCs w:val="20"/>
              </w:rPr>
              <w:t xml:space="preserve">lucide-react</w:t>
            </w:r>
          </w:p>
        </w:tc>
        <w:tc>
          <w:tcPr>
            <w:tcW w:type="dxa" w:w="2200"/>
            <w:tcMar>
              <w:top w:type="dxa" w:w="100"/>
              <w:left w:type="dxa" w:w="120"/>
              <w:bottom w:type="dxa" w:w="100"/>
              <w:right w:type="dxa" w:w="120"/>
            </w:tcMar>
          </w:tcPr>
          <w:p>
            <w:r>
              <w:rPr>
                <w:b w:val="false"/>
                <w:bCs w:val="false"/>
                <w:sz w:val="20"/>
                <w:szCs w:val="20"/>
              </w:rPr>
              <w:t xml:space="preserve">Icon set</w:t>
            </w:r>
          </w:p>
        </w:tc>
        <w:tc>
          <w:tcPr>
            <w:tcW w:type="dxa" w:w="4600"/>
            <w:tcMar>
              <w:top w:type="dxa" w:w="100"/>
              <w:left w:type="dxa" w:w="120"/>
              <w:bottom w:type="dxa" w:w="100"/>
              <w:right w:type="dxa" w:w="120"/>
            </w:tcMar>
          </w:tcPr>
          <w:p>
            <w:r>
              <w:rPr>
                <w:b w:val="false"/>
                <w:bCs w:val="false"/>
                <w:sz w:val="20"/>
                <w:szCs w:val="20"/>
              </w:rPr>
              <w:t xml:space="preserve">Every icon across the sidebar, buttons, and status indicators.</w:t>
            </w:r>
          </w:p>
        </w:tc>
      </w:tr>
      <w:tr>
        <w:tc>
          <w:tcPr>
            <w:tcW w:type="dxa" w:w="2200"/>
            <w:tcMar>
              <w:top w:type="dxa" w:w="100"/>
              <w:left w:type="dxa" w:w="120"/>
              <w:bottom w:type="dxa" w:w="100"/>
              <w:right w:type="dxa" w:w="120"/>
            </w:tcMar>
          </w:tcPr>
          <w:p>
            <w:r>
              <w:rPr>
                <w:b w:val="false"/>
                <w:bCs w:val="false"/>
                <w:sz w:val="20"/>
                <w:szCs w:val="20"/>
              </w:rPr>
              <w:t xml:space="preserve">Web Speech API</w:t>
            </w:r>
          </w:p>
        </w:tc>
        <w:tc>
          <w:tcPr>
            <w:tcW w:type="dxa" w:w="2200"/>
            <w:tcMar>
              <w:top w:type="dxa" w:w="100"/>
              <w:left w:type="dxa" w:w="120"/>
              <w:bottom w:type="dxa" w:w="100"/>
              <w:right w:type="dxa" w:w="120"/>
            </w:tcMar>
          </w:tcPr>
          <w:p>
            <w:r>
              <w:rPr>
                <w:b w:val="false"/>
                <w:bCs w:val="false"/>
                <w:sz w:val="20"/>
                <w:szCs w:val="20"/>
              </w:rPr>
              <w:t xml:space="preserve">Browser-native speech</w:t>
            </w:r>
          </w:p>
        </w:tc>
        <w:tc>
          <w:tcPr>
            <w:tcW w:type="dxa" w:w="4600"/>
            <w:tcMar>
              <w:top w:type="dxa" w:w="100"/>
              <w:left w:type="dxa" w:w="120"/>
              <w:bottom w:type="dxa" w:w="100"/>
              <w:right w:type="dxa" w:w="120"/>
            </w:tcMar>
          </w:tcPr>
          <w:p>
            <w:r>
              <w:rPr>
                <w:b w:val="false"/>
                <w:bCs w:val="false"/>
                <w:sz w:val="20"/>
                <w:szCs w:val="20"/>
              </w:rPr>
              <w:t xml:space="preserve">Used for both dedicated presentation recording and the universal voice-to-text input button — no server-side speech processing, no added cost.</w:t>
            </w:r>
          </w:p>
        </w:tc>
      </w:tr>
    </w:tbl>
    <w:p>
      <w:pPr>
        <w:spacing w:after="200"/>
      </w:pPr>
    </w:p>
    <w:p>
      <w:pPr>
        <w:pStyle w:val="Heading2"/>
        <w:spacing w:after="150" w:before="300"/>
      </w:pPr>
      <w:r>
        <w:t xml:space="preserve">3.3 Data &amp; AI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shd w:fill="EEEDFE" w:val="clear"/>
            <w:tcMar>
              <w:top w:type="dxa" w:w="100"/>
              <w:left w:type="dxa" w:w="120"/>
              <w:bottom w:type="dxa" w:w="100"/>
              <w:right w:type="dxa" w:w="120"/>
            </w:tcMar>
          </w:tcPr>
          <w:p>
            <w:r>
              <w:rPr>
                <w:b/>
                <w:bCs/>
                <w:sz w:val="20"/>
                <w:szCs w:val="20"/>
              </w:rPr>
              <w:t xml:space="preserve">Service</w:t>
            </w:r>
          </w:p>
        </w:tc>
        <w:tc>
          <w:tcPr>
            <w:tcW w:type="dxa" w:w="2000"/>
            <w:shd w:fill="EEEDFE" w:val="clear"/>
            <w:tcMar>
              <w:top w:type="dxa" w:w="100"/>
              <w:left w:type="dxa" w:w="120"/>
              <w:bottom w:type="dxa" w:w="100"/>
              <w:right w:type="dxa" w:w="120"/>
            </w:tcMar>
          </w:tcPr>
          <w:p>
            <w:r>
              <w:rPr>
                <w:b/>
                <w:bCs/>
                <w:sz w:val="20"/>
                <w:szCs w:val="20"/>
              </w:rPr>
              <w:t xml:space="preserve">Role</w:t>
            </w:r>
          </w:p>
        </w:tc>
        <w:tc>
          <w:tcPr>
            <w:tcW w:type="dxa" w:w="4400"/>
            <w:shd w:fill="EEEDFE" w:val="clear"/>
            <w:tcMar>
              <w:top w:type="dxa" w:w="100"/>
              <w:left w:type="dxa" w:w="120"/>
              <w:bottom w:type="dxa" w:w="100"/>
              <w:right w:type="dxa" w:w="120"/>
            </w:tcMar>
          </w:tcPr>
          <w:p>
            <w:r>
              <w:rPr>
                <w:b/>
                <w:bCs/>
                <w:sz w:val="20"/>
                <w:szCs w:val="20"/>
              </w:rPr>
              <w:t xml:space="preserve">Notes</w:t>
            </w:r>
          </w:p>
        </w:tc>
      </w:tr>
      <w:tr>
        <w:tc>
          <w:tcPr>
            <w:tcW w:type="dxa" w:w="2600"/>
            <w:tcMar>
              <w:top w:type="dxa" w:w="100"/>
              <w:left w:type="dxa" w:w="120"/>
              <w:bottom w:type="dxa" w:w="100"/>
              <w:right w:type="dxa" w:w="120"/>
            </w:tcMar>
          </w:tcPr>
          <w:p>
            <w:r>
              <w:rPr>
                <w:b w:val="false"/>
                <w:bCs w:val="false"/>
                <w:sz w:val="20"/>
                <w:szCs w:val="20"/>
              </w:rPr>
              <w:t xml:space="preserve">Supabase (PostgreSQL)</w:t>
            </w:r>
          </w:p>
        </w:tc>
        <w:tc>
          <w:tcPr>
            <w:tcW w:type="dxa" w:w="2000"/>
            <w:tcMar>
              <w:top w:type="dxa" w:w="100"/>
              <w:left w:type="dxa" w:w="120"/>
              <w:bottom w:type="dxa" w:w="100"/>
              <w:right w:type="dxa" w:w="120"/>
            </w:tcMar>
          </w:tcPr>
          <w:p>
            <w:r>
              <w:rPr>
                <w:b w:val="false"/>
                <w:bCs w:val="false"/>
                <w:sz w:val="20"/>
                <w:szCs w:val="20"/>
              </w:rPr>
              <w:t xml:space="preserve">Primary database</w:t>
            </w:r>
          </w:p>
        </w:tc>
        <w:tc>
          <w:tcPr>
            <w:tcW w:type="dxa" w:w="4400"/>
            <w:tcMar>
              <w:top w:type="dxa" w:w="100"/>
              <w:left w:type="dxa" w:w="120"/>
              <w:bottom w:type="dxa" w:w="100"/>
              <w:right w:type="dxa" w:w="120"/>
            </w:tcMar>
          </w:tcPr>
          <w:p>
            <w:r>
              <w:rPr>
                <w:b w:val="false"/>
                <w:bCs w:val="false"/>
                <w:sz w:val="20"/>
                <w:szCs w:val="20"/>
              </w:rPr>
              <w:t xml:space="preserve">Chosen over a Mongo + Postgres split — JSONB columns give the same schema flexibility for AI-generated structured content (scores, feedback objects) without running two databases.</w:t>
            </w:r>
          </w:p>
        </w:tc>
      </w:tr>
      <w:tr>
        <w:tc>
          <w:tcPr>
            <w:tcW w:type="dxa" w:w="2600"/>
            <w:tcMar>
              <w:top w:type="dxa" w:w="100"/>
              <w:left w:type="dxa" w:w="120"/>
              <w:bottom w:type="dxa" w:w="100"/>
              <w:right w:type="dxa" w:w="120"/>
            </w:tcMar>
          </w:tcPr>
          <w:p>
            <w:r>
              <w:rPr>
                <w:b w:val="false"/>
                <w:bCs w:val="false"/>
                <w:sz w:val="20"/>
                <w:szCs w:val="20"/>
              </w:rPr>
              <w:t xml:space="preserve">Supabase Auth</w:t>
            </w:r>
          </w:p>
        </w:tc>
        <w:tc>
          <w:tcPr>
            <w:tcW w:type="dxa" w:w="2000"/>
            <w:tcMar>
              <w:top w:type="dxa" w:w="100"/>
              <w:left w:type="dxa" w:w="120"/>
              <w:bottom w:type="dxa" w:w="100"/>
              <w:right w:type="dxa" w:w="120"/>
            </w:tcMar>
          </w:tcPr>
          <w:p>
            <w:r>
              <w:rPr>
                <w:b w:val="false"/>
                <w:bCs w:val="false"/>
                <w:sz w:val="20"/>
                <w:szCs w:val="20"/>
              </w:rPr>
              <w:t xml:space="preserve">Authentication</w:t>
            </w:r>
          </w:p>
        </w:tc>
        <w:tc>
          <w:tcPr>
            <w:tcW w:type="dxa" w:w="4400"/>
            <w:tcMar>
              <w:top w:type="dxa" w:w="100"/>
              <w:left w:type="dxa" w:w="120"/>
              <w:bottom w:type="dxa" w:w="100"/>
              <w:right w:type="dxa" w:w="120"/>
            </w:tcMar>
          </w:tcPr>
          <w:p>
            <w:r>
              <w:rPr>
                <w:b w:val="false"/>
                <w:bCs w:val="false"/>
                <w:sz w:val="20"/>
                <w:szCs w:val="20"/>
              </w:rPr>
              <w:t xml:space="preserve">Email/password auth, JWT verification, role-based access control (learner, debate_coach, educator, admin).</w:t>
            </w:r>
          </w:p>
        </w:tc>
      </w:tr>
      <w:tr>
        <w:tc>
          <w:tcPr>
            <w:tcW w:type="dxa" w:w="2600"/>
            <w:tcMar>
              <w:top w:type="dxa" w:w="100"/>
              <w:left w:type="dxa" w:w="120"/>
              <w:bottom w:type="dxa" w:w="100"/>
              <w:right w:type="dxa" w:w="120"/>
            </w:tcMar>
          </w:tcPr>
          <w:p>
            <w:r>
              <w:rPr>
                <w:b w:val="false"/>
                <w:bCs w:val="false"/>
                <w:sz w:val="20"/>
                <w:szCs w:val="20"/>
              </w:rPr>
              <w:t xml:space="preserve">pgvector</w:t>
            </w:r>
          </w:p>
        </w:tc>
        <w:tc>
          <w:tcPr>
            <w:tcW w:type="dxa" w:w="2000"/>
            <w:tcMar>
              <w:top w:type="dxa" w:w="100"/>
              <w:left w:type="dxa" w:w="120"/>
              <w:bottom w:type="dxa" w:w="100"/>
              <w:right w:type="dxa" w:w="120"/>
            </w:tcMar>
          </w:tcPr>
          <w:p>
            <w:r>
              <w:rPr>
                <w:b w:val="false"/>
                <w:bCs w:val="false"/>
                <w:sz w:val="20"/>
                <w:szCs w:val="20"/>
              </w:rPr>
              <w:t xml:space="preserve">Vector search</w:t>
            </w:r>
          </w:p>
        </w:tc>
        <w:tc>
          <w:tcPr>
            <w:tcW w:type="dxa" w:w="4400"/>
            <w:tcMar>
              <w:top w:type="dxa" w:w="100"/>
              <w:left w:type="dxa" w:w="120"/>
              <w:bottom w:type="dxa" w:w="100"/>
              <w:right w:type="dxa" w:w="120"/>
            </w:tcMar>
          </w:tcPr>
          <w:p>
            <w:r>
              <w:rPr>
                <w:b w:val="false"/>
                <w:bCs w:val="false"/>
                <w:sz w:val="20"/>
                <w:szCs w:val="20"/>
              </w:rPr>
              <w:t xml:space="preserve">Powers the coaching knowledge base's retrieval-augmented generation (RAG) — embeddings stored and searched directly in Postgres, no separate vector database.</w:t>
            </w:r>
          </w:p>
        </w:tc>
      </w:tr>
      <w:tr>
        <w:tc>
          <w:tcPr>
            <w:tcW w:type="dxa" w:w="2600"/>
            <w:tcMar>
              <w:top w:type="dxa" w:w="100"/>
              <w:left w:type="dxa" w:w="120"/>
              <w:bottom w:type="dxa" w:w="100"/>
              <w:right w:type="dxa" w:w="120"/>
            </w:tcMar>
          </w:tcPr>
          <w:p>
            <w:r>
              <w:rPr>
                <w:b w:val="false"/>
                <w:bCs w:val="false"/>
                <w:sz w:val="20"/>
                <w:szCs w:val="20"/>
              </w:rPr>
              <w:t xml:space="preserve">Google Gemini (gemini-2.5-flash)</w:t>
            </w:r>
          </w:p>
        </w:tc>
        <w:tc>
          <w:tcPr>
            <w:tcW w:type="dxa" w:w="2000"/>
            <w:tcMar>
              <w:top w:type="dxa" w:w="100"/>
              <w:left w:type="dxa" w:w="120"/>
              <w:bottom w:type="dxa" w:w="100"/>
              <w:right w:type="dxa" w:w="120"/>
            </w:tcMar>
          </w:tcPr>
          <w:p>
            <w:r>
              <w:rPr>
                <w:b w:val="false"/>
                <w:bCs w:val="false"/>
                <w:sz w:val="20"/>
                <w:szCs w:val="20"/>
              </w:rPr>
              <w:t xml:space="preserve">Primary LLM</w:t>
            </w:r>
          </w:p>
        </w:tc>
        <w:tc>
          <w:tcPr>
            <w:tcW w:type="dxa" w:w="4400"/>
            <w:tcMar>
              <w:top w:type="dxa" w:w="100"/>
              <w:left w:type="dxa" w:w="120"/>
              <w:bottom w:type="dxa" w:w="100"/>
              <w:right w:type="dxa" w:w="120"/>
            </w:tcMar>
          </w:tcPr>
          <w:p>
            <w:r>
              <w:rPr>
                <w:b w:val="false"/>
                <w:bCs w:val="false"/>
                <w:sz w:val="20"/>
                <w:szCs w:val="20"/>
              </w:rPr>
              <w:t xml:space="preserve">First choice for every AI-generated response across the platform.</w:t>
            </w:r>
          </w:p>
        </w:tc>
      </w:tr>
      <w:tr>
        <w:tc>
          <w:tcPr>
            <w:tcW w:type="dxa" w:w="2600"/>
            <w:tcMar>
              <w:top w:type="dxa" w:w="100"/>
              <w:left w:type="dxa" w:w="120"/>
              <w:bottom w:type="dxa" w:w="100"/>
              <w:right w:type="dxa" w:w="120"/>
            </w:tcMar>
          </w:tcPr>
          <w:p>
            <w:r>
              <w:rPr>
                <w:b w:val="false"/>
                <w:bCs w:val="false"/>
                <w:sz w:val="20"/>
                <w:szCs w:val="20"/>
              </w:rPr>
              <w:t xml:space="preserve">Groq (openai/gpt-oss-120b)</w:t>
            </w:r>
          </w:p>
        </w:tc>
        <w:tc>
          <w:tcPr>
            <w:tcW w:type="dxa" w:w="2000"/>
            <w:tcMar>
              <w:top w:type="dxa" w:w="100"/>
              <w:left w:type="dxa" w:w="120"/>
              <w:bottom w:type="dxa" w:w="100"/>
              <w:right w:type="dxa" w:w="120"/>
            </w:tcMar>
          </w:tcPr>
          <w:p>
            <w:r>
              <w:rPr>
                <w:b w:val="false"/>
                <w:bCs w:val="false"/>
                <w:sz w:val="20"/>
                <w:szCs w:val="20"/>
              </w:rPr>
              <w:t xml:space="preserve">Fallback LLM</w:t>
            </w:r>
          </w:p>
        </w:tc>
        <w:tc>
          <w:tcPr>
            <w:tcW w:type="dxa" w:w="4400"/>
            <w:tcMar>
              <w:top w:type="dxa" w:w="100"/>
              <w:left w:type="dxa" w:w="120"/>
              <w:bottom w:type="dxa" w:w="100"/>
              <w:right w:type="dxa" w:w="120"/>
            </w:tcMar>
          </w:tcPr>
          <w:p>
            <w:r>
              <w:rPr>
                <w:b w:val="false"/>
                <w:bCs w:val="false"/>
                <w:sz w:val="20"/>
                <w:szCs w:val="20"/>
              </w:rPr>
              <w:t xml:space="preserve">Automatic fallback whenever the Gemini call fails, so a single provider outage doesn't take down the AI features.</w:t>
            </w:r>
          </w:p>
        </w:tc>
      </w:tr>
      <w:tr>
        <w:tc>
          <w:tcPr>
            <w:tcW w:type="dxa" w:w="2600"/>
            <w:tcMar>
              <w:top w:type="dxa" w:w="100"/>
              <w:left w:type="dxa" w:w="120"/>
              <w:bottom w:type="dxa" w:w="100"/>
              <w:right w:type="dxa" w:w="120"/>
            </w:tcMar>
          </w:tcPr>
          <w:p>
            <w:r>
              <w:rPr>
                <w:b w:val="false"/>
                <w:bCs w:val="false"/>
                <w:sz w:val="20"/>
                <w:szCs w:val="20"/>
              </w:rPr>
              <w:t xml:space="preserve">Gemini Embeddings (gemini-embedding-001)</w:t>
            </w:r>
          </w:p>
        </w:tc>
        <w:tc>
          <w:tcPr>
            <w:tcW w:type="dxa" w:w="2000"/>
            <w:tcMar>
              <w:top w:type="dxa" w:w="100"/>
              <w:left w:type="dxa" w:w="120"/>
              <w:bottom w:type="dxa" w:w="100"/>
              <w:right w:type="dxa" w:w="120"/>
            </w:tcMar>
          </w:tcPr>
          <w:p>
            <w:r>
              <w:rPr>
                <w:b w:val="false"/>
                <w:bCs w:val="false"/>
                <w:sz w:val="20"/>
                <w:szCs w:val="20"/>
              </w:rPr>
              <w:t xml:space="preserve">Text embeddings</w:t>
            </w:r>
          </w:p>
        </w:tc>
        <w:tc>
          <w:tcPr>
            <w:tcW w:type="dxa" w:w="4400"/>
            <w:tcMar>
              <w:top w:type="dxa" w:w="100"/>
              <w:left w:type="dxa" w:w="120"/>
              <w:bottom w:type="dxa" w:w="100"/>
              <w:right w:type="dxa" w:w="120"/>
            </w:tcMar>
          </w:tcPr>
          <w:p>
            <w:r>
              <w:rPr>
                <w:b w:val="false"/>
                <w:bCs w:val="false"/>
                <w:sz w:val="20"/>
                <w:szCs w:val="20"/>
              </w:rPr>
              <w:t xml:space="preserve">Powers the coaching knowledge base search and, separately, the research assistant's query embedding step.</w:t>
            </w:r>
          </w:p>
        </w:tc>
      </w:tr>
      <w:tr>
        <w:tc>
          <w:tcPr>
            <w:tcW w:type="dxa" w:w="2600"/>
            <w:tcMar>
              <w:top w:type="dxa" w:w="100"/>
              <w:left w:type="dxa" w:w="120"/>
              <w:bottom w:type="dxa" w:w="100"/>
              <w:right w:type="dxa" w:w="120"/>
            </w:tcMar>
          </w:tcPr>
          <w:p>
            <w:r>
              <w:rPr>
                <w:b w:val="false"/>
                <w:bCs w:val="false"/>
                <w:sz w:val="20"/>
                <w:szCs w:val="20"/>
              </w:rPr>
              <w:t xml:space="preserve">Wikipedia REST API</w:t>
            </w:r>
          </w:p>
        </w:tc>
        <w:tc>
          <w:tcPr>
            <w:tcW w:type="dxa" w:w="2000"/>
            <w:tcMar>
              <w:top w:type="dxa" w:w="100"/>
              <w:left w:type="dxa" w:w="120"/>
              <w:bottom w:type="dxa" w:w="100"/>
              <w:right w:type="dxa" w:w="120"/>
            </w:tcMar>
          </w:tcPr>
          <w:p>
            <w:r>
              <w:rPr>
                <w:b w:val="false"/>
                <w:bCs w:val="false"/>
                <w:sz w:val="20"/>
                <w:szCs w:val="20"/>
              </w:rPr>
              <w:t xml:space="preserve">Web search (research agent)</w:t>
            </w:r>
          </w:p>
        </w:tc>
        <w:tc>
          <w:tcPr>
            <w:tcW w:type="dxa" w:w="4400"/>
            <w:tcMar>
              <w:top w:type="dxa" w:w="100"/>
              <w:left w:type="dxa" w:w="120"/>
              <w:bottom w:type="dxa" w:w="100"/>
              <w:right w:type="dxa" w:w="120"/>
            </w:tcMar>
          </w:tcPr>
          <w:p>
            <w:r>
              <w:rPr>
                <w:b w:val="false"/>
                <w:bCs w:val="false"/>
                <w:sz w:val="20"/>
                <w:szCs w:val="20"/>
              </w:rPr>
              <w:t xml:space="preserve">A deliberate choice over a scraping-based search library — avoids a category of Rust/C-extension dependency risk that caused a real installation failure earlier in the build (see Design Decisions).</w:t>
            </w:r>
          </w:p>
        </w:tc>
      </w:tr>
    </w:tbl>
    <w:p>
      <w:pPr>
        <w:pStyle w:val="Heading1"/>
        <w:spacing w:after="200" w:before="400"/>
      </w:pPr>
      <w:r>
        <w:t xml:space="preserve">4. System Architecture</w:t>
      </w:r>
    </w:p>
    <w:p>
      <w:pPr>
        <w:spacing w:after="160"/>
      </w:pPr>
      <w:r>
        <w:t xml:space="preserve">The platform follows a conventional three-tier architecture, illustrated in the accompanying architecture diagram: a React/Vite client communicating over authenticated REST calls with a FastAPI backend, which in turn reads and writes to Supabase (PostgreSQL, Authentication, and pgvector for similarity search) and calls out to external AI providers (Gemini, with automatic fallback to Groq) and, for the research assistant specifically, Wikipedia's public API.</w:t>
      </w:r>
    </w:p>
    <w:p>
      <w:pPr>
        <w:spacing w:after="160"/>
      </w:pPr>
      <w:r>
        <w:t xml:space="preserve">Every request from the frontend carries a Supabase-issued JWT, verified on the backend before any role-gated logic runs. Role checks (Learner / Debate Coach / Educator / Admin) are enforced as a dependency at the route level, not left to the frontend to police — confirmed directly in testing: a learner's own token receives a 403 when it attempts to call a coach- or admin-only endpoint, not just an assumption based on what the UI happens to show.</w:t>
      </w:r>
    </w:p>
    <w:p>
      <w:pPr>
        <w:pStyle w:val="Heading1"/>
        <w:spacing w:after="200" w:before="400"/>
      </w:pPr>
      <w:r>
        <w:t xml:space="preserve">5. AI &amp; Agentic Architecture</w:t>
      </w:r>
    </w:p>
    <w:p>
      <w:pPr>
        <w:spacing w:after="160"/>
      </w:pPr>
      <w:r>
        <w:t xml:space="preserve">A deliberate design principle of this project: not every AI feature needed the same amount of agentic autonomy, and using a heavier pattern than a task warrants adds cost and complexity without benefit. Four distinct patterns are used, in increasing order of autonomy:</w:t>
      </w:r>
    </w:p>
    <w:p>
      <w:pPr>
        <w:spacing w:after="100"/>
      </w:pPr>
      <w:r>
        <w:rPr>
          <w:b/>
          <w:bCs/>
        </w:rPr>
        <w:t xml:space="preserve">1. </w:t>
      </w:r>
      <w:r>
        <w:t xml:space="preserve">Fixed pipeline (Coaching Plan, Full Case Review) — always the same sequence of steps: retrieve, search, generate. Appropriate when the task genuinely doesn't benefit from the model making its own procedural decisions.</w:t>
      </w:r>
    </w:p>
    <w:p>
      <w:pPr>
        <w:spacing w:after="100"/>
      </w:pPr>
      <w:r>
        <w:rPr>
          <w:b/>
          <w:bCs/>
        </w:rPr>
        <w:t xml:space="preserve">2. </w:t>
      </w:r>
      <w:r>
        <w:t xml:space="preserve">Multi-agent graph with fixed roles (AI Debate Simulation) — a distinct Opponent agent and Judge agent, each with a clearly separated responsibility, running in a fixed sequence each round.</w:t>
      </w:r>
    </w:p>
    <w:p>
      <w:pPr>
        <w:spacing w:after="100"/>
      </w:pPr>
      <w:r>
        <w:rPr>
          <w:b/>
          <w:bCs/>
        </w:rPr>
        <w:t xml:space="preserve">3. </w:t>
      </w:r>
      <w:r>
        <w:t xml:space="preserve">Self-directed loop (Debate Prep Research Assistant) — a ReAct-style pattern where the model decides, each iteration, whether to search again or respond, capped at a hard iteration limit for cost and latency safety. Verified in testing to produce genuinely different iteration counts depending on the question, not a disguised fixed loop.</w:t>
      </w:r>
    </w:p>
    <w:p>
      <w:pPr>
        <w:spacing w:after="100"/>
      </w:pPr>
      <w:r>
        <w:rPr>
          <w:b/>
          <w:bCs/>
        </w:rPr>
        <w:t xml:space="preserve">4. </w:t>
      </w:r>
      <w:r>
        <w:t xml:space="preserve">Tool-calling agent (Ask Your Coach) — the model chooses which of several bound tools to call, in what order, based on the specific question asked. The highest-autonomy pattern used in this project, deliberately paired with a safety principle: an action with real consequences (creating a goal) is always proposed for explicit human confirmation, never committed silently.</w:t>
      </w:r>
    </w:p>
    <w:p>
      <w:pPr>
        <w:spacing w:after="160"/>
      </w:pPr>
      <w:r>
        <w:t xml:space="preserve">Every AI call in the system uses Google Gemini as the primary model, with an automatic, transparent fallback to Groq on failure — verified in real use, not just in principle, as shown repeatedly in this project's own operational logs.</w:t>
      </w:r>
    </w:p>
    <w:p>
      <w:pPr>
        <w:pStyle w:val="Heading1"/>
        <w:spacing w:after="200" w:before="400"/>
      </w:pPr>
      <w:r>
        <w:t xml:space="preserve">6. Feature Modules</w:t>
      </w:r>
    </w:p>
    <w:p>
      <w:pPr>
        <w:spacing w:after="160"/>
      </w:pPr>
      <w:r>
        <w:t xml:space="preserve">The following modules represent every major capability of the platform as of this report, organized roughly in the order they were built.</w:t>
      </w:r>
    </w:p>
    <w:p>
      <w:pPr>
        <w:pStyle w:val="Heading3"/>
        <w:spacing w:after="100" w:before="200"/>
      </w:pPr>
      <w:r>
        <w:t xml:space="preserve">Authentication &amp; Profile Management</w:t>
      </w:r>
    </w:p>
    <w:p>
      <w:pPr>
        <w:spacing w:after="160"/>
      </w:pPr>
      <w:r>
        <w:t xml:space="preserve">Email/password registration and login via Supabase Auth, JWT-based session verification on every request, and role assignment at signup (Learner, Debate Coach, Educator, or Admin). Profiles carry experience level, preferred topics, and — added later — a unique, case-insensitively-enforced username.</w:t>
      </w:r>
    </w:p>
    <w:p>
      <w:pPr>
        <w:pStyle w:val="ListParagraph"/>
        <w:numPr>
          <w:ilvl w:val="0"/>
          <w:numId w:val="1"/>
        </w:numPr>
        <w:spacing w:after="80"/>
      </w:pPr>
      <w:r>
        <w:t xml:space="preserve">Password strength requirements enforced identically at registration and password-change time.</w:t>
      </w:r>
    </w:p>
    <w:p>
      <w:pPr>
        <w:pStyle w:val="ListParagraph"/>
        <w:numPr>
          <w:ilvl w:val="0"/>
          <w:numId w:val="1"/>
        </w:numPr>
        <w:spacing w:after="80"/>
      </w:pPr>
      <w:r>
        <w:t xml:space="preserve">Editable profile fields: name, username, experience level, topic preferences, learning goals, coaching preferences.</w:t>
      </w:r>
    </w:p>
    <w:p>
      <w:pPr>
        <w:pStyle w:val="Heading3"/>
        <w:spacing w:after="100" w:before="200"/>
      </w:pPr>
      <w:r>
        <w:t xml:space="preserve">Argument Analysis Engine</w:t>
      </w:r>
    </w:p>
    <w:p>
      <w:pPr>
        <w:spacing w:after="160"/>
      </w:pPr>
      <w:r>
        <w:t xml:space="preserve">Submits a written or spoken argument and receives a structured breakdown: claim extraction, five scoring dimensions (clarity, relevance, evidence strength, logical consistency, persuasiveness), strengths, weaknesses, and a written summary.</w:t>
      </w:r>
    </w:p>
    <w:p>
      <w:pPr>
        <w:pStyle w:val="Heading3"/>
        <w:spacing w:after="100" w:before="200"/>
      </w:pPr>
      <w:r>
        <w:t xml:space="preserve">Logical Fallacy Detection</w:t>
      </w:r>
    </w:p>
    <w:p>
      <w:pPr>
        <w:spacing w:after="160"/>
      </w:pPr>
      <w:r>
        <w:t xml:space="preserve">Scans an argument for 8 supported fallacy types, returning the exact quoted text, an explanation of the fallacy, a suggested correction, and an overall credibility score.</w:t>
      </w:r>
    </w:p>
    <w:p>
      <w:pPr>
        <w:pStyle w:val="Heading3"/>
        <w:spacing w:after="100" w:before="200"/>
      </w:pPr>
      <w:r>
        <w:t xml:space="preserve">Counterargument Generation</w:t>
      </w:r>
    </w:p>
    <w:p>
      <w:pPr>
        <w:spacing w:after="160"/>
      </w:pPr>
      <w:r>
        <w:t xml:space="preserve">Generates rebuttals, challenge questions, alternative perspectives, and strategic suggestions for a given argument — designed to help a learner prepare for the strongest version of the opposing case.</w:t>
      </w:r>
    </w:p>
    <w:p>
      <w:pPr>
        <w:pStyle w:val="Heading3"/>
        <w:spacing w:after="100" w:before="200"/>
      </w:pPr>
      <w:r>
        <w:t xml:space="preserve">Full Case Review</w:t>
      </w:r>
    </w:p>
    <w:p>
      <w:pPr>
        <w:spacing w:after="160"/>
      </w:pPr>
      <w:r>
        <w:t xml:space="preserve">A fan-out/fan-in orchestration that runs Argument Analysis, Fallacy Detection, and Counterargument Generation together on the same input, then synthesizes a single overall verdict. Displays the complete detailed output of all three sub-tools, not just a summary.</w:t>
      </w:r>
    </w:p>
    <w:p>
      <w:pPr>
        <w:pStyle w:val="Heading3"/>
        <w:spacing w:after="100" w:before="200"/>
      </w:pPr>
      <w:r>
        <w:t xml:space="preserve">Presentation Analysis</w:t>
      </w:r>
    </w:p>
    <w:p>
      <w:pPr>
        <w:spacing w:after="160"/>
      </w:pPr>
      <w:r>
        <w:t xml:space="preserve">Accepts a live microphone recording (via the browser's Web Speech API) or a pasted transcript, and returns pace (words per minute), filler-word counts, and scores for confidence, clarity, and engagement.</w:t>
      </w:r>
    </w:p>
    <w:p>
      <w:pPr>
        <w:pStyle w:val="Heading3"/>
        <w:spacing w:after="100" w:before="200"/>
      </w:pPr>
      <w:r>
        <w:t xml:space="preserve">AI Debate Simulation</w:t>
      </w:r>
    </w:p>
    <w:p>
      <w:pPr>
        <w:spacing w:after="160"/>
      </w:pPr>
      <w:r>
        <w:t xml:space="preserve">A genuine multi-agent LangGraph graph: a distinct Opponent agent generates a counter-argument, and a separate Judge agent scores the round — sequential turns across as many rounds as the learner chooses, ending with a live-computed final tally.</w:t>
      </w:r>
    </w:p>
    <w:p>
      <w:pPr>
        <w:pStyle w:val="Heading3"/>
        <w:spacing w:after="100" w:before="200"/>
      </w:pPr>
      <w:r>
        <w:t xml:space="preserve">Human-vs-Human Debate Mode</w:t>
      </w:r>
    </w:p>
    <w:p>
      <w:pPr>
        <w:spacing w:after="160"/>
      </w:pPr>
      <w:r>
        <w:t xml:space="preserve">Invite a specific person by username to a real, turn-based debate. The creator opens each round; the invited opponent responds; once both arguments are in, the same AI judging logic scores the round automatically. Supports invite, accept, and decline states, a live round tally, and an end-debate action available to either participant. All 5 named debate formats (One-on-One, Parliamentary, Oxford, Policy, Public Forum) carry real distinct behavior: different suggested round-time limits and different judging emphasis baked into the AI judge's prompt.</w:t>
      </w:r>
    </w:p>
    <w:p>
      <w:pPr>
        <w:pStyle w:val="Heading3"/>
        <w:spacing w:after="100" w:before="200"/>
      </w:pPr>
      <w:r>
        <w:t xml:space="preserve">Performance Scoring Engine</w:t>
      </w:r>
    </w:p>
    <w:p>
      <w:pPr>
        <w:spacing w:after="160"/>
      </w:pPr>
      <w:r>
        <w:t xml:space="preserve">A weighted formula — Argument Quality 30%, Evidence Usage 20%, Logical Consistency 20%, Rebuttal Effectiveness 15%, Communication Skills 15% — computed live from a learner's actual history every time it's requested, never cached or allowed to go stale.</w:t>
      </w:r>
    </w:p>
    <w:p>
      <w:pPr>
        <w:pStyle w:val="Heading3"/>
        <w:spacing w:after="100" w:before="200"/>
      </w:pPr>
      <w:r>
        <w:t xml:space="preserve">Coaching Plan (retrieval-augmented generation)</w:t>
      </w:r>
    </w:p>
    <w:p>
      <w:pPr>
        <w:spacing w:after="160"/>
      </w:pPr>
      <w:r>
        <w:t xml:space="preserve">A fixed pipeline: retrieve the learner's current performance breakdown, embed a query describing their weakest areas, search a seeded coaching-knowledge base via pgvector similarity search, and generate grounded recommendations — not generic advice, but advice tied to real retrieved content.</w:t>
      </w:r>
    </w:p>
    <w:p>
      <w:pPr>
        <w:pStyle w:val="Heading3"/>
        <w:spacing w:after="100" w:before="200"/>
      </w:pPr>
      <w:r>
        <w:t xml:space="preserve">Ask Your Coach (agentic coaching upgrade)</w:t>
      </w:r>
    </w:p>
    <w:p>
      <w:pPr>
        <w:spacing w:after="160"/>
      </w:pPr>
      <w:r>
        <w:t xml:space="preserve">Upgrades the coaching interaction into a genuine tool-calling agent. Given a free-form question, the model itself decides which of four bound tools it needs — performance history, coaching-knowledge search, active goals, or proposing a new goal — rather than always following the same steps. The agent never silently creates a goal on the learner's account; it proposes one, and the learner must explicitly accept it.</w:t>
      </w:r>
    </w:p>
    <w:p>
      <w:pPr>
        <w:pStyle w:val="Heading3"/>
        <w:spacing w:after="100" w:before="200"/>
      </w:pPr>
      <w:r>
        <w:t xml:space="preserve">Debate Prep Research Assistant (agentic)</w:t>
      </w:r>
    </w:p>
    <w:p>
      <w:pPr>
        <w:spacing w:after="160"/>
      </w:pPr>
      <w:r>
        <w:t xml:space="preserve">A ReAct-style LangGraph loop: given a topic, the model decides for itself whether it has enough information or needs to search again, using Wikipedia's public API, up to a hard safety cap. Verified in testing to genuinely vary its own behavior — sometimes zero searches, sometimes two — rather than following a fixed number of steps.</w:t>
      </w:r>
    </w:p>
    <w:p>
      <w:pPr>
        <w:pStyle w:val="Heading3"/>
        <w:spacing w:after="100" w:before="200"/>
      </w:pPr>
      <w:r>
        <w:t xml:space="preserve">Historical Tracking &amp; Trend Analytics</w:t>
      </w:r>
    </w:p>
    <w:p>
      <w:pPr>
        <w:spacing w:after="160"/>
      </w:pPr>
      <w:r>
        <w:t xml:space="preserve">Every scored activity automatically writes a performance snapshot, powering real multi-line trend charts across all five scoring dimensions over time.</w:t>
      </w:r>
    </w:p>
    <w:p>
      <w:pPr>
        <w:pStyle w:val="Heading3"/>
        <w:spacing w:after="100" w:before="200"/>
      </w:pPr>
      <w:r>
        <w:t xml:space="preserve">Goals &amp; Session Scheduling</w:t>
      </w:r>
    </w:p>
    <w:p>
      <w:pPr>
        <w:spacing w:after="160"/>
      </w:pPr>
      <w:r>
        <w:t xml:space="preserve">Learners can set measurable goals (a metric, a target score, an optional deadline) and track live progress. Debate sessions can be scheduled for a future date with live-computed reminder notifications.</w:t>
      </w:r>
    </w:p>
    <w:p>
      <w:pPr>
        <w:pStyle w:val="Heading3"/>
        <w:spacing w:after="100" w:before="200"/>
      </w:pPr>
      <w:r>
        <w:t xml:space="preserve">Peer Comparison</w:t>
      </w:r>
    </w:p>
    <w:p>
      <w:pPr>
        <w:spacing w:after="160"/>
      </w:pPr>
      <w:r>
        <w:t xml:space="preserve">Anonymous, strictly opt-in percentile comparison against other opted-in learners. Never displays another learner's name or exact score — only a percentile band, and only once a configurable minimum pool size is met, to protect anonymity at small scale.</w:t>
      </w:r>
    </w:p>
    <w:p>
      <w:pPr>
        <w:pStyle w:val="Heading3"/>
        <w:spacing w:after="100" w:before="200"/>
      </w:pPr>
      <w:r>
        <w:t xml:space="preserve">Dashboards (Learner, Coach, Educator, Admin)</w:t>
      </w:r>
    </w:p>
    <w:p>
      <w:pPr>
        <w:spacing w:after="160"/>
      </w:pPr>
      <w:r>
        <w:t xml:space="preserve">Role-specific views: learners see their own performance, trend, streak, and recent activity; coaches and educators see a ranked list of every learner with drill-down into individual histories; admins see platform-wide statistics and AI provider health.</w:t>
      </w:r>
    </w:p>
    <w:p>
      <w:pPr>
        <w:pStyle w:val="Heading3"/>
        <w:spacing w:after="100" w:before="200"/>
      </w:pPr>
      <w:r>
        <w:t xml:space="preserve">Classes &amp; Cohorts</w:t>
      </w:r>
    </w:p>
    <w:p>
      <w:pPr>
        <w:spacing w:after="160"/>
      </w:pPr>
      <w:r>
        <w:t xml:space="preserve">Coaches and educators can group specific learners into a named class, scoping the ranked roster, trend chart, and PDF report to just that group instead of the entire platform — the structural fix that gives the Coach and Educator roles genuinely distinct value rather than an identical shared screen.</w:t>
      </w:r>
    </w:p>
    <w:p>
      <w:pPr>
        <w:pStyle w:val="Heading3"/>
        <w:spacing w:after="100" w:before="200"/>
      </w:pPr>
      <w:r>
        <w:t xml:space="preserve">Coach &amp; Educator Feedback Tools</w:t>
      </w:r>
    </w:p>
    <w:p>
      <w:pPr>
        <w:spacing w:after="160"/>
      </w:pPr>
      <w:r>
        <w:t xml:space="preserve">Leave feedback on a specific piece of a learner's work (with a deep link back to that exact item, not just the general tool), assign a goal directly to a learner, and suggest a debate topic that pre-fills the learner's session-creation form.</w:t>
      </w:r>
    </w:p>
    <w:p>
      <w:pPr>
        <w:pStyle w:val="Heading3"/>
        <w:spacing w:after="100" w:before="200"/>
      </w:pPr>
      <w:r>
        <w:t xml:space="preserve">Notifications</w:t>
      </w:r>
    </w:p>
    <w:p>
      <w:pPr>
        <w:spacing w:after="160"/>
      </w:pPr>
      <w:r>
        <w:t xml:space="preserve">Debate reminders, coaching alerts, feedback notifications, goal assignments, and milestone notifications — computed and served on request rather than pushed, since the project runs no background job scheduler.</w:t>
      </w:r>
    </w:p>
    <w:p>
      <w:pPr>
        <w:pStyle w:val="Heading3"/>
        <w:spacing w:after="100" w:before="200"/>
      </w:pPr>
      <w:r>
        <w:t xml:space="preserve">Reports &amp; Data Export</w:t>
      </w:r>
    </w:p>
    <w:p>
      <w:pPr>
        <w:spacing w:after="160"/>
      </w:pPr>
      <w:r>
        <w:t xml:space="preserve">Per-item and aggregate PDF/Excel exports, plus a full personal data export (every table a learner owns data in, including both sides of a human-vs-human debate) as a downloadable JSON file.</w:t>
      </w:r>
    </w:p>
    <w:p>
      <w:pPr>
        <w:pStyle w:val="Heading3"/>
        <w:spacing w:after="100" w:before="200"/>
      </w:pPr>
      <w:r>
        <w:t xml:space="preserve">Practice Streaks &amp; Topic Library</w:t>
      </w:r>
    </w:p>
    <w:p>
      <w:pPr>
        <w:spacing w:after="160"/>
      </w:pPr>
      <w:r>
        <w:t xml:space="preserve">A live-computed current and longest practice streak (consecutive days with any scored activity), an inactivity nudge, and a browsable, categorized debate topic library with a "surprise me" random pick.</w:t>
      </w:r>
    </w:p>
    <w:p>
      <w:pPr>
        <w:pStyle w:val="Heading3"/>
        <w:spacing w:after="100" w:before="200"/>
      </w:pPr>
      <w:r>
        <w:t xml:space="preserve">Voice-to-Text Input</w:t>
      </w:r>
    </w:p>
    <w:p>
      <w:pPr>
        <w:spacing w:after="160"/>
      </w:pPr>
      <w:r>
        <w:t xml:space="preserve">A reusable voice input control, built on the same browser Web Speech API as Presentation Analysis, added to every text-entry tool across the platform — Argument Analysis, Fallacy Detection, Counterarguments, Case Review, and Debate Simulation.</w:t>
      </w:r>
    </w:p>
    <w:p>
      <w:pPr>
        <w:pStyle w:val="Heading3"/>
        <w:spacing w:after="100" w:before="200"/>
      </w:pPr>
      <w:r>
        <w:t xml:space="preserve">Admin Tools</w:t>
      </w:r>
    </w:p>
    <w:p>
      <w:pPr>
        <w:spacing w:after="160"/>
      </w:pPr>
      <w:r>
        <w:t xml:space="preserve">Full user management (create, edit, delete accounts and roles) via Supabase's Admin API, live AI provider health monitoring (Gemini vs. Groq success/failure counts), and a database-backed, admin-editable settings panel (currently controlling the Peer Comparison minimum pool size).</w:t>
      </w:r>
    </w:p>
    <w:p>
      <w:pPr>
        <w:pStyle w:val="Heading1"/>
        <w:spacing w:after="200" w:before="400"/>
      </w:pPr>
      <w:r>
        <w:t xml:space="preserve">7. Testing &amp; Quality Assurance</w:t>
      </w:r>
    </w:p>
    <w:p>
      <w:pPr>
        <w:pStyle w:val="Heading2"/>
        <w:spacing w:after="150" w:before="300"/>
      </w:pPr>
      <w:r>
        <w:t xml:space="preserve">7.1 Manual Test Plan</w:t>
      </w:r>
    </w:p>
    <w:p>
      <w:pPr>
        <w:spacing w:after="160"/>
      </w:pPr>
      <w:r>
        <w:t xml:space="preserve">A written test plan covers every module for every role, with concrete, realistic sample text for each AI-backed tool (a well-evidenced argument for Argument Analysis, a fallacy-laden passage for Fallacy Detection, a filler-word-heavy transcript for Presentation Analysis, and so on) rather than placeholder text — ensuring each tool can be judged on genuinely meaningful output, not just "did it respond."</w:t>
      </w:r>
    </w:p>
    <w:p>
      <w:pPr>
        <w:pStyle w:val="Heading2"/>
        <w:spacing w:after="150" w:before="300"/>
      </w:pPr>
      <w:r>
        <w:t xml:space="preserve">7.2 Automated API Smoke Testing</w:t>
      </w:r>
    </w:p>
    <w:p>
      <w:pPr>
        <w:spacing w:after="160"/>
      </w:pPr>
      <w:r>
        <w:t xml:space="preserve">A dedicated script authenticates as each seeded role through Supabase's real password grant (the same flow the frontend itself uses) and exercises approximately 54 checks across every module: every CRUD endpoint, the complete human-vs-human debate flow end-to-end (invite, accept, alternating rounds, automatic judging) using two genuine accounts, and explicit role-gating checks confirming that a learner's token is rejected with a 403 from coach- and admin-only routes. All 54 checks pass.</w:t>
      </w:r>
    </w:p>
    <w:p>
      <w:pPr>
        <w:pStyle w:val="Heading2"/>
        <w:spacing w:after="150" w:before="300"/>
      </w:pPr>
      <w:r>
        <w:t xml:space="preserve">7.3 Seed Data Strategy</w:t>
      </w:r>
    </w:p>
    <w:p>
      <w:pPr>
        <w:spacing w:after="160"/>
      </w:pPr>
      <w:r>
        <w:t xml:space="preserve">A comprehensive, idempotent-by-design seed script creates one account per role (Admin, Debate Coach, Educator) and eight learners with deliberately varied performance histories, spanning every data-producing feature: all five single-shot analysis tools, both AI and human-vs-human debate history in all four possible states (pending invite, declined invite, accepted and in progress, and completed), research briefs, agentic coaching sessions, goals (both self-set and coach-assigned), class membership, and consecutive-day activity specifically shaped to produce a meaningful practice streak.</w:t>
      </w:r>
    </w:p>
    <w:p>
      <w:pPr>
        <w:pStyle w:val="Heading1"/>
        <w:spacing w:after="200" w:before="400"/>
      </w:pPr>
      <w:r>
        <w:t xml:space="preserve">8. Key Design Decisions &amp; Substitutions</w:t>
      </w:r>
    </w:p>
    <w:p>
      <w:pPr>
        <w:spacing w:after="160"/>
      </w:pPr>
      <w:r>
        <w:t xml:space="preserve">Every substitution below was a deliberate choice made against the project's zero-budget, free-tier-only constraint, not an oversight.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c>
          <w:tcPr>
            <w:tcW w:type="dxa" w:w="2600"/>
            <w:shd w:fill="EEEDFE" w:val="clear"/>
            <w:tcMar>
              <w:top w:type="dxa" w:w="100"/>
              <w:left w:type="dxa" w:w="120"/>
              <w:bottom w:type="dxa" w:w="100"/>
              <w:right w:type="dxa" w:w="120"/>
            </w:tcMar>
          </w:tcPr>
          <w:p>
            <w:r>
              <w:rPr>
                <w:b/>
                <w:bCs/>
                <w:sz w:val="20"/>
                <w:szCs w:val="20"/>
              </w:rPr>
              <w:t xml:space="preserve">Originally considered / scoped</w:t>
            </w:r>
          </w:p>
        </w:tc>
        <w:tc>
          <w:tcPr>
            <w:tcW w:type="dxa" w:w="2200"/>
            <w:shd w:fill="EEEDFE" w:val="clear"/>
            <w:tcMar>
              <w:top w:type="dxa" w:w="100"/>
              <w:left w:type="dxa" w:w="120"/>
              <w:bottom w:type="dxa" w:w="100"/>
              <w:right w:type="dxa" w:w="120"/>
            </w:tcMar>
          </w:tcPr>
          <w:p>
            <w:r>
              <w:rPr>
                <w:b/>
                <w:bCs/>
                <w:sz w:val="20"/>
                <w:szCs w:val="20"/>
              </w:rPr>
              <w:t xml:space="preserve">Actual choice</w:t>
            </w:r>
          </w:p>
        </w:tc>
        <w:tc>
          <w:tcPr>
            <w:tcW w:type="dxa" w:w="4200"/>
            <w:shd w:fill="EEEDFE" w:val="clear"/>
            <w:tcMar>
              <w:top w:type="dxa" w:w="100"/>
              <w:left w:type="dxa" w:w="120"/>
              <w:bottom w:type="dxa" w:w="100"/>
              <w:right w:type="dxa" w:w="120"/>
            </w:tcMar>
          </w:tcPr>
          <w:p>
            <w:r>
              <w:rPr>
                <w:b/>
                <w:bCs/>
                <w:sz w:val="20"/>
                <w:szCs w:val="20"/>
              </w:rPr>
              <w:t xml:space="preserve">Reasoning</w:t>
            </w:r>
          </w:p>
        </w:tc>
      </w:tr>
      <w:tr>
        <w:tc>
          <w:tcPr>
            <w:tcW w:type="dxa" w:w="2600"/>
            <w:tcMar>
              <w:top w:type="dxa" w:w="100"/>
              <w:left w:type="dxa" w:w="120"/>
              <w:bottom w:type="dxa" w:w="100"/>
              <w:right w:type="dxa" w:w="120"/>
            </w:tcMar>
          </w:tcPr>
          <w:p>
            <w:r>
              <w:rPr>
                <w:b w:val="false"/>
                <w:bCs w:val="false"/>
                <w:sz w:val="20"/>
                <w:szCs w:val="20"/>
              </w:rPr>
              <w:t xml:space="preserve">MongoDB (as originally scoped)</w:t>
            </w:r>
          </w:p>
        </w:tc>
        <w:tc>
          <w:tcPr>
            <w:tcW w:type="dxa" w:w="2200"/>
            <w:tcMar>
              <w:top w:type="dxa" w:w="100"/>
              <w:left w:type="dxa" w:w="120"/>
              <w:bottom w:type="dxa" w:w="100"/>
              <w:right w:type="dxa" w:w="120"/>
            </w:tcMar>
          </w:tcPr>
          <w:p>
            <w:r>
              <w:rPr>
                <w:b w:val="false"/>
                <w:bCs w:val="false"/>
                <w:sz w:val="20"/>
                <w:szCs w:val="20"/>
              </w:rPr>
              <w:t xml:space="preserve">Postgres JSONB columns</w:t>
            </w:r>
          </w:p>
        </w:tc>
        <w:tc>
          <w:tcPr>
            <w:tcW w:type="dxa" w:w="4200"/>
            <w:tcMar>
              <w:top w:type="dxa" w:w="100"/>
              <w:left w:type="dxa" w:w="120"/>
              <w:bottom w:type="dxa" w:w="100"/>
              <w:right w:type="dxa" w:w="120"/>
            </w:tcMar>
          </w:tcPr>
          <w:p>
            <w:r>
              <w:rPr>
                <w:b w:val="false"/>
                <w:bCs w:val="false"/>
                <w:sz w:val="20"/>
                <w:szCs w:val="20"/>
              </w:rPr>
              <w:t xml:space="preserve">One database instead of two, with the same schema flexibility for AI-generated structured content.</w:t>
            </w:r>
          </w:p>
        </w:tc>
      </w:tr>
      <w:tr>
        <w:tc>
          <w:tcPr>
            <w:tcW w:type="dxa" w:w="2600"/>
            <w:tcMar>
              <w:top w:type="dxa" w:w="100"/>
              <w:left w:type="dxa" w:w="120"/>
              <w:bottom w:type="dxa" w:w="100"/>
              <w:right w:type="dxa" w:w="120"/>
            </w:tcMar>
          </w:tcPr>
          <w:p>
            <w:r>
              <w:rPr>
                <w:b w:val="false"/>
                <w:bCs w:val="false"/>
                <w:sz w:val="20"/>
                <w:szCs w:val="20"/>
              </w:rPr>
              <w:t xml:space="preserve">LangChain</w:t>
            </w:r>
          </w:p>
        </w:tc>
        <w:tc>
          <w:tcPr>
            <w:tcW w:type="dxa" w:w="2200"/>
            <w:tcMar>
              <w:top w:type="dxa" w:w="100"/>
              <w:left w:type="dxa" w:w="120"/>
              <w:bottom w:type="dxa" w:w="100"/>
              <w:right w:type="dxa" w:w="120"/>
            </w:tcMar>
          </w:tcPr>
          <w:p>
            <w:r>
              <w:rPr>
                <w:b w:val="false"/>
                <w:bCs w:val="false"/>
                <w:sz w:val="20"/>
                <w:szCs w:val="20"/>
              </w:rPr>
              <w:t xml:space="preserve">LangGraph directly</w:t>
            </w:r>
          </w:p>
        </w:tc>
        <w:tc>
          <w:tcPr>
            <w:tcW w:type="dxa" w:w="4200"/>
            <w:tcMar>
              <w:top w:type="dxa" w:w="100"/>
              <w:left w:type="dxa" w:w="120"/>
              <w:bottom w:type="dxa" w:w="100"/>
              <w:right w:type="dxa" w:w="120"/>
            </w:tcMar>
          </w:tcPr>
          <w:p>
            <w:r>
              <w:rPr>
                <w:b w:val="false"/>
                <w:bCs w:val="false"/>
                <w:sz w:val="20"/>
                <w:szCs w:val="20"/>
              </w:rPr>
              <w:t xml:space="preserve">A deliberately lighter orchestration layer — used only where genuine multi-step or agentic behavior is needed, not as a blanket abstraction over every LLM call.</w:t>
            </w:r>
          </w:p>
        </w:tc>
      </w:tr>
      <w:tr>
        <w:tc>
          <w:tcPr>
            <w:tcW w:type="dxa" w:w="2600"/>
            <w:tcMar>
              <w:top w:type="dxa" w:w="100"/>
              <w:left w:type="dxa" w:w="120"/>
              <w:bottom w:type="dxa" w:w="100"/>
              <w:right w:type="dxa" w:w="120"/>
            </w:tcMar>
          </w:tcPr>
          <w:p>
            <w:r>
              <w:rPr>
                <w:b w:val="false"/>
                <w:bCs w:val="false"/>
                <w:sz w:val="20"/>
                <w:szCs w:val="20"/>
              </w:rPr>
              <w:t xml:space="preserve">CrewAI</w:t>
            </w:r>
          </w:p>
        </w:tc>
        <w:tc>
          <w:tcPr>
            <w:tcW w:type="dxa" w:w="2200"/>
            <w:tcMar>
              <w:top w:type="dxa" w:w="100"/>
              <w:left w:type="dxa" w:w="120"/>
              <w:bottom w:type="dxa" w:w="100"/>
              <w:right w:type="dxa" w:w="120"/>
            </w:tcMar>
          </w:tcPr>
          <w:p>
            <w:r>
              <w:rPr>
                <w:b w:val="false"/>
                <w:bCs w:val="false"/>
                <w:sz w:val="20"/>
                <w:szCs w:val="20"/>
              </w:rPr>
              <w:t xml:space="preserve">Rejected entirely</w:t>
            </w:r>
          </w:p>
        </w:tc>
        <w:tc>
          <w:tcPr>
            <w:tcW w:type="dxa" w:w="4200"/>
            <w:tcMar>
              <w:top w:type="dxa" w:w="100"/>
              <w:left w:type="dxa" w:w="120"/>
              <w:bottom w:type="dxa" w:w="100"/>
              <w:right w:type="dxa" w:w="120"/>
            </w:tcMar>
          </w:tcPr>
          <w:p>
            <w:r>
              <w:rPr>
                <w:b w:val="false"/>
                <w:bCs w:val="false"/>
                <w:sz w:val="20"/>
                <w:szCs w:val="20"/>
              </w:rPr>
              <w:t xml:space="preserve">Pulled in 138 packages, including a dependency profile that broke the very first install attempt on this project's Python 3.14 + Windows environment.</w:t>
            </w:r>
          </w:p>
        </w:tc>
      </w:tr>
      <w:tr>
        <w:tc>
          <w:tcPr>
            <w:tcW w:type="dxa" w:w="2600"/>
            <w:tcMar>
              <w:top w:type="dxa" w:w="100"/>
              <w:left w:type="dxa" w:w="120"/>
              <w:bottom w:type="dxa" w:w="100"/>
              <w:right w:type="dxa" w:w="120"/>
            </w:tcMar>
          </w:tcPr>
          <w:p>
            <w:r>
              <w:rPr>
                <w:b w:val="false"/>
                <w:bCs w:val="false"/>
                <w:sz w:val="20"/>
                <w:szCs w:val="20"/>
              </w:rPr>
              <w:t xml:space="preserve">A general web-search library (e.g. duckduckgo-search)</w:t>
            </w:r>
          </w:p>
        </w:tc>
        <w:tc>
          <w:tcPr>
            <w:tcW w:type="dxa" w:w="2200"/>
            <w:tcMar>
              <w:top w:type="dxa" w:w="100"/>
              <w:left w:type="dxa" w:w="120"/>
              <w:bottom w:type="dxa" w:w="100"/>
              <w:right w:type="dxa" w:w="120"/>
            </w:tcMar>
          </w:tcPr>
          <w:p>
            <w:r>
              <w:rPr>
                <w:b w:val="false"/>
                <w:bCs w:val="false"/>
                <w:sz w:val="20"/>
                <w:szCs w:val="20"/>
              </w:rPr>
              <w:t xml:space="preserve">Wikipedia's public REST API</w:t>
            </w:r>
          </w:p>
        </w:tc>
        <w:tc>
          <w:tcPr>
            <w:tcW w:type="dxa" w:w="4200"/>
            <w:tcMar>
              <w:top w:type="dxa" w:w="100"/>
              <w:left w:type="dxa" w:w="120"/>
              <w:bottom w:type="dxa" w:w="100"/>
              <w:right w:type="dxa" w:w="120"/>
            </w:tcMar>
          </w:tcPr>
          <w:p>
            <w:r>
              <w:rPr>
                <w:b w:val="false"/>
                <w:bCs w:val="false"/>
                <w:sz w:val="20"/>
                <w:szCs w:val="20"/>
              </w:rPr>
              <w:t xml:space="preserve">The scraping-based alternative depends on Rust/C-extension wheels that need prebuilt binaries for the exact Python version in use — the same category of risk that broke CrewAI. Wikipedia's API needs nothing beyond the already-proven `requests` library.</w:t>
            </w:r>
          </w:p>
        </w:tc>
      </w:tr>
      <w:tr>
        <w:tc>
          <w:tcPr>
            <w:tcW w:type="dxa" w:w="2600"/>
            <w:tcMar>
              <w:top w:type="dxa" w:w="100"/>
              <w:left w:type="dxa" w:w="120"/>
              <w:bottom w:type="dxa" w:w="100"/>
              <w:right w:type="dxa" w:w="120"/>
            </w:tcMar>
          </w:tcPr>
          <w:p>
            <w:r>
              <w:rPr>
                <w:b w:val="false"/>
                <w:bCs w:val="false"/>
                <w:sz w:val="20"/>
                <w:szCs w:val="20"/>
              </w:rPr>
              <w:t xml:space="preserve">Self-hosted Whisper (speech-to-text)</w:t>
            </w:r>
          </w:p>
        </w:tc>
        <w:tc>
          <w:tcPr>
            <w:tcW w:type="dxa" w:w="2200"/>
            <w:tcMar>
              <w:top w:type="dxa" w:w="100"/>
              <w:left w:type="dxa" w:w="120"/>
              <w:bottom w:type="dxa" w:w="100"/>
              <w:right w:type="dxa" w:w="120"/>
            </w:tcMar>
          </w:tcPr>
          <w:p>
            <w:r>
              <w:rPr>
                <w:b w:val="false"/>
                <w:bCs w:val="false"/>
                <w:sz w:val="20"/>
                <w:szCs w:val="20"/>
              </w:rPr>
              <w:t xml:space="preserve">Browser Web Speech API</w:t>
            </w:r>
          </w:p>
        </w:tc>
        <w:tc>
          <w:tcPr>
            <w:tcW w:type="dxa" w:w="4200"/>
            <w:tcMar>
              <w:top w:type="dxa" w:w="100"/>
              <w:left w:type="dxa" w:w="120"/>
              <w:bottom w:type="dxa" w:w="100"/>
              <w:right w:type="dxa" w:w="120"/>
            </w:tcMar>
          </w:tcPr>
          <w:p>
            <w:r>
              <w:rPr>
                <w:b w:val="false"/>
                <w:bCs w:val="false"/>
                <w:sz w:val="20"/>
                <w:szCs w:val="20"/>
              </w:rPr>
              <w:t xml:space="preserve">Free, needs no GPU or hosting, and requires zero additional backend infrastructure.</w:t>
            </w:r>
          </w:p>
        </w:tc>
      </w:tr>
      <w:tr>
        <w:tc>
          <w:tcPr>
            <w:tcW w:type="dxa" w:w="2600"/>
            <w:tcMar>
              <w:top w:type="dxa" w:w="100"/>
              <w:left w:type="dxa" w:w="120"/>
              <w:bottom w:type="dxa" w:w="100"/>
              <w:right w:type="dxa" w:w="120"/>
            </w:tcMar>
          </w:tcPr>
          <w:p>
            <w:r>
              <w:rPr>
                <w:b w:val="false"/>
                <w:bCs w:val="false"/>
                <w:sz w:val="20"/>
                <w:szCs w:val="20"/>
              </w:rPr>
              <w:t xml:space="preserve">Elasticsearch (history search)</w:t>
            </w:r>
          </w:p>
        </w:tc>
        <w:tc>
          <w:tcPr>
            <w:tcW w:type="dxa" w:w="2200"/>
            <w:tcMar>
              <w:top w:type="dxa" w:w="100"/>
              <w:left w:type="dxa" w:w="120"/>
              <w:bottom w:type="dxa" w:w="100"/>
              <w:right w:type="dxa" w:w="120"/>
            </w:tcMar>
          </w:tcPr>
          <w:p>
            <w:r>
              <w:rPr>
                <w:b w:val="false"/>
                <w:bCs w:val="false"/>
                <w:sz w:val="20"/>
                <w:szCs w:val="20"/>
              </w:rPr>
              <w:t xml:space="preserve">Client-side filtering / Postgres full-text search</w:t>
            </w:r>
          </w:p>
        </w:tc>
        <w:tc>
          <w:tcPr>
            <w:tcW w:type="dxa" w:w="4200"/>
            <w:tcMar>
              <w:top w:type="dxa" w:w="100"/>
              <w:left w:type="dxa" w:w="120"/>
              <w:bottom w:type="dxa" w:w="100"/>
              <w:right w:type="dxa" w:w="120"/>
            </w:tcMar>
          </w:tcPr>
          <w:p>
            <w:r>
              <w:rPr>
                <w:b w:val="false"/>
                <w:bCs w:val="false"/>
                <w:sz w:val="20"/>
                <w:szCs w:val="20"/>
              </w:rPr>
              <w:t xml:space="preserve">At this data scale, filtering an already-fetched history list client-side is simpler and equally effective.</w:t>
            </w:r>
          </w:p>
        </w:tc>
      </w:tr>
      <w:tr>
        <w:tc>
          <w:tcPr>
            <w:tcW w:type="dxa" w:w="2600"/>
            <w:tcMar>
              <w:top w:type="dxa" w:w="100"/>
              <w:left w:type="dxa" w:w="120"/>
              <w:bottom w:type="dxa" w:w="100"/>
              <w:right w:type="dxa" w:w="120"/>
            </w:tcMar>
          </w:tcPr>
          <w:p>
            <w:r>
              <w:rPr>
                <w:b w:val="false"/>
                <w:bCs w:val="false"/>
                <w:sz w:val="20"/>
                <w:szCs w:val="20"/>
              </w:rPr>
              <w:t xml:space="preserve">Email-based notifications</w:t>
            </w:r>
          </w:p>
        </w:tc>
        <w:tc>
          <w:tcPr>
            <w:tcW w:type="dxa" w:w="2200"/>
            <w:tcMar>
              <w:top w:type="dxa" w:w="100"/>
              <w:left w:type="dxa" w:w="120"/>
              <w:bottom w:type="dxa" w:w="100"/>
              <w:right w:type="dxa" w:w="120"/>
            </w:tcMar>
          </w:tcPr>
          <w:p>
            <w:r>
              <w:rPr>
                <w:b w:val="false"/>
                <w:bCs w:val="false"/>
                <w:sz w:val="20"/>
                <w:szCs w:val="20"/>
              </w:rPr>
              <w:t xml:space="preserve">In-app notifications only (deferred)</w:t>
            </w:r>
          </w:p>
        </w:tc>
        <w:tc>
          <w:tcPr>
            <w:tcW w:type="dxa" w:w="4200"/>
            <w:tcMar>
              <w:top w:type="dxa" w:w="100"/>
              <w:left w:type="dxa" w:w="120"/>
              <w:bottom w:type="dxa" w:w="100"/>
              <w:right w:type="dxa" w:w="120"/>
            </w:tcMar>
          </w:tcPr>
          <w:p>
            <w:r>
              <w:rPr>
                <w:b w:val="false"/>
                <w:bCs w:val="false"/>
                <w:sz w:val="20"/>
                <w:szCs w:val="20"/>
              </w:rPr>
              <w:t xml:space="preserve">No email-sending infrastructure was set up; explicitly deferred rather than half-implemented.</w:t>
            </w:r>
          </w:p>
        </w:tc>
      </w:tr>
    </w:tbl>
    <w:p>
      <w:pPr>
        <w:pStyle w:val="Heading1"/>
        <w:spacing w:after="200" w:before="400"/>
      </w:pPr>
      <w:r>
        <w:t xml:space="preserve">9. Known Limitations &amp; Deferred Work</w:t>
      </w:r>
    </w:p>
    <w:p>
      <w:pPr>
        <w:pStyle w:val="ListParagraph"/>
        <w:numPr>
          <w:ilvl w:val="0"/>
          <w:numId w:val="1"/>
        </w:numPr>
        <w:spacing w:after="80"/>
      </w:pPr>
      <w:r>
        <w:t xml:space="preserve">Email notifications are not implemented — no email-sending infrastructure has been configured; all notifications are in-app only.</w:t>
      </w:r>
    </w:p>
    <w:p>
      <w:pPr>
        <w:pStyle w:val="ListParagraph"/>
        <w:numPr>
          <w:ilvl w:val="0"/>
          <w:numId w:val="1"/>
        </w:numPr>
        <w:spacing w:after="80"/>
      </w:pPr>
      <w:r>
        <w:t xml:space="preserve">Public, open debate rooms and an open direct-messaging system are deferred pending a dedicated moderation and safety design pass — deliberately not treated as a quick addition.</w:t>
      </w:r>
    </w:p>
    <w:p>
      <w:pPr>
        <w:pStyle w:val="ListParagraph"/>
        <w:numPr>
          <w:ilvl w:val="0"/>
          <w:numId w:val="1"/>
        </w:numPr>
        <w:spacing w:after="80"/>
      </w:pPr>
      <w:r>
        <w:t xml:space="preserve">A full visual/UI redesign has been deliberately sequenced last, after deployment, specifically to avoid destabilizing a system that has just completed a full testing pass.</w:t>
      </w:r>
    </w:p>
    <w:p>
      <w:pPr>
        <w:pStyle w:val="ListParagraph"/>
        <w:numPr>
          <w:ilvl w:val="0"/>
          <w:numId w:val="1"/>
        </w:numPr>
        <w:spacing w:after="80"/>
      </w:pPr>
      <w:r>
        <w:t xml:space="preserve">Saved audio playback for Presentation Analysis, short gamified practice drills, and a structured Claim/Evidence/Warrant input template are identified as valuable future additions but are not currently scheduled.</w:t>
      </w:r>
    </w:p>
    <w:p>
      <w:pPr>
        <w:pStyle w:val="Heading1"/>
        <w:spacing w:after="200" w:before="400"/>
      </w:pPr>
      <w:r>
        <w:t xml:space="preserve">10. Conclusion</w:t>
      </w:r>
    </w:p>
    <w:p>
      <w:pPr>
        <w:spacing w:after="160"/>
      </w:pPr>
      <w:r>
        <w:t xml:space="preserve">ClashLab demonstrates that a genuinely full-featured, multi-role, AI-driven application — spanning four distinct agentic architectures, real-time collaborative debate between two live users, and a complete coaching and analytics layer — can be built and operated entirely on free-tier infrastructure, provided each technical choice is made deliberately and each substitution is documented rather than silently accepted. The platform has reached a fully tested, stable state and is ready for deployment.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ClashLab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2026-08-26T08:04:44.710Z</dcterms:created>
  <dcterms:modified xsi:type="dcterms:W3CDTF">2026-08-26T08:04:44.728Z</dcterms:modified>
</cp:coreProperties>
</file>

<file path=docProps/custom.xml><?xml version="1.0" encoding="utf-8"?>
<Properties xmlns="http://schemas.openxmlformats.org/officeDocument/2006/custom-properties" xmlns:vt="http://schemas.openxmlformats.org/officeDocument/2006/docPropsVTypes"/>
</file>