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Calibri" w:cs="Calibri" w:eastAsia="Calibri" w:hAnsi="Calibri"/>
          <w:b/>
          <w:bCs/>
          <w:color w:val="1B2A41"/>
          <w:sz w:val="40"/>
          <w:szCs w:val="40"/>
        </w:rPr>
        <w:t xml:space="preserve">MedTrack — Final Project Documentation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document summarizes the MedTrack project: data sources, KPI definitions, dashboard functionality, and healthcare operations methodology. Built in Power BI Desktop on a single consolidated dataset.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1. Dataset Source &amp; Collection Methodology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Unlike a multi-file pipeline, this project consolidates on one pre-cleaned source table: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hospital_cleaned.csv: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10,000 patient-stay records × 56 columns, spanning 20 hospitals and 10 clinical departments, Jan 2025 – Nov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source file already includes several derived fields prepared upstream of this project, used directly rather than re-derived in Power BI: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Bed_Occupancy_Rate_Calc, ICU_Occupancy_Rate_Calc — pre-calculated occupancy rates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Staff_Utilization_Calc — pre-calculated staffing ratio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Readmission_Flag, Transferred_Flag, Equipment_InUse_Flag — binary indicator columns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One additional transformation was built during this project, in Power Query: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Patient Events table: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hospital_cleaned was referenced twice and reshaped — one copy keyed on Admission Date (tagged “Admitted”), one on Discharge Date (tagged “Discharged”) — then appended into a single Event Date / Event Type table. This was required to chart Admitted vs. Discharged volumes by their true respective months; a single-table chart cannot do this correctly since both series would otherwise share one date axis.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2. KPI Definitions &amp; DAX Measures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following measures drive every dashboard in the workbook: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Total Admissions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total volume of patient admissions in the current filter context.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Total Admissions = COUNTROWS('hospital_cleaned (1)')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Occupancy Rate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average bed occupancy across the filtered records.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Occupancy Rate = AVERAGE('hospital_cleaned (1)'[Bed_Occupancy_Rate_Calc])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Average Length of Stay (ALOS)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mean number of days between admission and discharge.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Avg Length of Stay = AVERAGE('hospital_cleaned (1)'[Length of Stay])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Readmission Rate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share of admissions flagged as readmissions.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Readmission Rate = AVERAGE('hospital_cleaned (1)'[Readmission_Flag]) × 100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Department Efficiency Score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composite 0–100 score rewarding higher staff utilization and lower readmission rate equally.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Efficiency Score = (AVG(Staff_Utilization_Calc)×0.5) + ((100 − AVG(Readmission_Flag)×100)×0.5)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Age Group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calculated column bucketing patients into 4 age bands, used for the Patient Flow age distribution chart.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Age Group = IF(Age&lt;=18,"0-18",IF(Age&lt;=35,"19-35",IF(Age&lt;=55,"36-55","56+")))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Beds Occupied Count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Definition: count of beds recorded as occupied, converting a Yes/No text field into a summable measure.</w:t>
      </w:r>
    </w:p>
    <w:p>
      <w:pPr>
        <w:spacing w:after="80"/>
        <w:ind w:left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Beds Occupied Count = SUMX('hospital_cleaned (1)', IF([Bed Occupied]="Yes",1,0))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3. Dashboard Guide &amp; Navigation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Power BI report contains 4 interconnected pages, linked by sidebar navigation buttons and a shared set of synced filters.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Page 1 — Hospital Overview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Landing page giving executives a snapshot of enterprise-level KPIs and monthly trends.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 visuals: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4 KPI cards (Admissions, Occupancy, ALOS, Readmission) · 3 monthly trend lines · Admissions by Department · Admissions vs. Discharges · Gender split.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Page 2 — Patient Flow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Tracks patient movement from admission through discharge, and how stay length and readmissions vary by age and department.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 visuals: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Admission Trends · Discharge Tracking · Patient Movement Analysis (built on the Patient Events table) · Average Stay Analysis by Admission Type · Peak Patient Load Monitoring.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Page 3 — Department Analytics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Enables comparison of departmental performance, workload, and efficiency.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 visuals: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Department Admissions · Doctor Count · Department Efficiency Score (ranked) · Average LOS by Department · Readmission by Department.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Page 4 — Resource Utilization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Monitors bed, staff, and equipment capacity for planning purposes.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 visuals: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Bed Utilization by Department · Equipment Status · ICU Beds by Hospital · Staff Count by Department · Beds Available vs. Occupied · Capacity Forecast (occupancy trend with a 3-month forward projection and confidence band, via Power BI's built-in Analytics → Forecast).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Navigation &amp; Filtering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Sidebar navigation: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Button visuals with Page Navigation actions, present on all 4 pages, styled consistently (active page highlighted).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Global filters: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Admission Date, Hospital Name, Department Name, and Hospital Type slicers, synced across all 4 pages via View → Sync Slicers.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4. Healthcare Operations Methodology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Operational efficiency: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Department Efficiency Score combines staffing utilization and readmission performance into one comparable metric, letting leadership rank departments without reading five separate charts.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of care: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Readmission Rate is tracked overall, by month, and by department — a department readmitting well above the 49.87% baseline is a signal worth a discharge-protocol review.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Resource allocation: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Bed Utilization and Staff Count by Department, read together, surface whether a department is capacity-constrained by beds, by staffing, or neither.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Capacity planning: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The Resource Utilization page's forecast chart projects bed occupancy 3 months forward, giving planners early warning of an approaching capacity ceiling rather than only reacting to current-month numbers.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5. Known Limitations &amp; Data Caveats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Documented for transparency — none of these block submission, but each is worth being aware of: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9A6700"/>
          <w:sz w:val="19"/>
          <w:szCs w:val="19"/>
        </w:rPr>
        <w:t xml:space="preserve">Bed_Occupancy_Rate_Calc exceeds 100% on 20 of 10,000 records (0.2%) — not corrected in this prototype.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9A6700"/>
          <w:sz w:val="19"/>
          <w:szCs w:val="19"/>
        </w:rPr>
        <w:t xml:space="preserve">Average Length of Stay (78.78 days) and Readmission Rate (49.87%) are both far above typical real-world hospital benchmarks (~4–6 days and ~10–20% respectively), consistent with this being a synthetic/generated dataset rather than production hospital data.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9A6700"/>
          <w:sz w:val="19"/>
          <w:szCs w:val="19"/>
        </w:rPr>
        <w:t xml:space="preserve">The Capacity Forecast is a statistical projection over ~18 months of history and should be read as directional, not a precise prediction — confidence bands widen the further out it projects.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9A6700"/>
          <w:sz w:val="19"/>
          <w:szCs w:val="19"/>
        </w:rPr>
        <w:t xml:space="preserve">Dashboard layout has been verified at standard desktop resolution; tablet/mobile responsiveness has not been tested.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2026-08-14T11:50:48.839Z</dcterms:created>
  <dcterms:modified xsi:type="dcterms:W3CDTF">2026-08-14T11:50:48.840Z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