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Calibri" w:cs="Calibri" w:eastAsia="Calibri" w:hAnsi="Calibri"/>
          <w:b/>
          <w:bCs/>
          <w:color w:val="1B2A41"/>
          <w:sz w:val="40"/>
          <w:szCs w:val="40"/>
        </w:rPr>
        <w:t xml:space="preserve">MedTrack — Quality Assurance (QA) Checklist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This checklist defines and records the validation performed on the MedTrack dataset, DAX measures, and Power BI dashboards to confirm data integrity, calculation accuracy, and dashboard usability. Source: hospital_cleaned.csv (10,000 rows × 56 columns).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1. Data Integrity &amp; Pipeline Verification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Raw Data Load Test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Verify hospital_cleaned.csv loads into Power BI without error, with the expected row/column count.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10,000 rows × 56 columns loaded successfully via Get Data → Text/CSV, no load errors.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Duplicate Record Check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Verify no duplicate patient records exist in the source table.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0 duplicate Patient ID values found across all 10,000 rows.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Null / Missing Value Review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Check missing-value patterns and confirm each is expected rather than a data-quality defect.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One column contains nulls: Transfer_Date is blank for 8,240 of 10,000 rows.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This is correct, not missing data — Transferred_Flag = 0 for those same 8,240 rows (patients who were never transferred between departments), so an empty Transfer_Date is the expected value, not a gap.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All other 55 columns are 100% populated.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Date Chronology Check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Confirm Discharge Date is never earlier than Admission Date.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0 records with Discharge Date before Admission Date, across all 10,000 rows — chronology is clean.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Department Naming Consistency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Check for duplicate categories caused by inconsistent casing.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9A6700"/>
          <w:sz w:val="20"/>
          <w:szCs w:val="20"/>
        </w:rPr>
        <w:t xml:space="preserve">Raw data contains “Icu” (mixed case) instead of “ICU”.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Action: a calculated column (Department (Clean)) title-cases and normalizes this before it reaches any chart, filter, or legend. Verified all 10 departments now render as one consistent category each.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Value Range / Outlier Check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Spot-check that calculated rate fields fall within a sane range.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9A6700"/>
          <w:sz w:val="20"/>
          <w:szCs w:val="20"/>
        </w:rPr>
        <w:t xml:space="preserve">Bed_Occupancy_Rate_Calc exceeds 100% on 20 of 10,000 records (0.2%).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Not corrected in this prototype — flagged for awareness. Recommend capping this measure at 100% (MIN(measure,1)) in a future revision; impact on dashboard-level averages is negligible at this frequency.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2. KPI Engineering Validation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Admissions Count Consistency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COUNTROWS(hospital_cleaned) = 10,000, unfiltered. Department-level admission counts (958–1,033 per department) sum exactly to 10,000.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Occupancy Rate Range Check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AVERAGE(Bed_Occupancy_Rate_Calc) = 36.76% overall — within expected bounds. See Section 1 outlier note for the 20-record exception above 100%.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Length of Stay Logic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AVERAGE(Length of Stay) = 78.78 days overall. All individual values are positive; no negative or zero-day stays.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Readmission Rate Verification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Readmission_Flag is a clean 0/1 field; AVERAGE(Readmission_Flag) × 100 = 49.87% overall.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Department Efficiency Score Calculation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Formula: (AVERAGE(Staff_Utilization_Calc) × 0.5) + ((100 − AVERAGE(Readmission_Flag)×100) × 0.5)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Verified across all 10 departments, range 53.1–56.1: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ICU: 56.1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Neurology: 55.4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Psychiatry: 54.0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Pulmonology: 53.8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Cardiology: 53.7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General Medicine: 53.7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Orthopedics: 53.6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Oncology: 53.5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Nephrology: 53.4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0"/>
          <w:szCs w:val="20"/>
        </w:rPr>
        <w:t xml:space="preserve">◦  </w:t>
      </w: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General Surgery: 53.1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3. Power BI Dashboard Usability &amp; Navigation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Global Filter Sync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Admission Date, Hospital Name, Department Name, and Hospital Type slicers verified via Sync Slicers to apply across all built pages.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Cross-Filter / Navigation Actions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1E7E34"/>
          <w:sz w:val="20"/>
          <w:szCs w:val="20"/>
        </w:rPr>
        <w:t xml:space="preserve">Sidebar navigation buttons (page-navigation actions) verified to move correctly between Hospital Overview, Patient Flow, Department Analytics, and Resource Utilization.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Device / Layout Responsiveness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9A6700"/>
          <w:sz w:val="20"/>
          <w:szCs w:val="20"/>
        </w:rPr>
        <w:t xml:space="preserve">Fixed 1600×1000 canvas size verified to render correctly at standard desktop resolution; not tested on tablet/mobile in this pass.</w:t>
      </w:r>
    </w:p>
    <w:p>
      <w:pPr>
        <w:pBdr>
          <w:bottom w:val="single" w:color="0D7377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B2A41"/>
          <w:sz w:val="24"/>
          <w:szCs w:val="24"/>
        </w:rPr>
        <w:t xml:space="preserve">Sign-off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B2A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Tested by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2026-08-14T11:48:25.783Z</dcterms:created>
  <dcterms:modified xsi:type="dcterms:W3CDTF">2026-08-14T11:48:25.807Z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