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64748B"/>
          <w:sz w:val="26"/>
        </w:rPr>
        <w:t>INFOSYS SPRINGBOARD INTERNSHIP PROGRAM</w:t>
      </w:r>
    </w:p>
    <w:p>
      <w:pPr>
        <w:spacing w:after="240"/>
        <w:jc w:val="center"/>
      </w:pPr>
      <w:r>
        <w:rPr>
          <w:rFonts w:ascii="Calibri" w:hAnsi="Calibri"/>
          <w:b/>
          <w:color w:val="1E3A8A"/>
          <w:sz w:val="52"/>
        </w:rPr>
        <w:t>TaxPal: Personal Finance &amp; Tax Estimator for Freelancers</w:t>
      </w:r>
    </w:p>
    <w:p>
      <w:pPr>
        <w:spacing w:after="800"/>
        <w:jc w:val="center"/>
      </w:pPr>
      <w:r>
        <w:rPr>
          <w:rFonts w:ascii="Calibri" w:hAnsi="Calibri"/>
          <w:color w:val="334155"/>
          <w:sz w:val="30"/>
        </w:rPr>
        <w:t>Comprehensive Technical Documentation &amp; Project Report</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680"/>
        <w:gridCol w:w="4680"/>
      </w:tblGrid>
      <w:tr>
        <w:tc>
          <w:tcPr>
            <w:tcW w:type="dxa" w:w="3168"/>
            <w:shd w:fill="F1F5F9"/>
            <w:tcMar>
              <w:top w:w="100" w:type="dxa"/>
              <w:bottom w:w="100" w:type="dxa"/>
              <w:left w:w="150" w:type="dxa"/>
              <w:right w:w="150" w:type="dxa"/>
            </w:tcMar>
          </w:tcPr>
          <w:p>
            <w:r>
              <w:rPr>
                <w:b/>
                <w:color w:val="1E3A8A"/>
              </w:rPr>
              <w:t>Project Domain</w:t>
            </w:r>
          </w:p>
        </w:tc>
        <w:tc>
          <w:tcPr>
            <w:tcW w:type="dxa" w:w="6192"/>
            <w:shd w:fill="FFFFFF"/>
            <w:tcMar>
              <w:top w:w="100" w:type="dxa"/>
              <w:bottom w:w="100" w:type="dxa"/>
              <w:left w:w="150" w:type="dxa"/>
              <w:right w:w="150" w:type="dxa"/>
            </w:tcMar>
          </w:tcPr>
          <w:p>
            <w:r>
              <w:rPr>
                <w:color w:val="1E293B"/>
              </w:rPr>
              <w:t>Full-Stack Web Development, FinTech &amp; Tax Engineering</w:t>
            </w:r>
          </w:p>
        </w:tc>
      </w:tr>
      <w:tr>
        <w:tc>
          <w:tcPr>
            <w:tcW w:type="dxa" w:w="3168"/>
            <w:shd w:fill="F1F5F9"/>
            <w:tcMar>
              <w:top w:w="100" w:type="dxa"/>
              <w:bottom w:w="100" w:type="dxa"/>
              <w:left w:w="150" w:type="dxa"/>
              <w:right w:w="150" w:type="dxa"/>
            </w:tcMar>
          </w:tcPr>
          <w:p>
            <w:r>
              <w:rPr>
                <w:b/>
                <w:color w:val="1E3A8A"/>
              </w:rPr>
              <w:t>Framework &amp; Stack</w:t>
            </w:r>
          </w:p>
        </w:tc>
        <w:tc>
          <w:tcPr>
            <w:tcW w:type="dxa" w:w="6192"/>
            <w:shd w:fill="FFFFFF"/>
            <w:tcMar>
              <w:top w:w="100" w:type="dxa"/>
              <w:bottom w:w="100" w:type="dxa"/>
              <w:left w:w="150" w:type="dxa"/>
              <w:right w:w="150" w:type="dxa"/>
            </w:tcMar>
          </w:tcPr>
          <w:p>
            <w:r>
              <w:rPr>
                <w:color w:val="1E293B"/>
              </w:rPr>
              <w:t>Angular v20 (Standalone/Signals), Node.js, Express.js, TypeScript, MongoDB</w:t>
            </w:r>
          </w:p>
        </w:tc>
      </w:tr>
      <w:tr>
        <w:tc>
          <w:tcPr>
            <w:tcW w:type="dxa" w:w="3168"/>
            <w:shd w:fill="F1F5F9"/>
            <w:tcMar>
              <w:top w:w="100" w:type="dxa"/>
              <w:bottom w:w="100" w:type="dxa"/>
              <w:left w:w="150" w:type="dxa"/>
              <w:right w:w="150" w:type="dxa"/>
            </w:tcMar>
          </w:tcPr>
          <w:p>
            <w:r>
              <w:rPr>
                <w:b/>
                <w:color w:val="1E3A8A"/>
              </w:rPr>
              <w:t>Team Structure</w:t>
            </w:r>
          </w:p>
        </w:tc>
        <w:tc>
          <w:tcPr>
            <w:tcW w:type="dxa" w:w="6192"/>
            <w:shd w:fill="FFFFFF"/>
            <w:tcMar>
              <w:top w:w="100" w:type="dxa"/>
              <w:bottom w:w="100" w:type="dxa"/>
              <w:left w:w="150" w:type="dxa"/>
              <w:right w:w="150" w:type="dxa"/>
            </w:tcMar>
          </w:tcPr>
          <w:p>
            <w:r>
              <w:rPr>
                <w:color w:val="1E293B"/>
              </w:rPr>
              <w:t>Sujay (Team Leader), Dhanshri (Team Member), Rohith (Team Member)</w:t>
            </w:r>
          </w:p>
        </w:tc>
      </w:tr>
      <w:tr>
        <w:tc>
          <w:tcPr>
            <w:tcW w:type="dxa" w:w="3168"/>
            <w:shd w:fill="F1F5F9"/>
            <w:tcMar>
              <w:top w:w="100" w:type="dxa"/>
              <w:bottom w:w="100" w:type="dxa"/>
              <w:left w:w="150" w:type="dxa"/>
              <w:right w:w="150" w:type="dxa"/>
            </w:tcMar>
          </w:tcPr>
          <w:p>
            <w:r>
              <w:rPr>
                <w:b/>
                <w:color w:val="1E3A8A"/>
              </w:rPr>
              <w:t>Document Status</w:t>
            </w:r>
          </w:p>
        </w:tc>
        <w:tc>
          <w:tcPr>
            <w:tcW w:type="dxa" w:w="6192"/>
            <w:shd w:fill="FFFFFF"/>
            <w:tcMar>
              <w:top w:w="100" w:type="dxa"/>
              <w:bottom w:w="100" w:type="dxa"/>
              <w:left w:w="150" w:type="dxa"/>
              <w:right w:w="150" w:type="dxa"/>
            </w:tcMar>
          </w:tcPr>
          <w:p>
            <w:r>
              <w:rPr>
                <w:color w:val="1E293B"/>
              </w:rPr>
              <w:t>Final Completed Project Documentation (Milestones 1 to 4)</w:t>
            </w:r>
          </w:p>
        </w:tc>
      </w:tr>
    </w:tbl>
    <w:p>
      <w:r>
        <w:br w:type="page"/>
      </w:r>
    </w:p>
    <w:p>
      <w:pPr>
        <w:keepNext/>
        <w:spacing w:before="360" w:after="160"/>
      </w:pPr>
      <w:r>
        <w:rPr>
          <w:rFonts w:ascii="Calibri" w:hAnsi="Calibri"/>
          <w:b/>
          <w:color w:val="1E3A8A"/>
          <w:sz w:val="36"/>
        </w:rPr>
        <w:t>Documentation Index – TaxPal</w:t>
      </w:r>
    </w:p>
    <w:p>
      <w:pPr>
        <w:spacing w:after="100"/>
        <w:ind w:left="0"/>
        <w:jc w:val="left"/>
      </w:pPr>
      <w:r>
        <w:rPr>
          <w:rFonts w:ascii="Calibri" w:hAnsi="Calibri"/>
          <w:b/>
          <w:color w:val="1E3A8A"/>
          <w:sz w:val="22"/>
        </w:rPr>
        <w:t>1. Introduction</w:t>
      </w:r>
    </w:p>
    <w:p>
      <w:pPr>
        <w:spacing w:after="100"/>
        <w:ind w:left="0"/>
        <w:jc w:val="left"/>
      </w:pPr>
      <w:r>
        <w:rPr>
          <w:rFonts w:ascii="Calibri" w:hAnsi="Calibri"/>
          <w:b/>
          <w:color w:val="1E3A8A"/>
          <w:sz w:val="22"/>
        </w:rPr>
        <w:t>2. Project Overview</w:t>
      </w:r>
    </w:p>
    <w:p>
      <w:pPr>
        <w:spacing w:after="100"/>
        <w:ind w:left="0"/>
        <w:jc w:val="left"/>
      </w:pPr>
      <w:r>
        <w:rPr>
          <w:rFonts w:ascii="Calibri" w:hAnsi="Calibri"/>
          <w:b/>
          <w:color w:val="1E3A8A"/>
          <w:sz w:val="22"/>
        </w:rPr>
        <w:t>3. Objectives &amp; Scope</w:t>
      </w:r>
    </w:p>
    <w:p>
      <w:pPr>
        <w:spacing w:after="100"/>
        <w:ind w:left="0"/>
        <w:jc w:val="left"/>
      </w:pPr>
      <w:r>
        <w:rPr>
          <w:rFonts w:ascii="Calibri" w:hAnsi="Calibri"/>
          <w:b/>
          <w:color w:val="1E3A8A"/>
          <w:sz w:val="22"/>
        </w:rPr>
        <w:t>4. Requirements &amp; Technologies Used</w:t>
      </w:r>
    </w:p>
    <w:p>
      <w:pPr>
        <w:spacing w:after="60"/>
        <w:ind w:left="432"/>
        <w:jc w:val="left"/>
      </w:pPr>
      <w:r>
        <w:rPr>
          <w:rFonts w:ascii="Calibri" w:hAnsi="Calibri"/>
          <w:b w:val="0"/>
          <w:color w:val="334155"/>
          <w:sz w:val="21"/>
        </w:rPr>
        <w:t>4.1 Hardware Requirements</w:t>
      </w:r>
    </w:p>
    <w:p>
      <w:pPr>
        <w:spacing w:after="60"/>
        <w:ind w:left="432"/>
        <w:jc w:val="left"/>
      </w:pPr>
      <w:r>
        <w:rPr>
          <w:rFonts w:ascii="Calibri" w:hAnsi="Calibri"/>
          <w:b w:val="0"/>
          <w:color w:val="334155"/>
          <w:sz w:val="21"/>
        </w:rPr>
        <w:t>4.2 Software Requirements</w:t>
      </w:r>
    </w:p>
    <w:p>
      <w:pPr>
        <w:spacing w:after="60"/>
        <w:ind w:left="432"/>
        <w:jc w:val="left"/>
      </w:pPr>
      <w:r>
        <w:rPr>
          <w:rFonts w:ascii="Calibri" w:hAnsi="Calibri"/>
          <w:b w:val="0"/>
          <w:color w:val="334155"/>
          <w:sz w:val="21"/>
        </w:rPr>
        <w:t>4.3 Frontend Technologies</w:t>
      </w:r>
    </w:p>
    <w:p>
      <w:pPr>
        <w:spacing w:after="60"/>
        <w:ind w:left="432"/>
        <w:jc w:val="left"/>
      </w:pPr>
      <w:r>
        <w:rPr>
          <w:rFonts w:ascii="Calibri" w:hAnsi="Calibri"/>
          <w:b w:val="0"/>
          <w:color w:val="334155"/>
          <w:sz w:val="21"/>
        </w:rPr>
        <w:t>4.4 Backend Technologies</w:t>
      </w:r>
    </w:p>
    <w:p>
      <w:pPr>
        <w:spacing w:after="60"/>
        <w:ind w:left="432"/>
        <w:jc w:val="left"/>
      </w:pPr>
      <w:r>
        <w:rPr>
          <w:rFonts w:ascii="Calibri" w:hAnsi="Calibri"/>
          <w:b w:val="0"/>
          <w:color w:val="334155"/>
          <w:sz w:val="21"/>
        </w:rPr>
        <w:t>4.5 Database &amp; Third-Party Integrations</w:t>
      </w:r>
    </w:p>
    <w:p>
      <w:pPr>
        <w:spacing w:after="100"/>
        <w:ind w:left="0"/>
        <w:jc w:val="left"/>
      </w:pPr>
      <w:r>
        <w:rPr>
          <w:rFonts w:ascii="Calibri" w:hAnsi="Calibri"/>
          <w:b/>
          <w:color w:val="1E3A8A"/>
          <w:sz w:val="22"/>
        </w:rPr>
        <w:t>5. System Architecture</w:t>
      </w:r>
    </w:p>
    <w:p>
      <w:pPr>
        <w:spacing w:after="60"/>
        <w:ind w:left="432"/>
        <w:jc w:val="left"/>
      </w:pPr>
      <w:r>
        <w:rPr>
          <w:rFonts w:ascii="Calibri" w:hAnsi="Calibri"/>
          <w:b w:val="0"/>
          <w:color w:val="334155"/>
          <w:sz w:val="21"/>
        </w:rPr>
        <w:t>5.1 Architectural Overview</w:t>
      </w:r>
    </w:p>
    <w:p>
      <w:pPr>
        <w:spacing w:after="60"/>
        <w:ind w:left="432"/>
        <w:jc w:val="left"/>
      </w:pPr>
      <w:r>
        <w:rPr>
          <w:rFonts w:ascii="Calibri" w:hAnsi="Calibri"/>
          <w:b w:val="0"/>
          <w:color w:val="334155"/>
          <w:sz w:val="21"/>
        </w:rPr>
        <w:t>5.2 Monorepo Structure &amp; Workflow</w:t>
      </w:r>
    </w:p>
    <w:p>
      <w:pPr>
        <w:spacing w:after="60"/>
        <w:ind w:left="432"/>
        <w:jc w:val="left"/>
      </w:pPr>
      <w:r>
        <w:rPr>
          <w:rFonts w:ascii="Calibri" w:hAnsi="Calibri"/>
          <w:b w:val="0"/>
          <w:color w:val="334155"/>
          <w:sz w:val="21"/>
        </w:rPr>
        <w:t>5.3 Data Flow &amp; Security Architecture</w:t>
      </w:r>
    </w:p>
    <w:p>
      <w:pPr>
        <w:spacing w:after="100"/>
        <w:ind w:left="0"/>
        <w:jc w:val="left"/>
      </w:pPr>
      <w:r>
        <w:rPr>
          <w:rFonts w:ascii="Calibri" w:hAnsi="Calibri"/>
          <w:b/>
          <w:color w:val="1E3A8A"/>
          <w:sz w:val="22"/>
        </w:rPr>
        <w:t>6. Database Design</w:t>
      </w:r>
    </w:p>
    <w:p>
      <w:pPr>
        <w:spacing w:after="60"/>
        <w:ind w:left="432"/>
        <w:jc w:val="left"/>
      </w:pPr>
      <w:r>
        <w:rPr>
          <w:rFonts w:ascii="Calibri" w:hAnsi="Calibri"/>
          <w:b w:val="0"/>
          <w:color w:val="334155"/>
          <w:sz w:val="21"/>
        </w:rPr>
        <w:t>6.1 Database Schema &amp; Data Dictionary</w:t>
      </w:r>
    </w:p>
    <w:p>
      <w:pPr>
        <w:spacing w:after="60"/>
        <w:ind w:left="432"/>
        <w:jc w:val="left"/>
      </w:pPr>
      <w:r>
        <w:rPr>
          <w:rFonts w:ascii="Calibri" w:hAnsi="Calibri"/>
          <w:b w:val="0"/>
          <w:color w:val="334155"/>
          <w:sz w:val="21"/>
        </w:rPr>
        <w:t>6.2 Entity Relationships (ER Model)</w:t>
      </w:r>
    </w:p>
    <w:p>
      <w:pPr>
        <w:spacing w:after="60"/>
        <w:ind w:left="432"/>
        <w:jc w:val="left"/>
      </w:pPr>
      <w:r>
        <w:rPr>
          <w:rFonts w:ascii="Calibri" w:hAnsi="Calibri"/>
          <w:b w:val="0"/>
          <w:color w:val="334155"/>
          <w:sz w:val="21"/>
        </w:rPr>
        <w:t>6.3 Schema Definitions (Users, Transactions, Budgets, Categories, TaxEstimates, Reports, Alerts, Chats)</w:t>
      </w:r>
    </w:p>
    <w:p>
      <w:pPr>
        <w:spacing w:after="100"/>
        <w:ind w:left="0"/>
        <w:jc w:val="left"/>
      </w:pPr>
      <w:r>
        <w:rPr>
          <w:rFonts w:ascii="Calibri" w:hAnsi="Calibri"/>
          <w:b/>
          <w:color w:val="1E3A8A"/>
          <w:sz w:val="22"/>
        </w:rPr>
        <w:t>7. Module Implementation</w:t>
      </w:r>
    </w:p>
    <w:p>
      <w:pPr>
        <w:spacing w:after="60"/>
        <w:ind w:left="432"/>
        <w:jc w:val="left"/>
      </w:pPr>
      <w:r>
        <w:rPr>
          <w:rFonts w:ascii="Calibri" w:hAnsi="Calibri"/>
          <w:b w:val="0"/>
          <w:color w:val="334155"/>
          <w:sz w:val="21"/>
        </w:rPr>
        <w:t>7.1 Income &amp; Expense Management</w:t>
      </w:r>
    </w:p>
    <w:p>
      <w:pPr>
        <w:spacing w:after="60"/>
        <w:ind w:left="432"/>
        <w:jc w:val="left"/>
      </w:pPr>
      <w:r>
        <w:rPr>
          <w:rFonts w:ascii="Calibri" w:hAnsi="Calibri"/>
          <w:b w:val="0"/>
          <w:color w:val="334155"/>
          <w:sz w:val="21"/>
        </w:rPr>
        <w:t>7.2 Smart Receipt Scanner &amp; Multi-Modal OCR</w:t>
      </w:r>
    </w:p>
    <w:p>
      <w:pPr>
        <w:spacing w:after="60"/>
        <w:ind w:left="432"/>
        <w:jc w:val="left"/>
      </w:pPr>
      <w:r>
        <w:rPr>
          <w:rFonts w:ascii="Calibri" w:hAnsi="Calibri"/>
          <w:b w:val="0"/>
          <w:color w:val="334155"/>
          <w:sz w:val="21"/>
        </w:rPr>
        <w:t>7.3 Intelligent Categorization &amp; Dynamic Budgeting</w:t>
      </w:r>
    </w:p>
    <w:p>
      <w:pPr>
        <w:spacing w:after="60"/>
        <w:ind w:left="432"/>
        <w:jc w:val="left"/>
      </w:pPr>
      <w:r>
        <w:rPr>
          <w:rFonts w:ascii="Calibri" w:hAnsi="Calibri"/>
          <w:b w:val="0"/>
          <w:color w:val="334155"/>
          <w:sz w:val="21"/>
        </w:rPr>
        <w:t>7.4 Multi-Country Tax Estimation Engine</w:t>
      </w:r>
    </w:p>
    <w:p>
      <w:pPr>
        <w:spacing w:after="60"/>
        <w:ind w:left="432"/>
        <w:jc w:val="left"/>
      </w:pPr>
      <w:r>
        <w:rPr>
          <w:rFonts w:ascii="Calibri" w:hAnsi="Calibri"/>
          <w:b w:val="0"/>
          <w:color w:val="334155"/>
          <w:sz w:val="21"/>
        </w:rPr>
        <w:t>7.5 Financial Reporting &amp; Multi-Format Export</w:t>
      </w:r>
    </w:p>
    <w:p>
      <w:pPr>
        <w:spacing w:after="60"/>
        <w:ind w:left="432"/>
        <w:jc w:val="left"/>
      </w:pPr>
      <w:r>
        <w:rPr>
          <w:rFonts w:ascii="Calibri" w:hAnsi="Calibri"/>
          <w:b w:val="0"/>
          <w:color w:val="334155"/>
          <w:sz w:val="21"/>
        </w:rPr>
        <w:t>7.6 AI-Powered Financial Chatbot Assistant</w:t>
      </w:r>
    </w:p>
    <w:p>
      <w:pPr>
        <w:spacing w:after="60"/>
        <w:ind w:left="432"/>
        <w:jc w:val="left"/>
      </w:pPr>
      <w:r>
        <w:rPr>
          <w:rFonts w:ascii="Calibri" w:hAnsi="Calibri"/>
          <w:b w:val="0"/>
          <w:color w:val="334155"/>
          <w:sz w:val="21"/>
        </w:rPr>
        <w:t>7.7 Automated SMTP Email Dispatcher &amp; Cron Scheduler</w:t>
      </w:r>
    </w:p>
    <w:p>
      <w:pPr>
        <w:spacing w:after="100"/>
        <w:ind w:left="0"/>
        <w:jc w:val="left"/>
      </w:pPr>
      <w:r>
        <w:rPr>
          <w:rFonts w:ascii="Calibri" w:hAnsi="Calibri"/>
          <w:b/>
          <w:color w:val="1E3A8A"/>
          <w:sz w:val="22"/>
        </w:rPr>
        <w:t>8. Milestone-wise Implementation</w:t>
      </w:r>
    </w:p>
    <w:p>
      <w:pPr>
        <w:spacing w:after="60"/>
        <w:ind w:left="432"/>
        <w:jc w:val="left"/>
      </w:pPr>
      <w:r>
        <w:rPr>
          <w:rFonts w:ascii="Calibri" w:hAnsi="Calibri"/>
          <w:b w:val="0"/>
          <w:color w:val="334155"/>
          <w:sz w:val="21"/>
        </w:rPr>
        <w:t>8.1 Milestone 1 – Transaction Logging &amp; Core Authentication</w:t>
      </w:r>
    </w:p>
    <w:p>
      <w:pPr>
        <w:spacing w:after="60"/>
        <w:ind w:left="432"/>
        <w:jc w:val="left"/>
      </w:pPr>
      <w:r>
        <w:rPr>
          <w:rFonts w:ascii="Calibri" w:hAnsi="Calibri"/>
          <w:b w:val="0"/>
          <w:color w:val="334155"/>
          <w:sz w:val="21"/>
        </w:rPr>
        <w:t>8.2 Milestone 2 – Categorization &amp; Budgeting</w:t>
      </w:r>
    </w:p>
    <w:p>
      <w:pPr>
        <w:spacing w:after="60"/>
        <w:ind w:left="432"/>
        <w:jc w:val="left"/>
      </w:pPr>
      <w:r>
        <w:rPr>
          <w:rFonts w:ascii="Calibri" w:hAnsi="Calibri"/>
          <w:b w:val="0"/>
          <w:color w:val="334155"/>
          <w:sz w:val="21"/>
        </w:rPr>
        <w:t>8.3 Milestone 3 – Multi-Country Tax Estimation Engine</w:t>
      </w:r>
    </w:p>
    <w:p>
      <w:pPr>
        <w:spacing w:after="60"/>
        <w:ind w:left="432"/>
        <w:jc w:val="left"/>
      </w:pPr>
      <w:r>
        <w:rPr>
          <w:rFonts w:ascii="Calibri" w:hAnsi="Calibri"/>
          <w:b w:val="0"/>
          <w:color w:val="334155"/>
          <w:sz w:val="21"/>
        </w:rPr>
        <w:t>8.4 Milestone 4 – Reporting, Export, Smart Scanner, Chatbot &amp; SMTP Integration</w:t>
      </w:r>
    </w:p>
    <w:p>
      <w:pPr>
        <w:spacing w:after="100"/>
        <w:ind w:left="0"/>
        <w:jc w:val="left"/>
      </w:pPr>
      <w:r>
        <w:rPr>
          <w:rFonts w:ascii="Calibri" w:hAnsi="Calibri"/>
          <w:b/>
          <w:color w:val="1E3A8A"/>
          <w:sz w:val="22"/>
        </w:rPr>
        <w:t>9. User Interface &amp; Screen Descriptions</w:t>
      </w:r>
    </w:p>
    <w:p>
      <w:pPr>
        <w:spacing w:after="60"/>
        <w:ind w:left="432"/>
        <w:jc w:val="left"/>
      </w:pPr>
      <w:r>
        <w:rPr>
          <w:rFonts w:ascii="Calibri" w:hAnsi="Calibri"/>
          <w:b w:val="0"/>
          <w:color w:val="334155"/>
          <w:sz w:val="21"/>
        </w:rPr>
        <w:t>9.1 Authentication &amp; Security (Login &amp; Signup)</w:t>
      </w:r>
    </w:p>
    <w:p>
      <w:pPr>
        <w:spacing w:after="60"/>
        <w:ind w:left="432"/>
        <w:jc w:val="left"/>
      </w:pPr>
      <w:r>
        <w:rPr>
          <w:rFonts w:ascii="Calibri" w:hAnsi="Calibri"/>
          <w:b w:val="0"/>
          <w:color w:val="334155"/>
          <w:sz w:val="21"/>
        </w:rPr>
        <w:t>9.2 Financial Dashboard &amp; KPI Metrics</w:t>
      </w:r>
    </w:p>
    <w:p>
      <w:pPr>
        <w:spacing w:after="60"/>
        <w:ind w:left="432"/>
        <w:jc w:val="left"/>
      </w:pPr>
      <w:r>
        <w:rPr>
          <w:rFonts w:ascii="Calibri" w:hAnsi="Calibri"/>
          <w:b w:val="0"/>
          <w:color w:val="334155"/>
          <w:sz w:val="21"/>
        </w:rPr>
        <w:t>9.3 Transaction Management &amp; Filter View</w:t>
      </w:r>
    </w:p>
    <w:p>
      <w:pPr>
        <w:spacing w:after="60"/>
        <w:ind w:left="432"/>
        <w:jc w:val="left"/>
      </w:pPr>
      <w:r>
        <w:rPr>
          <w:rFonts w:ascii="Calibri" w:hAnsi="Calibri"/>
          <w:b w:val="0"/>
          <w:color w:val="334155"/>
          <w:sz w:val="21"/>
        </w:rPr>
        <w:t>9.4 Budget Planner &amp; Visual Progress Indicators</w:t>
      </w:r>
    </w:p>
    <w:p>
      <w:pPr>
        <w:spacing w:after="60"/>
        <w:ind w:left="432"/>
        <w:jc w:val="left"/>
      </w:pPr>
      <w:r>
        <w:rPr>
          <w:rFonts w:ascii="Calibri" w:hAnsi="Calibri"/>
          <w:b w:val="0"/>
          <w:color w:val="334155"/>
          <w:sz w:val="21"/>
        </w:rPr>
        <w:t>9.5 Category Management Screen</w:t>
      </w:r>
    </w:p>
    <w:p>
      <w:pPr>
        <w:spacing w:after="60"/>
        <w:ind w:left="432"/>
        <w:jc w:val="left"/>
      </w:pPr>
      <w:r>
        <w:rPr>
          <w:rFonts w:ascii="Calibri" w:hAnsi="Calibri"/>
          <w:b w:val="0"/>
          <w:color w:val="334155"/>
          <w:sz w:val="21"/>
        </w:rPr>
        <w:t>9.6 Multi-Country Tax Calculator Interface</w:t>
      </w:r>
    </w:p>
    <w:p>
      <w:pPr>
        <w:spacing w:after="60"/>
        <w:ind w:left="432"/>
        <w:jc w:val="left"/>
      </w:pPr>
      <w:r>
        <w:rPr>
          <w:rFonts w:ascii="Calibri" w:hAnsi="Calibri"/>
          <w:b w:val="0"/>
          <w:color w:val="334155"/>
          <w:sz w:val="21"/>
        </w:rPr>
        <w:t>9.7 Tax Calendar &amp; Quarterly Deadlines</w:t>
      </w:r>
    </w:p>
    <w:p>
      <w:pPr>
        <w:spacing w:after="60"/>
        <w:ind w:left="432"/>
        <w:jc w:val="left"/>
      </w:pPr>
      <w:r>
        <w:rPr>
          <w:rFonts w:ascii="Calibri" w:hAnsi="Calibri"/>
          <w:b w:val="0"/>
          <w:color w:val="334155"/>
          <w:sz w:val="21"/>
        </w:rPr>
        <w:t>9.8 Financial Report Generator &amp; In-Browser Preview</w:t>
      </w:r>
    </w:p>
    <w:p>
      <w:pPr>
        <w:spacing w:after="60"/>
        <w:ind w:left="432"/>
        <w:jc w:val="left"/>
      </w:pPr>
      <w:r>
        <w:rPr>
          <w:rFonts w:ascii="Calibri" w:hAnsi="Calibri"/>
          <w:b w:val="0"/>
          <w:color w:val="334155"/>
          <w:sz w:val="21"/>
        </w:rPr>
        <w:t>9.9 Smart Receipt Scanner &amp; OCR Extraction</w:t>
      </w:r>
    </w:p>
    <w:p>
      <w:pPr>
        <w:spacing w:after="60"/>
        <w:ind w:left="432"/>
        <w:jc w:val="left"/>
      </w:pPr>
      <w:r>
        <w:rPr>
          <w:rFonts w:ascii="Calibri" w:hAnsi="Calibri"/>
          <w:b w:val="0"/>
          <w:color w:val="334155"/>
          <w:sz w:val="21"/>
        </w:rPr>
        <w:t>9.10 AI Financial Chatbot Widget</w:t>
      </w:r>
    </w:p>
    <w:p>
      <w:pPr>
        <w:spacing w:after="100"/>
        <w:ind w:left="0"/>
        <w:jc w:val="left"/>
      </w:pPr>
      <w:r>
        <w:rPr>
          <w:rFonts w:ascii="Calibri" w:hAnsi="Calibri"/>
          <w:b/>
          <w:color w:val="1E3A8A"/>
          <w:sz w:val="22"/>
        </w:rPr>
        <w:t>10. API Documentation</w:t>
      </w:r>
    </w:p>
    <w:p>
      <w:pPr>
        <w:spacing w:after="60"/>
        <w:ind w:left="432"/>
        <w:jc w:val="left"/>
      </w:pPr>
      <w:r>
        <w:rPr>
          <w:rFonts w:ascii="Calibri" w:hAnsi="Calibri"/>
          <w:b w:val="0"/>
          <w:color w:val="334155"/>
          <w:sz w:val="21"/>
        </w:rPr>
        <w:t>10.1 Authentication &amp; Profile Endpoints (/api/auth)</w:t>
      </w:r>
    </w:p>
    <w:p>
      <w:pPr>
        <w:spacing w:after="60"/>
        <w:ind w:left="432"/>
        <w:jc w:val="left"/>
      </w:pPr>
      <w:r>
        <w:rPr>
          <w:rFonts w:ascii="Calibri" w:hAnsi="Calibri"/>
          <w:b w:val="0"/>
          <w:color w:val="334155"/>
          <w:sz w:val="21"/>
        </w:rPr>
        <w:t>10.2 Transaction Management Endpoints (/api/transactions)</w:t>
      </w:r>
    </w:p>
    <w:p>
      <w:pPr>
        <w:spacing w:after="60"/>
        <w:ind w:left="432"/>
        <w:jc w:val="left"/>
      </w:pPr>
      <w:r>
        <w:rPr>
          <w:rFonts w:ascii="Calibri" w:hAnsi="Calibri"/>
          <w:b w:val="0"/>
          <w:color w:val="334155"/>
          <w:sz w:val="21"/>
        </w:rPr>
        <w:t>10.3 Category &amp; Budget Endpoints (/api/categories, /api/budgets)</w:t>
      </w:r>
    </w:p>
    <w:p>
      <w:pPr>
        <w:spacing w:after="60"/>
        <w:ind w:left="432"/>
        <w:jc w:val="left"/>
      </w:pPr>
      <w:r>
        <w:rPr>
          <w:rFonts w:ascii="Calibri" w:hAnsi="Calibri"/>
          <w:b w:val="0"/>
          <w:color w:val="334155"/>
          <w:sz w:val="21"/>
        </w:rPr>
        <w:t>10.4 Tax Estimation Endpoints (/api/tax-estimates)</w:t>
      </w:r>
    </w:p>
    <w:p>
      <w:pPr>
        <w:spacing w:after="60"/>
        <w:ind w:left="432"/>
        <w:jc w:val="left"/>
      </w:pPr>
      <w:r>
        <w:rPr>
          <w:rFonts w:ascii="Calibri" w:hAnsi="Calibri"/>
          <w:b w:val="0"/>
          <w:color w:val="334155"/>
          <w:sz w:val="21"/>
        </w:rPr>
        <w:t>10.5 Report Generation &amp; Email Endpoints (/api/reports)</w:t>
      </w:r>
    </w:p>
    <w:p>
      <w:pPr>
        <w:spacing w:after="60"/>
        <w:ind w:left="432"/>
        <w:jc w:val="left"/>
      </w:pPr>
      <w:r>
        <w:rPr>
          <w:rFonts w:ascii="Calibri" w:hAnsi="Calibri"/>
          <w:b w:val="0"/>
          <w:color w:val="334155"/>
          <w:sz w:val="21"/>
        </w:rPr>
        <w:t>10.6 Receipt Scanner OCR Endpoints (/api/receipts)</w:t>
      </w:r>
    </w:p>
    <w:p>
      <w:pPr>
        <w:spacing w:after="60"/>
        <w:ind w:left="432"/>
        <w:jc w:val="left"/>
      </w:pPr>
      <w:r>
        <w:rPr>
          <w:rFonts w:ascii="Calibri" w:hAnsi="Calibri"/>
          <w:b w:val="0"/>
          <w:color w:val="334155"/>
          <w:sz w:val="21"/>
        </w:rPr>
        <w:t>10.7 AI Chatbot Endpoints (/api/chat)</w:t>
      </w:r>
    </w:p>
    <w:p>
      <w:pPr>
        <w:spacing w:after="60"/>
        <w:ind w:left="432"/>
        <w:jc w:val="left"/>
      </w:pPr>
      <w:r>
        <w:rPr>
          <w:rFonts w:ascii="Calibri" w:hAnsi="Calibri"/>
          <w:b w:val="0"/>
          <w:color w:val="334155"/>
          <w:sz w:val="21"/>
        </w:rPr>
        <w:t>10.8 Alert &amp; Notification Endpoints (/api/alerts)</w:t>
      </w:r>
    </w:p>
    <w:p>
      <w:pPr>
        <w:spacing w:after="100"/>
        <w:ind w:left="0"/>
        <w:jc w:val="left"/>
      </w:pPr>
      <w:r>
        <w:rPr>
          <w:rFonts w:ascii="Calibri" w:hAnsi="Calibri"/>
          <w:b/>
          <w:color w:val="1E3A8A"/>
          <w:sz w:val="22"/>
        </w:rPr>
        <w:t>11. Testing &amp; Validation</w:t>
      </w:r>
    </w:p>
    <w:p>
      <w:pPr>
        <w:spacing w:after="60"/>
        <w:ind w:left="432"/>
        <w:jc w:val="left"/>
      </w:pPr>
      <w:r>
        <w:rPr>
          <w:rFonts w:ascii="Calibri" w:hAnsi="Calibri"/>
          <w:b w:val="0"/>
          <w:color w:val="334155"/>
          <w:sz w:val="21"/>
        </w:rPr>
        <w:t>11.1 Unit &amp; Functional Testing</w:t>
      </w:r>
    </w:p>
    <w:p>
      <w:pPr>
        <w:spacing w:after="60"/>
        <w:ind w:left="432"/>
        <w:jc w:val="left"/>
      </w:pPr>
      <w:r>
        <w:rPr>
          <w:rFonts w:ascii="Calibri" w:hAnsi="Calibri"/>
          <w:b w:val="0"/>
          <w:color w:val="334155"/>
          <w:sz w:val="21"/>
        </w:rPr>
        <w:t>11.2 Integration Testing</w:t>
      </w:r>
    </w:p>
    <w:p>
      <w:pPr>
        <w:spacing w:after="60"/>
        <w:ind w:left="432"/>
        <w:jc w:val="left"/>
      </w:pPr>
      <w:r>
        <w:rPr>
          <w:rFonts w:ascii="Calibri" w:hAnsi="Calibri"/>
          <w:b w:val="0"/>
          <w:color w:val="334155"/>
          <w:sz w:val="21"/>
        </w:rPr>
        <w:t>11.3 Security, Boundary &amp; Validation Testing</w:t>
      </w:r>
    </w:p>
    <w:p>
      <w:pPr>
        <w:spacing w:after="60"/>
        <w:ind w:left="432"/>
        <w:jc w:val="left"/>
      </w:pPr>
      <w:r>
        <w:rPr>
          <w:rFonts w:ascii="Calibri" w:hAnsi="Calibri"/>
          <w:b w:val="0"/>
          <w:color w:val="334155"/>
          <w:sz w:val="21"/>
        </w:rPr>
        <w:t>11.4 Cross-Device &amp; Responsive Layout Testing</w:t>
      </w:r>
    </w:p>
    <w:p>
      <w:pPr>
        <w:spacing w:after="100"/>
        <w:ind w:left="0"/>
        <w:jc w:val="left"/>
      </w:pPr>
      <w:r>
        <w:rPr>
          <w:rFonts w:ascii="Calibri" w:hAnsi="Calibri"/>
          <w:b/>
          <w:color w:val="1E3A8A"/>
          <w:sz w:val="22"/>
        </w:rPr>
        <w:t>12. Deployment &amp; Execution Environment</w:t>
      </w:r>
    </w:p>
    <w:p>
      <w:pPr>
        <w:spacing w:after="60"/>
        <w:ind w:left="432"/>
        <w:jc w:val="left"/>
      </w:pPr>
      <w:r>
        <w:rPr>
          <w:rFonts w:ascii="Calibri" w:hAnsi="Calibri"/>
          <w:b w:val="0"/>
          <w:color w:val="334155"/>
          <w:sz w:val="21"/>
        </w:rPr>
        <w:t>12.1 Local Development &amp; Staging Environment</w:t>
      </w:r>
    </w:p>
    <w:p>
      <w:pPr>
        <w:spacing w:after="60"/>
        <w:ind w:left="432"/>
        <w:jc w:val="left"/>
      </w:pPr>
      <w:r>
        <w:rPr>
          <w:rFonts w:ascii="Calibri" w:hAnsi="Calibri"/>
          <w:b w:val="0"/>
          <w:color w:val="334155"/>
          <w:sz w:val="21"/>
        </w:rPr>
        <w:t>12.2 Configuration Management &amp; Environment Variables</w:t>
      </w:r>
    </w:p>
    <w:p>
      <w:pPr>
        <w:spacing w:after="60"/>
        <w:ind w:left="432"/>
        <w:jc w:val="left"/>
      </w:pPr>
      <w:r>
        <w:rPr>
          <w:rFonts w:ascii="Calibri" w:hAnsi="Calibri"/>
          <w:b w:val="0"/>
          <w:color w:val="334155"/>
          <w:sz w:val="21"/>
        </w:rPr>
        <w:t>12.3 Deployment Status Note</w:t>
      </w:r>
    </w:p>
    <w:p>
      <w:pPr>
        <w:spacing w:after="100"/>
        <w:ind w:left="0"/>
        <w:jc w:val="left"/>
      </w:pPr>
      <w:r>
        <w:rPr>
          <w:rFonts w:ascii="Calibri" w:hAnsi="Calibri"/>
          <w:b/>
          <w:color w:val="1E3A8A"/>
          <w:sz w:val="22"/>
        </w:rPr>
        <w:t>13. Challenges &amp; Solutions</w:t>
      </w:r>
    </w:p>
    <w:p>
      <w:pPr>
        <w:spacing w:after="60"/>
        <w:ind w:left="432"/>
        <w:jc w:val="left"/>
      </w:pPr>
      <w:r>
        <w:rPr>
          <w:rFonts w:ascii="Calibri" w:hAnsi="Calibri"/>
          <w:b w:val="0"/>
          <w:color w:val="334155"/>
          <w:sz w:val="21"/>
        </w:rPr>
        <w:t>13.1 Team Restructuring &amp; Workload Reallocation</w:t>
      </w:r>
    </w:p>
    <w:p>
      <w:pPr>
        <w:spacing w:after="60"/>
        <w:ind w:left="432"/>
        <w:jc w:val="left"/>
      </w:pPr>
      <w:r>
        <w:rPr>
          <w:rFonts w:ascii="Calibri" w:hAnsi="Calibri"/>
          <w:b w:val="0"/>
          <w:color w:val="334155"/>
          <w:sz w:val="21"/>
        </w:rPr>
        <w:t>13.2 Technical Challenges &amp; Architectural Solutions</w:t>
      </w:r>
    </w:p>
    <w:p>
      <w:pPr>
        <w:spacing w:after="100"/>
        <w:ind w:left="0"/>
        <w:jc w:val="left"/>
      </w:pPr>
      <w:r>
        <w:rPr>
          <w:rFonts w:ascii="Calibri" w:hAnsi="Calibri"/>
          <w:b/>
          <w:color w:val="1E3A8A"/>
          <w:sz w:val="22"/>
        </w:rPr>
        <w:t>14. Team Members &amp; Contributions</w:t>
      </w:r>
    </w:p>
    <w:p>
      <w:pPr>
        <w:spacing w:after="60"/>
        <w:ind w:left="432"/>
        <w:jc w:val="left"/>
      </w:pPr>
      <w:r>
        <w:rPr>
          <w:rFonts w:ascii="Calibri" w:hAnsi="Calibri"/>
          <w:b w:val="0"/>
          <w:color w:val="334155"/>
          <w:sz w:val="21"/>
        </w:rPr>
        <w:t>14.1 Team Structure &amp; Roles</w:t>
      </w:r>
    </w:p>
    <w:p>
      <w:pPr>
        <w:spacing w:after="60"/>
        <w:ind w:left="432"/>
        <w:jc w:val="left"/>
      </w:pPr>
      <w:r>
        <w:rPr>
          <w:rFonts w:ascii="Calibri" w:hAnsi="Calibri"/>
          <w:b w:val="0"/>
          <w:color w:val="334155"/>
          <w:sz w:val="21"/>
        </w:rPr>
        <w:t>14.2 Detailed Milestone-by-Milestone Contributions</w:t>
      </w:r>
    </w:p>
    <w:p>
      <w:pPr>
        <w:spacing w:after="100"/>
        <w:ind w:left="0"/>
        <w:jc w:val="left"/>
      </w:pPr>
      <w:r>
        <w:rPr>
          <w:rFonts w:ascii="Calibri" w:hAnsi="Calibri"/>
          <w:b/>
          <w:color w:val="1E3A8A"/>
          <w:sz w:val="22"/>
        </w:rPr>
        <w:t>15. Future Enhancements</w:t>
      </w:r>
    </w:p>
    <w:p>
      <w:pPr>
        <w:spacing w:after="60"/>
        <w:ind w:left="432"/>
        <w:jc w:val="left"/>
      </w:pPr>
      <w:r>
        <w:rPr>
          <w:rFonts w:ascii="Calibri" w:hAnsi="Calibri"/>
          <w:b w:val="0"/>
          <w:color w:val="334155"/>
          <w:sz w:val="21"/>
        </w:rPr>
        <w:t>15.1 Direct Government Tax Portal Redirection &amp; Online Payment</w:t>
      </w:r>
    </w:p>
    <w:p>
      <w:pPr>
        <w:spacing w:after="60"/>
        <w:ind w:left="432"/>
        <w:jc w:val="left"/>
      </w:pPr>
      <w:r>
        <w:rPr>
          <w:rFonts w:ascii="Calibri" w:hAnsi="Calibri"/>
          <w:b w:val="0"/>
          <w:color w:val="334155"/>
          <w:sz w:val="21"/>
        </w:rPr>
        <w:t>15.2 Open Banking &amp; Automated Bank Feed Sync</w:t>
      </w:r>
    </w:p>
    <w:p>
      <w:pPr>
        <w:spacing w:after="60"/>
        <w:ind w:left="432"/>
        <w:jc w:val="left"/>
      </w:pPr>
      <w:r>
        <w:rPr>
          <w:rFonts w:ascii="Calibri" w:hAnsi="Calibri"/>
          <w:b w:val="0"/>
          <w:color w:val="334155"/>
          <w:sz w:val="21"/>
        </w:rPr>
        <w:t>15.3 Predictive Cash-Flow &amp; Tax Liability Forecasting</w:t>
      </w:r>
    </w:p>
    <w:p>
      <w:pPr>
        <w:spacing w:after="60"/>
        <w:ind w:left="432"/>
        <w:jc w:val="left"/>
      </w:pPr>
      <w:r>
        <w:rPr>
          <w:rFonts w:ascii="Calibri" w:hAnsi="Calibri"/>
          <w:b w:val="0"/>
          <w:color w:val="334155"/>
          <w:sz w:val="21"/>
        </w:rPr>
        <w:t>15.4 Mobile Application Distribution (iOS / Android)</w:t>
      </w:r>
    </w:p>
    <w:p>
      <w:pPr>
        <w:spacing w:after="100"/>
        <w:ind w:left="0"/>
        <w:jc w:val="left"/>
      </w:pPr>
      <w:r>
        <w:rPr>
          <w:rFonts w:ascii="Calibri" w:hAnsi="Calibri"/>
          <w:b/>
          <w:color w:val="1E3A8A"/>
          <w:sz w:val="22"/>
        </w:rPr>
        <w:t>16. Conclusion</w:t>
      </w:r>
    </w:p>
    <w:p>
      <w:pPr>
        <w:spacing w:after="100"/>
        <w:ind w:left="0"/>
        <w:jc w:val="left"/>
      </w:pPr>
      <w:r>
        <w:rPr>
          <w:rFonts w:ascii="Calibri" w:hAnsi="Calibri"/>
          <w:b/>
          <w:color w:val="1E3A8A"/>
          <w:sz w:val="22"/>
        </w:rPr>
        <w:t>17. References</w:t>
      </w:r>
    </w:p>
    <w:p>
      <w:pPr>
        <w:spacing w:after="60"/>
        <w:ind w:left="432"/>
        <w:jc w:val="left"/>
      </w:pPr>
      <w:r>
        <w:rPr>
          <w:rFonts w:ascii="Calibri" w:hAnsi="Calibri"/>
          <w:b w:val="0"/>
          <w:color w:val="334155"/>
          <w:sz w:val="21"/>
        </w:rPr>
        <w:t>17.1 Official National Tax Authorities &amp; Regimes</w:t>
      </w:r>
    </w:p>
    <w:p>
      <w:pPr>
        <w:spacing w:after="60"/>
        <w:ind w:left="432"/>
        <w:jc w:val="left"/>
      </w:pPr>
      <w:r>
        <w:rPr>
          <w:rFonts w:ascii="Calibri" w:hAnsi="Calibri"/>
          <w:b w:val="0"/>
          <w:color w:val="334155"/>
          <w:sz w:val="21"/>
        </w:rPr>
        <w:t>17.2 Technical Frameworks, Libraries &amp; Standards</w:t>
      </w:r>
    </w:p>
    <w:p>
      <w:r>
        <w:br w:type="page"/>
      </w:r>
    </w:p>
    <w:p>
      <w:pPr>
        <w:keepNext/>
        <w:spacing w:before="360" w:after="160"/>
      </w:pPr>
      <w:r>
        <w:rPr>
          <w:rFonts w:ascii="Calibri" w:hAnsi="Calibri"/>
          <w:b/>
          <w:color w:val="1E3A8A"/>
          <w:sz w:val="36"/>
        </w:rPr>
        <w:t>1. Introduction</w:t>
      </w:r>
    </w:p>
    <w:p>
      <w:pPr>
        <w:spacing w:after="120" w:line="276" w:lineRule="auto"/>
        <w:jc w:val="both"/>
      </w:pPr>
      <w:r>
        <w:rPr>
          <w:rFonts w:ascii="Calibri" w:hAnsi="Calibri"/>
          <w:b w:val="0"/>
          <w:i w:val="0"/>
          <w:color w:val="1E293B"/>
          <w:sz w:val="22"/>
        </w:rPr>
        <w:t>The modern global economy has witnessed an unprecedented surge in independent contractors, freelancers, remote gig workers, and self-employed professionals. Unlike traditional salaried employees who benefit from automatic employer tax withholding, structured payroll benefits, and routine monthly pay stubs, freelancers bear the sole responsibility of managing irregular income streams, cataloging diverse business expenditures, tracking statutory tax obligations, and filing quarterly tax returns.</w:t>
      </w:r>
    </w:p>
    <w:p>
      <w:pPr>
        <w:spacing w:after="120" w:line="276" w:lineRule="auto"/>
        <w:jc w:val="both"/>
      </w:pPr>
      <w:r>
        <w:rPr>
          <w:rFonts w:ascii="Calibri" w:hAnsi="Calibri"/>
          <w:b w:val="0"/>
          <w:i w:val="0"/>
          <w:color w:val="1E293B"/>
          <w:sz w:val="22"/>
        </w:rPr>
        <w:t>This financial autonomy frequently introduces substantial operational friction. Freelancers routinely grapple with fragmented financial records across multiple bank accounts, complex deductions, unpredictable cash flow, and opaque tax regulations across different regional jurisdictions. Miscalculating tax liabilities or missing statutory quarterly tax payment deadlines inevitably results in severe financial penalties, cash flow crises, and administrative overhead.</w:t>
      </w:r>
    </w:p>
    <w:p>
      <w:pPr>
        <w:spacing w:after="120" w:line="276" w:lineRule="auto"/>
        <w:jc w:val="both"/>
      </w:pPr>
      <w:r>
        <w:rPr>
          <w:rFonts w:ascii="Calibri" w:hAnsi="Calibri"/>
          <w:b w:val="0"/>
          <w:i w:val="0"/>
          <w:color w:val="1E293B"/>
          <w:sz w:val="22"/>
        </w:rPr>
        <w:t>TaxPal was conceived, designed, and engineered as a comprehensive, end-to-end Personal Finance and Tax Estimation platform tailored specifically for independent professionals. Built using state-of-the-art web technologies—including an Angular v20 standalone client, a Node.js/Express TypeScript RESTful backend, and MongoDB—TaxPal unifies income and expense logging, automated smart categorization, monthly budget monitoring, multi-country tax calculations, automated PDF/CSV report generation, AI-driven receipt OCR scanning, and interactive chatbot assistance into a singular, highly secure, and intuitive web application.</w:t>
      </w:r>
    </w:p>
    <w:p>
      <w:pPr>
        <w:keepNext/>
        <w:spacing w:before="360" w:after="160"/>
      </w:pPr>
      <w:r>
        <w:rPr>
          <w:rFonts w:ascii="Calibri" w:hAnsi="Calibri"/>
          <w:b/>
          <w:color w:val="1E3A8A"/>
          <w:sz w:val="36"/>
        </w:rPr>
        <w:t>2. Project Overview</w:t>
      </w:r>
    </w:p>
    <w:p>
      <w:pPr>
        <w:spacing w:after="120" w:line="276" w:lineRule="auto"/>
        <w:jc w:val="both"/>
      </w:pPr>
      <w:r>
        <w:rPr>
          <w:rFonts w:ascii="Calibri" w:hAnsi="Calibri"/>
          <w:b w:val="0"/>
          <w:i w:val="0"/>
          <w:color w:val="1E293B"/>
          <w:sz w:val="22"/>
        </w:rPr>
        <w:t>TaxPal serves as an intelligent financial companion that eliminates the uncertainty associated with freelance bookkeeping and self-employment taxation. The application bridges the critical gap between daily expense recording and complex annual tax planning through progressive computational engines and proactive deadline management.</w:t>
      </w:r>
    </w:p>
    <w:p>
      <w:pPr>
        <w:spacing w:after="120" w:line="276" w:lineRule="auto"/>
        <w:jc w:val="both"/>
      </w:pPr>
      <w:r>
        <w:rPr>
          <w:rFonts w:ascii="Calibri" w:hAnsi="Calibri"/>
          <w:b w:val="0"/>
          <w:i w:val="0"/>
          <w:color w:val="1E293B"/>
          <w:sz w:val="22"/>
        </w:rPr>
        <w:t>Key capabilities provided by the TaxPal ecosystem include:</w:t>
      </w:r>
    </w:p>
    <w:p>
      <w:pPr>
        <w:pStyle w:val="ListBullet"/>
        <w:spacing w:after="80" w:line="276" w:lineRule="auto"/>
        <w:jc w:val="both"/>
      </w:pPr>
      <w:r>
        <w:rPr>
          <w:rFonts w:ascii="Calibri" w:hAnsi="Calibri"/>
          <w:b/>
          <w:color w:val="1E293B"/>
          <w:sz w:val="22"/>
        </w:rPr>
        <w:t xml:space="preserve">Dual Transaction Ledger: </w:t>
      </w:r>
      <w:r>
        <w:rPr>
          <w:rFonts w:ascii="Calibri" w:hAnsi="Calibri"/>
          <w:color w:val="1E293B"/>
          <w:sz w:val="22"/>
        </w:rPr>
        <w:t>Instant manual and automated logging of income and expense transactions with metadata including categories, dates, transaction notes, and attached receipt proofs.</w:t>
      </w:r>
    </w:p>
    <w:p>
      <w:pPr>
        <w:pStyle w:val="ListBullet"/>
        <w:spacing w:after="80" w:line="276" w:lineRule="auto"/>
        <w:jc w:val="both"/>
      </w:pPr>
      <w:r>
        <w:rPr>
          <w:rFonts w:ascii="Calibri" w:hAnsi="Calibri"/>
          <w:b/>
          <w:color w:val="1E293B"/>
          <w:sz w:val="22"/>
        </w:rPr>
        <w:t xml:space="preserve">Smart Keyword Categorization: </w:t>
      </w:r>
      <w:r>
        <w:rPr>
          <w:rFonts w:ascii="Calibri" w:hAnsi="Calibri"/>
          <w:color w:val="1E293B"/>
          <w:sz w:val="22"/>
        </w:rPr>
        <w:t>An intelligent matching system that automatically detects transaction descriptions and assigns standardized categories (e.g., mapping Uber to Travel/Meals, AWS to Software/SaaS, and MacBook to Hardware/Gadgets).</w:t>
      </w:r>
    </w:p>
    <w:p>
      <w:pPr>
        <w:pStyle w:val="ListBullet"/>
        <w:spacing w:after="80" w:line="276" w:lineRule="auto"/>
        <w:jc w:val="both"/>
      </w:pPr>
      <w:r>
        <w:rPr>
          <w:rFonts w:ascii="Calibri" w:hAnsi="Calibri"/>
          <w:b/>
          <w:color w:val="1E293B"/>
          <w:sz w:val="22"/>
        </w:rPr>
        <w:t xml:space="preserve">Dynamic Monthly Budgeting: </w:t>
      </w:r>
      <w:r>
        <w:rPr>
          <w:rFonts w:ascii="Calibri" w:hAnsi="Calibri"/>
          <w:color w:val="1E293B"/>
          <w:sz w:val="22"/>
        </w:rPr>
        <w:t>Category-specific spending ceilings with real-time progress meters, visual percentage indicators, and tiered threshold alerts (Safe, Warning, Over-Budget).</w:t>
      </w:r>
    </w:p>
    <w:p>
      <w:pPr>
        <w:pStyle w:val="ListBullet"/>
        <w:spacing w:after="80" w:line="276" w:lineRule="auto"/>
        <w:jc w:val="both"/>
      </w:pPr>
      <w:r>
        <w:rPr>
          <w:rFonts w:ascii="Calibri" w:hAnsi="Calibri"/>
          <w:b/>
          <w:color w:val="1E293B"/>
          <w:sz w:val="22"/>
        </w:rPr>
        <w:t xml:space="preserve">Multi-Country Tax Estimation Engine: </w:t>
      </w:r>
      <w:r>
        <w:rPr>
          <w:rFonts w:ascii="Calibri" w:hAnsi="Calibri"/>
          <w:color w:val="1E293B"/>
          <w:sz w:val="22"/>
        </w:rPr>
        <w:t>Dynamic quarterly tax calculation supporting tax slabs and progressive brackets for 10+ countries (India, United States, United Kingdom, Germany, Canada, Japan, Australia, France, Singapore, Switzerland) factoring in business expenses, retirement contributions, health insurance, and home office deductions.</w:t>
      </w:r>
    </w:p>
    <w:p>
      <w:pPr>
        <w:pStyle w:val="ListBullet"/>
        <w:spacing w:after="80" w:line="276" w:lineRule="auto"/>
        <w:jc w:val="both"/>
      </w:pPr>
      <w:r>
        <w:rPr>
          <w:rFonts w:ascii="Calibri" w:hAnsi="Calibri"/>
          <w:b/>
          <w:color w:val="1E293B"/>
          <w:sz w:val="22"/>
        </w:rPr>
        <w:t xml:space="preserve">Automated Reporting &amp; Export: </w:t>
      </w:r>
      <w:r>
        <w:rPr>
          <w:rFonts w:ascii="Calibri" w:hAnsi="Calibri"/>
          <w:color w:val="1E293B"/>
          <w:sz w:val="22"/>
        </w:rPr>
        <w:t>Instant generation of Income Statements, Expense Breakdowns, and Tax Summaries in formatted PDF and CSV structures, complete with in-browser preview, direct downloads, and automated SMTP email dispatch.</w:t>
      </w:r>
    </w:p>
    <w:p>
      <w:pPr>
        <w:pStyle w:val="ListBullet"/>
        <w:spacing w:after="80" w:line="276" w:lineRule="auto"/>
        <w:jc w:val="both"/>
      </w:pPr>
      <w:r>
        <w:rPr>
          <w:rFonts w:ascii="Calibri" w:hAnsi="Calibri"/>
          <w:b/>
          <w:color w:val="1E293B"/>
          <w:sz w:val="22"/>
        </w:rPr>
        <w:t xml:space="preserve">AI-Powered Smart Scanner &amp; OCR: </w:t>
      </w:r>
      <w:r>
        <w:rPr>
          <w:rFonts w:ascii="Calibri" w:hAnsi="Calibri"/>
          <w:color w:val="1E293B"/>
          <w:sz w:val="22"/>
        </w:rPr>
        <w:t>Multi-modal receipt image and PDF scanning powered by Google Gemini and keyword heuristics to automatically parse merchant names, dates, amounts, and tax info.</w:t>
      </w:r>
    </w:p>
    <w:p>
      <w:pPr>
        <w:pStyle w:val="ListBullet"/>
        <w:spacing w:after="80" w:line="276" w:lineRule="auto"/>
        <w:jc w:val="both"/>
      </w:pPr>
      <w:r>
        <w:rPr>
          <w:rFonts w:ascii="Calibri" w:hAnsi="Calibri"/>
          <w:b/>
          <w:color w:val="1E293B"/>
          <w:sz w:val="22"/>
        </w:rPr>
        <w:t xml:space="preserve">Context-Aware Financial Chatbot: </w:t>
      </w:r>
      <w:r>
        <w:rPr>
          <w:rFonts w:ascii="Calibri" w:hAnsi="Calibri"/>
          <w:color w:val="1E293B"/>
          <w:sz w:val="22"/>
        </w:rPr>
        <w:t>An intelligent virtual assistant integrated directly into the dashboard that analyzes real-time user financial data to answer queries regarding tax deductions, savings rates, and budget allocations.</w:t>
      </w:r>
    </w:p>
    <w:p>
      <w:pPr>
        <w:keepNext/>
        <w:spacing w:before="360" w:after="160"/>
      </w:pPr>
      <w:r>
        <w:rPr>
          <w:rFonts w:ascii="Calibri" w:hAnsi="Calibri"/>
          <w:b/>
          <w:color w:val="1E3A8A"/>
          <w:sz w:val="36"/>
        </w:rPr>
        <w:t>3. Objectives &amp; Scope</w:t>
      </w:r>
    </w:p>
    <w:p>
      <w:pPr>
        <w:keepNext/>
        <w:spacing w:before="280" w:after="120"/>
      </w:pPr>
      <w:r>
        <w:rPr>
          <w:rFonts w:ascii="Calibri" w:hAnsi="Calibri"/>
          <w:b/>
          <w:color w:val="334155"/>
          <w:sz w:val="28"/>
        </w:rPr>
        <w:t>3.1 Project Objectives</w:t>
      </w:r>
    </w:p>
    <w:p>
      <w:pPr>
        <w:pStyle w:val="ListBullet"/>
        <w:spacing w:after="80" w:line="276" w:lineRule="auto"/>
        <w:jc w:val="both"/>
      </w:pPr>
      <w:r>
        <w:rPr>
          <w:rFonts w:ascii="Calibri" w:hAnsi="Calibri"/>
          <w:b/>
          <w:color w:val="1E293B"/>
          <w:sz w:val="22"/>
        </w:rPr>
        <w:t xml:space="preserve">Streamline Freelancer Bookkeeping: </w:t>
      </w:r>
      <w:r>
        <w:rPr>
          <w:rFonts w:ascii="Calibri" w:hAnsi="Calibri"/>
          <w:color w:val="1E293B"/>
          <w:sz w:val="22"/>
        </w:rPr>
        <w:t>Eliminate manual spreadsheet management by offering a consolidated, intuitive dashboard for recording multi-source income and operational expenditures.</w:t>
      </w:r>
    </w:p>
    <w:p>
      <w:pPr>
        <w:pStyle w:val="ListBullet"/>
        <w:spacing w:after="80" w:line="276" w:lineRule="auto"/>
        <w:jc w:val="both"/>
      </w:pPr>
      <w:r>
        <w:rPr>
          <w:rFonts w:ascii="Calibri" w:hAnsi="Calibri"/>
          <w:b/>
          <w:color w:val="1E293B"/>
          <w:sz w:val="22"/>
        </w:rPr>
        <w:t xml:space="preserve">Automate Tax Liability Forecasting: </w:t>
      </w:r>
      <w:r>
        <w:rPr>
          <w:rFonts w:ascii="Calibri" w:hAnsi="Calibri"/>
          <w:color w:val="1E293B"/>
          <w:sz w:val="22"/>
        </w:rPr>
        <w:t>Provide accurate, transparent quarterly tax projections based on official national and state/provincial progressive tax regimes to prevent end-of-year tax shock.</w:t>
      </w:r>
    </w:p>
    <w:p>
      <w:pPr>
        <w:pStyle w:val="ListBullet"/>
        <w:spacing w:after="80" w:line="276" w:lineRule="auto"/>
        <w:jc w:val="both"/>
      </w:pPr>
      <w:r>
        <w:rPr>
          <w:rFonts w:ascii="Calibri" w:hAnsi="Calibri"/>
          <w:b/>
          <w:color w:val="1E293B"/>
          <w:sz w:val="22"/>
        </w:rPr>
        <w:t xml:space="preserve">Enforce Proactive Financial Discipline: </w:t>
      </w:r>
      <w:r>
        <w:rPr>
          <w:rFonts w:ascii="Calibri" w:hAnsi="Calibri"/>
          <w:color w:val="1E293B"/>
          <w:sz w:val="22"/>
        </w:rPr>
        <w:t>Enable granular category-wise budget caps with visual health indicators to prevent overspending and maintain healthy savings margins.</w:t>
      </w:r>
    </w:p>
    <w:p>
      <w:pPr>
        <w:pStyle w:val="ListBullet"/>
        <w:spacing w:after="80" w:line="276" w:lineRule="auto"/>
        <w:jc w:val="both"/>
      </w:pPr>
      <w:r>
        <w:rPr>
          <w:rFonts w:ascii="Calibri" w:hAnsi="Calibri"/>
          <w:b/>
          <w:color w:val="1E293B"/>
          <w:sz w:val="22"/>
        </w:rPr>
        <w:t xml:space="preserve">Deliver Audit-Ready Financial Artifacts: </w:t>
      </w:r>
      <w:r>
        <w:rPr>
          <w:rFonts w:ascii="Calibri" w:hAnsi="Calibri"/>
          <w:color w:val="1E293B"/>
          <w:sz w:val="22"/>
        </w:rPr>
        <w:t>Generate structured, downloadable financial statements and tax summaries suitable for tax filing and accountant consultations.</w:t>
      </w:r>
    </w:p>
    <w:p>
      <w:pPr>
        <w:pStyle w:val="ListBullet"/>
        <w:spacing w:after="80" w:line="276" w:lineRule="auto"/>
        <w:jc w:val="both"/>
      </w:pPr>
      <w:r>
        <w:rPr>
          <w:rFonts w:ascii="Calibri" w:hAnsi="Calibri"/>
          <w:b/>
          <w:color w:val="1E293B"/>
          <w:sz w:val="22"/>
        </w:rPr>
        <w:t xml:space="preserve">Enhance Automation through AI: </w:t>
      </w:r>
      <w:r>
        <w:rPr>
          <w:rFonts w:ascii="Calibri" w:hAnsi="Calibri"/>
          <w:color w:val="1E293B"/>
          <w:sz w:val="22"/>
        </w:rPr>
        <w:t>Integrate artificial intelligence for OCR receipt digitization, automated transaction mapping, and natural language financial inquiries.</w:t>
      </w:r>
    </w:p>
    <w:p>
      <w:pPr>
        <w:keepNext/>
        <w:spacing w:before="280" w:after="120"/>
      </w:pPr>
      <w:r>
        <w:rPr>
          <w:rFonts w:ascii="Calibri" w:hAnsi="Calibri"/>
          <w:b/>
          <w:color w:val="334155"/>
          <w:sz w:val="28"/>
        </w:rPr>
        <w:t>3.2 Scope of the Application</w:t>
      </w:r>
    </w:p>
    <w:p>
      <w:pPr>
        <w:spacing w:after="120" w:line="276" w:lineRule="auto"/>
        <w:jc w:val="both"/>
      </w:pPr>
      <w:r>
        <w:rPr>
          <w:rFonts w:ascii="Calibri" w:hAnsi="Calibri"/>
          <w:b w:val="0"/>
          <w:i w:val="0"/>
          <w:color w:val="1E293B"/>
          <w:sz w:val="22"/>
        </w:rPr>
        <w:t>The scope of TaxPal encompasses independent freelancers, consultants, remote contractors, and small agency founders operating across multiple international jurisdictions. The system caters to single-user authentication, granular expense logging, customized category management, multi-regime tax simulation, and automated email alerts for upcoming statutory due dates (Q1 June 15, Q2 September 15, Q3 December 15, Q4 March 15).</w:t>
      </w:r>
    </w:p>
    <w:p>
      <w:pPr>
        <w:spacing w:after="120" w:line="276" w:lineRule="auto"/>
        <w:jc w:val="both"/>
      </w:pPr>
      <w:r>
        <w:rPr>
          <w:rFonts w:ascii="Calibri" w:hAnsi="Calibri"/>
          <w:b w:val="0"/>
          <w:i w:val="0"/>
          <w:color w:val="1E293B"/>
          <w:sz w:val="22"/>
        </w:rPr>
        <w:t>Non-functional scope parameters include sub-second REST API response times, bank-grade JWT session authentication with HTTP-only cookie protection, responsive UI adaptability across desktop, tablet, and mobile displays, and strict validation of financial numerical inputs.</w:t>
      </w:r>
    </w:p>
    <w:p>
      <w:pPr>
        <w:keepNext/>
        <w:spacing w:before="360" w:after="160"/>
      </w:pPr>
      <w:r>
        <w:rPr>
          <w:rFonts w:ascii="Calibri" w:hAnsi="Calibri"/>
          <w:b/>
          <w:color w:val="1E3A8A"/>
          <w:sz w:val="36"/>
        </w:rPr>
        <w:t>4. Requirements &amp; Technologies Used</w:t>
      </w:r>
    </w:p>
    <w:p>
      <w:pPr>
        <w:keepNext/>
        <w:spacing w:before="280" w:after="120"/>
      </w:pPr>
      <w:r>
        <w:rPr>
          <w:rFonts w:ascii="Calibri" w:hAnsi="Calibri"/>
          <w:b/>
          <w:color w:val="334155"/>
          <w:sz w:val="28"/>
        </w:rPr>
        <w:t>4.1 Hardware Requirements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160"/>
            <w:shd w:fill="1E3A8A"/>
            <w:tcMar>
              <w:top w:w="140" w:type="dxa"/>
              <w:bottom w:w="140" w:type="dxa"/>
              <w:left w:w="150" w:type="dxa"/>
              <w:right w:w="150" w:type="dxa"/>
            </w:tcMar>
            <w:vAlign w:val="center"/>
          </w:tcPr>
          <w:p>
            <w:pPr>
              <w:spacing w:after="0"/>
              <w:jc w:val="left"/>
            </w:pPr>
            <w:r>
              <w:rPr>
                <w:rFonts w:ascii="Calibri" w:hAnsi="Calibri"/>
                <w:b/>
                <w:color w:val="FFFFFF"/>
                <w:sz w:val="20"/>
              </w:rPr>
              <w:t>Component</w:t>
            </w:r>
          </w:p>
        </w:tc>
        <w:tc>
          <w:tcPr>
            <w:tcW w:type="dxa" w:w="3312"/>
            <w:shd w:fill="1E3A8A"/>
            <w:tcMar>
              <w:top w:w="140" w:type="dxa"/>
              <w:bottom w:w="140" w:type="dxa"/>
              <w:left w:w="150" w:type="dxa"/>
              <w:right w:w="150" w:type="dxa"/>
            </w:tcMar>
            <w:vAlign w:val="center"/>
          </w:tcPr>
          <w:p>
            <w:pPr>
              <w:spacing w:after="0"/>
              <w:jc w:val="left"/>
            </w:pPr>
            <w:r>
              <w:rPr>
                <w:rFonts w:ascii="Calibri" w:hAnsi="Calibri"/>
                <w:b/>
                <w:color w:val="FFFFFF"/>
                <w:sz w:val="20"/>
              </w:rPr>
              <w:t>Minimum Requirement</w:t>
            </w:r>
          </w:p>
        </w:tc>
        <w:tc>
          <w:tcPr>
            <w:tcW w:type="dxa" w:w="3888"/>
            <w:shd w:fill="1E3A8A"/>
            <w:tcMar>
              <w:top w:w="140" w:type="dxa"/>
              <w:bottom w:w="140" w:type="dxa"/>
              <w:left w:w="150" w:type="dxa"/>
              <w:right w:w="150" w:type="dxa"/>
            </w:tcMar>
            <w:vAlign w:val="center"/>
          </w:tcPr>
          <w:p>
            <w:pPr>
              <w:spacing w:after="0"/>
              <w:jc w:val="left"/>
            </w:pPr>
            <w:r>
              <w:rPr>
                <w:rFonts w:ascii="Calibri" w:hAnsi="Calibri"/>
                <w:b/>
                <w:color w:val="FFFFFF"/>
                <w:sz w:val="20"/>
              </w:rPr>
              <w:t>Recommended Specification</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Processor (CPU)</w:t>
            </w:r>
          </w:p>
        </w:tc>
        <w:tc>
          <w:tcPr>
            <w:tcW w:type="dxa" w:w="3312"/>
            <w:shd w:fill="FFFFFF"/>
            <w:tcMar>
              <w:top w:w="100" w:type="dxa"/>
              <w:bottom w:w="100" w:type="dxa"/>
              <w:left w:w="150" w:type="dxa"/>
              <w:right w:w="150" w:type="dxa"/>
            </w:tcMar>
            <w:vAlign w:val="center"/>
          </w:tcPr>
          <w:p>
            <w:pPr>
              <w:spacing w:after="0"/>
              <w:jc w:val="left"/>
            </w:pPr>
            <w:r>
              <w:rPr>
                <w:rFonts w:ascii="Calibri" w:hAnsi="Calibri"/>
                <w:color w:val="1E293B"/>
                <w:sz w:val="19"/>
              </w:rPr>
              <w:t>Dual-Core 2.0 GHz (Intel Core i3 / AMD Ryzen 3)</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Quad-Core 2.8 GHz+ (Intel Core i5/i7, AMD Ryzen 5/7, Apple Silicon)</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System Memory (RAM)</w:t>
            </w:r>
          </w:p>
        </w:tc>
        <w:tc>
          <w:tcPr>
            <w:tcW w:type="dxa" w:w="3312"/>
            <w:shd w:fill="F1F5F9"/>
            <w:tcMar>
              <w:top w:w="100" w:type="dxa"/>
              <w:bottom w:w="100" w:type="dxa"/>
              <w:left w:w="150" w:type="dxa"/>
              <w:right w:w="150" w:type="dxa"/>
            </w:tcMar>
            <w:vAlign w:val="center"/>
          </w:tcPr>
          <w:p>
            <w:pPr>
              <w:spacing w:after="0"/>
              <w:jc w:val="left"/>
            </w:pPr>
            <w:r>
              <w:rPr>
                <w:rFonts w:ascii="Calibri" w:hAnsi="Calibri"/>
                <w:color w:val="1E293B"/>
                <w:sz w:val="19"/>
              </w:rPr>
              <w:t>4 GB RAM</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8 GB – 16 GB RAM</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Storage Space</w:t>
            </w:r>
          </w:p>
        </w:tc>
        <w:tc>
          <w:tcPr>
            <w:tcW w:type="dxa" w:w="3312"/>
            <w:shd w:fill="FFFFFF"/>
            <w:tcMar>
              <w:top w:w="100" w:type="dxa"/>
              <w:bottom w:w="100" w:type="dxa"/>
              <w:left w:w="150" w:type="dxa"/>
              <w:right w:w="150" w:type="dxa"/>
            </w:tcMar>
            <w:vAlign w:val="center"/>
          </w:tcPr>
          <w:p>
            <w:pPr>
              <w:spacing w:after="0"/>
              <w:jc w:val="left"/>
            </w:pPr>
            <w:r>
              <w:rPr>
                <w:rFonts w:ascii="Calibri" w:hAnsi="Calibri"/>
                <w:color w:val="1E293B"/>
                <w:sz w:val="19"/>
              </w:rPr>
              <w:t>1 GB free disk space for node_modules &amp; DB</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5 GB+ SSD storage</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Display Resolution</w:t>
            </w:r>
          </w:p>
        </w:tc>
        <w:tc>
          <w:tcPr>
            <w:tcW w:type="dxa" w:w="3312"/>
            <w:shd w:fill="F1F5F9"/>
            <w:tcMar>
              <w:top w:w="100" w:type="dxa"/>
              <w:bottom w:w="100" w:type="dxa"/>
              <w:left w:w="150" w:type="dxa"/>
              <w:right w:w="150" w:type="dxa"/>
            </w:tcMar>
            <w:vAlign w:val="center"/>
          </w:tcPr>
          <w:p>
            <w:pPr>
              <w:spacing w:after="0"/>
              <w:jc w:val="left"/>
            </w:pPr>
            <w:r>
              <w:rPr>
                <w:rFonts w:ascii="Calibri" w:hAnsi="Calibri"/>
                <w:color w:val="1E293B"/>
                <w:sz w:val="19"/>
              </w:rPr>
              <w:t>1366 x 768 pixels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1920 x 1080 pixels (Full HD) or higher</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Network Connectivity</w:t>
            </w:r>
          </w:p>
        </w:tc>
        <w:tc>
          <w:tcPr>
            <w:tcW w:type="dxa" w:w="3312"/>
            <w:shd w:fill="FFFFFF"/>
            <w:tcMar>
              <w:top w:w="100" w:type="dxa"/>
              <w:bottom w:w="100" w:type="dxa"/>
              <w:left w:w="150" w:type="dxa"/>
              <w:right w:w="150" w:type="dxa"/>
            </w:tcMar>
            <w:vAlign w:val="center"/>
          </w:tcPr>
          <w:p>
            <w:pPr>
              <w:spacing w:after="0"/>
              <w:jc w:val="left"/>
            </w:pPr>
            <w:r>
              <w:rPr>
                <w:rFonts w:ascii="Calibri" w:hAnsi="Calibri"/>
                <w:color w:val="1E293B"/>
                <w:sz w:val="19"/>
              </w:rPr>
              <w:t>Standard Broadband (for external AI &amp; SMTP APIs)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High-speed Internet (10 Mbps+)</w:t>
            </w:r>
          </w:p>
        </w:tc>
      </w:tr>
    </w:tbl>
    <w:p>
      <w:pPr>
        <w:spacing w:after="160"/>
      </w:pPr>
    </w:p>
    <w:p>
      <w:pPr>
        <w:keepNext/>
        <w:spacing w:before="280" w:after="120"/>
      </w:pPr>
      <w:r>
        <w:rPr>
          <w:rFonts w:ascii="Calibri" w:hAnsi="Calibri"/>
          <w:b/>
          <w:color w:val="334155"/>
          <w:sz w:val="28"/>
        </w:rPr>
        <w:t>4.2 Software Requirements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304"/>
            <w:shd w:fill="1E3A8A"/>
            <w:tcMar>
              <w:top w:w="140" w:type="dxa"/>
              <w:bottom w:w="140" w:type="dxa"/>
              <w:left w:w="150" w:type="dxa"/>
              <w:right w:w="150" w:type="dxa"/>
            </w:tcMar>
            <w:vAlign w:val="center"/>
          </w:tcPr>
          <w:p>
            <w:pPr>
              <w:spacing w:after="0"/>
              <w:jc w:val="left"/>
            </w:pPr>
            <w:r>
              <w:rPr>
                <w:rFonts w:ascii="Calibri" w:hAnsi="Calibri"/>
                <w:b/>
                <w:color w:val="FFFFFF"/>
                <w:sz w:val="20"/>
              </w:rPr>
              <w:t>Software / Tool</w:t>
            </w:r>
          </w:p>
        </w:tc>
        <w:tc>
          <w:tcPr>
            <w:tcW w:type="dxa" w:w="3168"/>
            <w:shd w:fill="1E3A8A"/>
            <w:tcMar>
              <w:top w:w="140" w:type="dxa"/>
              <w:bottom w:w="140" w:type="dxa"/>
              <w:left w:w="150" w:type="dxa"/>
              <w:right w:w="150" w:type="dxa"/>
            </w:tcMar>
            <w:vAlign w:val="center"/>
          </w:tcPr>
          <w:p>
            <w:pPr>
              <w:spacing w:after="0"/>
              <w:jc w:val="left"/>
            </w:pPr>
            <w:r>
              <w:rPr>
                <w:rFonts w:ascii="Calibri" w:hAnsi="Calibri"/>
                <w:b/>
                <w:color w:val="FFFFFF"/>
                <w:sz w:val="20"/>
              </w:rPr>
              <w:t>Version / Platform</w:t>
            </w:r>
          </w:p>
        </w:tc>
        <w:tc>
          <w:tcPr>
            <w:tcW w:type="dxa" w:w="3888"/>
            <w:shd w:fill="1E3A8A"/>
            <w:tcMar>
              <w:top w:w="140" w:type="dxa"/>
              <w:bottom w:w="140" w:type="dxa"/>
              <w:left w:w="150" w:type="dxa"/>
              <w:right w:w="150" w:type="dxa"/>
            </w:tcMar>
            <w:vAlign w:val="center"/>
          </w:tcPr>
          <w:p>
            <w:pPr>
              <w:spacing w:after="0"/>
              <w:jc w:val="left"/>
            </w:pPr>
            <w:r>
              <w:rPr>
                <w:rFonts w:ascii="Calibri" w:hAnsi="Calibri"/>
                <w:b/>
                <w:color w:val="FFFFFF"/>
                <w:sz w:val="20"/>
              </w:rPr>
              <w:t>Purpose</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Operating System</w:t>
            </w:r>
          </w:p>
        </w:tc>
        <w:tc>
          <w:tcPr>
            <w:tcW w:type="dxa" w:w="3168"/>
            <w:shd w:fill="FFFFFF"/>
            <w:tcMar>
              <w:top w:w="100" w:type="dxa"/>
              <w:bottom w:w="100" w:type="dxa"/>
              <w:left w:w="150" w:type="dxa"/>
              <w:right w:w="150" w:type="dxa"/>
            </w:tcMar>
            <w:vAlign w:val="center"/>
          </w:tcPr>
          <w:p>
            <w:pPr>
              <w:spacing w:after="0"/>
              <w:jc w:val="left"/>
            </w:pPr>
            <w:r>
              <w:rPr>
                <w:rFonts w:ascii="Calibri" w:hAnsi="Calibri"/>
                <w:color w:val="1E293B"/>
                <w:sz w:val="19"/>
              </w:rPr>
              <w:t>Windows 10/11, macOS 12+, Ubuntu 20.04+</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Host development and runtime environment</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Node.js Runtime</w:t>
            </w:r>
          </w:p>
        </w:tc>
        <w:tc>
          <w:tcPr>
            <w:tcW w:type="dxa" w:w="3168"/>
            <w:shd w:fill="F1F5F9"/>
            <w:tcMar>
              <w:top w:w="100" w:type="dxa"/>
              <w:bottom w:w="100" w:type="dxa"/>
              <w:left w:w="150" w:type="dxa"/>
              <w:right w:w="150" w:type="dxa"/>
            </w:tcMar>
            <w:vAlign w:val="center"/>
          </w:tcPr>
          <w:p>
            <w:pPr>
              <w:spacing w:after="0"/>
              <w:jc w:val="left"/>
            </w:pPr>
            <w:r>
              <w:rPr>
                <w:rFonts w:ascii="Calibri" w:hAnsi="Calibri"/>
                <w:color w:val="1E293B"/>
                <w:sz w:val="19"/>
              </w:rPr>
              <w:t>Node.js v18.x or v20.x LTS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Backend JavaScript runtime environment</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Package Manager</w:t>
            </w:r>
          </w:p>
        </w:tc>
        <w:tc>
          <w:tcPr>
            <w:tcW w:type="dxa" w:w="3168"/>
            <w:shd w:fill="FFFFFF"/>
            <w:tcMar>
              <w:top w:w="100" w:type="dxa"/>
              <w:bottom w:w="100" w:type="dxa"/>
              <w:left w:w="150" w:type="dxa"/>
              <w:right w:w="150" w:type="dxa"/>
            </w:tcMar>
            <w:vAlign w:val="center"/>
          </w:tcPr>
          <w:p>
            <w:pPr>
              <w:spacing w:after="0"/>
              <w:jc w:val="left"/>
            </w:pPr>
            <w:r>
              <w:rPr>
                <w:rFonts w:ascii="Calibri" w:hAnsi="Calibri"/>
                <w:color w:val="1E293B"/>
                <w:sz w:val="19"/>
              </w:rPr>
              <w:t>npm v9.x or v10.x</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Dependency resolution and script management</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Database Server</w:t>
            </w:r>
          </w:p>
        </w:tc>
        <w:tc>
          <w:tcPr>
            <w:tcW w:type="dxa" w:w="3168"/>
            <w:shd w:fill="F1F5F9"/>
            <w:tcMar>
              <w:top w:w="100" w:type="dxa"/>
              <w:bottom w:w="100" w:type="dxa"/>
              <w:left w:w="150" w:type="dxa"/>
              <w:right w:w="150" w:type="dxa"/>
            </w:tcMar>
            <w:vAlign w:val="center"/>
          </w:tcPr>
          <w:p>
            <w:pPr>
              <w:spacing w:after="0"/>
              <w:jc w:val="left"/>
            </w:pPr>
            <w:r>
              <w:rPr>
                <w:rFonts w:ascii="Calibri" w:hAnsi="Calibri"/>
                <w:color w:val="1E293B"/>
                <w:sz w:val="19"/>
              </w:rPr>
              <w:t>MongoDB Community Server v6.0+ or Atlas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Document database for persistent storage</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Web Browser</w:t>
            </w:r>
          </w:p>
        </w:tc>
        <w:tc>
          <w:tcPr>
            <w:tcW w:type="dxa" w:w="3168"/>
            <w:shd w:fill="FFFFFF"/>
            <w:tcMar>
              <w:top w:w="100" w:type="dxa"/>
              <w:bottom w:w="100" w:type="dxa"/>
              <w:left w:w="150" w:type="dxa"/>
              <w:right w:w="150" w:type="dxa"/>
            </w:tcMar>
            <w:vAlign w:val="center"/>
          </w:tcPr>
          <w:p>
            <w:pPr>
              <w:spacing w:after="0"/>
              <w:jc w:val="left"/>
            </w:pPr>
            <w:r>
              <w:rPr>
                <w:rFonts w:ascii="Calibri" w:hAnsi="Calibri"/>
                <w:color w:val="1E293B"/>
                <w:sz w:val="19"/>
              </w:rPr>
              <w:t>Google Chrome 110+, Edge 110+, Firefox 110+</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Client-side execution and testing</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Development IDE</w:t>
            </w:r>
          </w:p>
        </w:tc>
        <w:tc>
          <w:tcPr>
            <w:tcW w:type="dxa" w:w="3168"/>
            <w:shd w:fill="F1F5F9"/>
            <w:tcMar>
              <w:top w:w="100" w:type="dxa"/>
              <w:bottom w:w="100" w:type="dxa"/>
              <w:left w:w="150" w:type="dxa"/>
              <w:right w:w="150" w:type="dxa"/>
            </w:tcMar>
            <w:vAlign w:val="center"/>
          </w:tcPr>
          <w:p>
            <w:pPr>
              <w:spacing w:after="0"/>
              <w:jc w:val="left"/>
            </w:pPr>
            <w:r>
              <w:rPr>
                <w:rFonts w:ascii="Calibri" w:hAnsi="Calibri"/>
                <w:color w:val="1E293B"/>
                <w:sz w:val="19"/>
              </w:rPr>
              <w:t>Visual Studio Code / Antigravity IDE</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Source code authoring, debugging, and git management</w:t>
            </w:r>
          </w:p>
        </w:tc>
      </w:tr>
    </w:tbl>
    <w:p>
      <w:pPr>
        <w:spacing w:after="160"/>
      </w:pPr>
    </w:p>
    <w:p>
      <w:pPr>
        <w:keepNext/>
        <w:spacing w:before="280" w:after="120"/>
      </w:pPr>
      <w:r>
        <w:rPr>
          <w:rFonts w:ascii="Calibri" w:hAnsi="Calibri"/>
          <w:b/>
          <w:color w:val="334155"/>
          <w:sz w:val="28"/>
        </w:rPr>
        <w:t>4.3 Frontend Technologies</w:t>
      </w:r>
    </w:p>
    <w:p>
      <w:pPr>
        <w:pStyle w:val="ListBullet"/>
        <w:spacing w:after="80" w:line="276" w:lineRule="auto"/>
        <w:jc w:val="both"/>
      </w:pPr>
      <w:r>
        <w:rPr>
          <w:rFonts w:ascii="Calibri" w:hAnsi="Calibri"/>
          <w:b/>
          <w:color w:val="1E293B"/>
          <w:sz w:val="22"/>
        </w:rPr>
        <w:t xml:space="preserve">Angular v20: </w:t>
      </w:r>
      <w:r>
        <w:rPr>
          <w:rFonts w:ascii="Calibri" w:hAnsi="Calibri"/>
          <w:color w:val="1E293B"/>
          <w:sz w:val="22"/>
        </w:rPr>
        <w:t>Leverages modern Standalone Components, Signal-based reactive state management, Typed Reactive Forms, and HttpClient.</w:t>
      </w:r>
    </w:p>
    <w:p>
      <w:pPr>
        <w:pStyle w:val="ListBullet"/>
        <w:spacing w:after="80" w:line="276" w:lineRule="auto"/>
        <w:jc w:val="both"/>
      </w:pPr>
      <w:r>
        <w:rPr>
          <w:rFonts w:ascii="Calibri" w:hAnsi="Calibri"/>
          <w:b/>
          <w:color w:val="1E293B"/>
          <w:sz w:val="22"/>
        </w:rPr>
        <w:t xml:space="preserve">Vanilla CSS3 &amp; Modern Design System: </w:t>
      </w:r>
      <w:r>
        <w:rPr>
          <w:rFonts w:ascii="Calibri" w:hAnsi="Calibri"/>
          <w:color w:val="1E293B"/>
          <w:sz w:val="22"/>
        </w:rPr>
        <w:t>Clean responsive layouts built with custom CSS variables, flexbox, grid, glassmorphism card elevation, dark/light theme tokens, and smooth CSS keyframe animations (no bulky third-party CSS utility bloat).</w:t>
      </w:r>
    </w:p>
    <w:p>
      <w:pPr>
        <w:pStyle w:val="ListBullet"/>
        <w:spacing w:after="80" w:line="276" w:lineRule="auto"/>
        <w:jc w:val="both"/>
      </w:pPr>
      <w:r>
        <w:rPr>
          <w:rFonts w:ascii="Calibri" w:hAnsi="Calibri"/>
          <w:b/>
          <w:color w:val="1E293B"/>
          <w:sz w:val="22"/>
        </w:rPr>
        <w:t xml:space="preserve">Chart.js &amp; Ng2-Charts: </w:t>
      </w:r>
      <w:r>
        <w:rPr>
          <w:rFonts w:ascii="Calibri" w:hAnsi="Calibri"/>
          <w:color w:val="1E293B"/>
          <w:sz w:val="22"/>
        </w:rPr>
        <w:t>Interactive HTML5 canvas data visualizations for income vs. expense bar charts, category breakdown donut charts, and quarterly trends.</w:t>
      </w:r>
    </w:p>
    <w:p>
      <w:pPr>
        <w:pStyle w:val="ListBullet"/>
        <w:spacing w:after="80" w:line="276" w:lineRule="auto"/>
        <w:jc w:val="both"/>
      </w:pPr>
      <w:r>
        <w:rPr>
          <w:rFonts w:ascii="Calibri" w:hAnsi="Calibri"/>
          <w:b/>
          <w:color w:val="1E293B"/>
          <w:sz w:val="22"/>
        </w:rPr>
        <w:t xml:space="preserve">Lucide / Feather Icons: </w:t>
      </w:r>
      <w:r>
        <w:rPr>
          <w:rFonts w:ascii="Calibri" w:hAnsi="Calibri"/>
          <w:color w:val="1E293B"/>
          <w:sz w:val="22"/>
        </w:rPr>
        <w:t>Lightweight SVG iconography for clear visual taxonomy across navigation menus, transaction badges, and status widgets.</w:t>
      </w:r>
    </w:p>
    <w:p>
      <w:pPr>
        <w:keepNext/>
        <w:spacing w:before="280" w:after="120"/>
      </w:pPr>
      <w:r>
        <w:rPr>
          <w:rFonts w:ascii="Calibri" w:hAnsi="Calibri"/>
          <w:b/>
          <w:color w:val="334155"/>
          <w:sz w:val="28"/>
        </w:rPr>
        <w:t>4.4 Backend Technologies</w:t>
      </w:r>
    </w:p>
    <w:p>
      <w:pPr>
        <w:pStyle w:val="ListBullet"/>
        <w:spacing w:after="80" w:line="276" w:lineRule="auto"/>
        <w:jc w:val="both"/>
      </w:pPr>
      <w:r>
        <w:rPr>
          <w:rFonts w:ascii="Calibri" w:hAnsi="Calibri"/>
          <w:b/>
          <w:color w:val="1E293B"/>
          <w:sz w:val="22"/>
        </w:rPr>
        <w:t xml:space="preserve">Node.js &amp; Express.js (TypeScript): </w:t>
      </w:r>
      <w:r>
        <w:rPr>
          <w:rFonts w:ascii="Calibri" w:hAnsi="Calibri"/>
          <w:color w:val="1E293B"/>
          <w:sz w:val="22"/>
        </w:rPr>
        <w:t>Strictly typed RESTful API server architected using the Controller-Service-Repository pattern with complete separation of concerns.</w:t>
      </w:r>
    </w:p>
    <w:p>
      <w:pPr>
        <w:pStyle w:val="ListBullet"/>
        <w:spacing w:after="80" w:line="276" w:lineRule="auto"/>
        <w:jc w:val="both"/>
      </w:pPr>
      <w:r>
        <w:rPr>
          <w:rFonts w:ascii="Calibri" w:hAnsi="Calibri"/>
          <w:b/>
          <w:color w:val="1E293B"/>
          <w:sz w:val="22"/>
        </w:rPr>
        <w:t xml:space="preserve">MongoDB &amp; Mongoose ODM: </w:t>
      </w:r>
      <w:r>
        <w:rPr>
          <w:rFonts w:ascii="Calibri" w:hAnsi="Calibri"/>
          <w:color w:val="1E293B"/>
          <w:sz w:val="22"/>
        </w:rPr>
        <w:t>Document-oriented database utilizing strict schema modeling, virtual populated properties, compound indexing, and pre-save lifecycle hooks.</w:t>
      </w:r>
    </w:p>
    <w:p>
      <w:pPr>
        <w:pStyle w:val="ListBullet"/>
        <w:spacing w:after="80" w:line="276" w:lineRule="auto"/>
        <w:jc w:val="both"/>
      </w:pPr>
      <w:r>
        <w:rPr>
          <w:rFonts w:ascii="Calibri" w:hAnsi="Calibri"/>
          <w:b/>
          <w:color w:val="1E293B"/>
          <w:sz w:val="22"/>
        </w:rPr>
        <w:t xml:space="preserve">Security &amp; Middleware Suite: </w:t>
      </w:r>
      <w:r>
        <w:rPr>
          <w:rFonts w:ascii="Calibri" w:hAnsi="Calibri"/>
          <w:color w:val="1E293B"/>
          <w:sz w:val="22"/>
        </w:rPr>
        <w:t>Helmet.js for HTTP header security, CORS with credential handling, Express Rate Limit for DDoS mitigation, and Mongo-Sanitize for NoSQL injection prevention.</w:t>
      </w:r>
    </w:p>
    <w:p>
      <w:pPr>
        <w:pStyle w:val="ListBullet"/>
        <w:spacing w:after="80" w:line="276" w:lineRule="auto"/>
        <w:jc w:val="both"/>
      </w:pPr>
      <w:r>
        <w:rPr>
          <w:rFonts w:ascii="Calibri" w:hAnsi="Calibri"/>
          <w:b/>
          <w:color w:val="1E293B"/>
          <w:sz w:val="22"/>
        </w:rPr>
        <w:t xml:space="preserve">Authentication &amp; Cryptography: </w:t>
      </w:r>
      <w:r>
        <w:rPr>
          <w:rFonts w:ascii="Calibri" w:hAnsi="Calibri"/>
          <w:color w:val="1E293B"/>
          <w:sz w:val="22"/>
        </w:rPr>
        <w:t>Stateless JSON Web Tokens (JWT) using short-lived access tokens stored in secure HTTP-only cookies and rotating refresh tokens stored in MongoDB. Password hashing with Bcrypt (salt factor 10).</w:t>
      </w:r>
    </w:p>
    <w:p>
      <w:pPr>
        <w:keepNext/>
        <w:spacing w:before="280" w:after="120"/>
      </w:pPr>
      <w:r>
        <w:rPr>
          <w:rFonts w:ascii="Calibri" w:hAnsi="Calibri"/>
          <w:b/>
          <w:color w:val="334155"/>
          <w:sz w:val="28"/>
        </w:rPr>
        <w:t>4.5 Database &amp; Third-Party Integrations</w:t>
      </w:r>
    </w:p>
    <w:p>
      <w:pPr>
        <w:pStyle w:val="ListBullet"/>
        <w:spacing w:after="80" w:line="276" w:lineRule="auto"/>
        <w:jc w:val="both"/>
      </w:pPr>
      <w:r>
        <w:rPr>
          <w:rFonts w:ascii="Calibri" w:hAnsi="Calibri"/>
          <w:b/>
          <w:color w:val="1E293B"/>
          <w:sz w:val="22"/>
        </w:rPr>
        <w:t xml:space="preserve">PDFKit: </w:t>
      </w:r>
      <w:r>
        <w:rPr>
          <w:rFonts w:ascii="Calibri" w:hAnsi="Calibri"/>
          <w:color w:val="1E293B"/>
          <w:sz w:val="22"/>
        </w:rPr>
        <w:t>Server-side high-resolution PDF document rendering for styled financial statements, tables, headers, footers, and page numbers.</w:t>
      </w:r>
    </w:p>
    <w:p>
      <w:pPr>
        <w:pStyle w:val="ListBullet"/>
        <w:spacing w:after="80" w:line="276" w:lineRule="auto"/>
        <w:jc w:val="both"/>
      </w:pPr>
      <w:r>
        <w:rPr>
          <w:rFonts w:ascii="Calibri" w:hAnsi="Calibri"/>
          <w:b/>
          <w:color w:val="1E293B"/>
          <w:sz w:val="22"/>
        </w:rPr>
        <w:t xml:space="preserve">Nodemailer &amp; SMTP: </w:t>
      </w:r>
      <w:r>
        <w:rPr>
          <w:rFonts w:ascii="Calibri" w:hAnsi="Calibri"/>
          <w:color w:val="1E293B"/>
          <w:sz w:val="22"/>
        </w:rPr>
        <w:t>Automated transactional email transport supporting password reset OTP verification, direct email delivery of generated reports, and scheduled tax calendar reminder alerts.</w:t>
      </w:r>
    </w:p>
    <w:p>
      <w:pPr>
        <w:pStyle w:val="ListBullet"/>
        <w:spacing w:after="80" w:line="276" w:lineRule="auto"/>
        <w:jc w:val="both"/>
      </w:pPr>
      <w:r>
        <w:rPr>
          <w:rFonts w:ascii="Calibri" w:hAnsi="Calibri"/>
          <w:b/>
          <w:color w:val="1E293B"/>
          <w:sz w:val="22"/>
        </w:rPr>
        <w:t xml:space="preserve">Google GenAI SDK (Gemini): </w:t>
      </w:r>
      <w:r>
        <w:rPr>
          <w:rFonts w:ascii="Calibri" w:hAnsi="Calibri"/>
          <w:color w:val="1E293B"/>
          <w:sz w:val="22"/>
        </w:rPr>
        <w:t>Multi-modal AI integration powering the Smart Receipt Scanner (OCR) and conversational AI Financial Assistant.</w:t>
      </w:r>
    </w:p>
    <w:p>
      <w:pPr>
        <w:pStyle w:val="ListBullet"/>
        <w:spacing w:after="80" w:line="276" w:lineRule="auto"/>
        <w:jc w:val="both"/>
      </w:pPr>
      <w:r>
        <w:rPr>
          <w:rFonts w:ascii="Calibri" w:hAnsi="Calibri"/>
          <w:b/>
          <w:color w:val="1E293B"/>
          <w:sz w:val="22"/>
        </w:rPr>
        <w:t xml:space="preserve">Node-Cron: </w:t>
      </w:r>
      <w:r>
        <w:rPr>
          <w:rFonts w:ascii="Calibri" w:hAnsi="Calibri"/>
          <w:color w:val="1E293B"/>
          <w:sz w:val="22"/>
        </w:rPr>
        <w:t>Automated background task scheduling engine for checking upcoming quarterly tax deadlines and triggering proactive reminders.</w:t>
      </w:r>
    </w:p>
    <w:p>
      <w:pPr>
        <w:keepNext/>
        <w:spacing w:before="360" w:after="160"/>
      </w:pPr>
      <w:r>
        <w:rPr>
          <w:rFonts w:ascii="Calibri" w:hAnsi="Calibri"/>
          <w:b/>
          <w:color w:val="1E3A8A"/>
          <w:sz w:val="36"/>
        </w:rPr>
        <w:t>5. System Architecture</w:t>
      </w:r>
    </w:p>
    <w:p>
      <w:pPr>
        <w:keepNext/>
        <w:spacing w:before="280" w:after="120"/>
      </w:pPr>
      <w:r>
        <w:rPr>
          <w:rFonts w:ascii="Calibri" w:hAnsi="Calibri"/>
          <w:b/>
          <w:color w:val="334155"/>
          <w:sz w:val="28"/>
        </w:rPr>
        <w:t>5.1 Architectural Overview</w:t>
      </w:r>
    </w:p>
    <w:p>
      <w:pPr>
        <w:spacing w:after="120" w:line="276" w:lineRule="auto"/>
        <w:jc w:val="both"/>
      </w:pPr>
      <w:r>
        <w:rPr>
          <w:rFonts w:ascii="Calibri" w:hAnsi="Calibri"/>
          <w:b w:val="0"/>
          <w:i w:val="0"/>
          <w:color w:val="1E293B"/>
          <w:sz w:val="22"/>
        </w:rPr>
        <w:t>TaxPal follows a modular, decoupled Client-Server architecture organized as a clean monorepo. The frontend Angular client communicates asynchronously with the backend Express API via standard RESTful HTTP protocols over JSON. Cross-Cutting concerns such as authentication, request schema validation, error handling, and security sanitation are handled seamlessly through modular middleware layers.</w:t>
      </w:r>
    </w:p>
    <w:p>
      <w:pPr>
        <w:keepNext/>
        <w:spacing w:before="280" w:after="120"/>
      </w:pPr>
      <w:r>
        <w:rPr>
          <w:rFonts w:ascii="Calibri" w:hAnsi="Calibri"/>
          <w:b/>
          <w:color w:val="334155"/>
          <w:sz w:val="28"/>
        </w:rPr>
        <w:t>5.2 Monorepo Structure &amp; Workflow</w:t>
      </w:r>
    </w:p>
    <w:p>
      <w:pPr>
        <w:spacing w:after="120" w:line="276" w:lineRule="auto"/>
        <w:jc w:val="both"/>
      </w:pPr>
      <w:r>
        <w:rPr>
          <w:rFonts w:ascii="Calibri" w:hAnsi="Calibri"/>
          <w:b w:val="0"/>
          <w:i w:val="0"/>
          <w:color w:val="1E293B"/>
          <w:sz w:val="22"/>
        </w:rPr>
        <w:t>The codebase is structured to maximize maintainability, developer ergonomics, and scalability:</w:t>
      </w:r>
    </w:p>
    <w:p>
      <w:pPr>
        <w:pStyle w:val="ListBullet"/>
        <w:spacing w:after="80" w:line="276" w:lineRule="auto"/>
        <w:jc w:val="both"/>
      </w:pPr>
      <w:r>
        <w:rPr>
          <w:rFonts w:ascii="Calibri" w:hAnsi="Calibri"/>
          <w:b/>
          <w:color w:val="1E293B"/>
          <w:sz w:val="22"/>
        </w:rPr>
        <w:t xml:space="preserve">TaxPal-Batch1/backend: </w:t>
      </w:r>
      <w:r>
        <w:rPr>
          <w:rFonts w:ascii="Calibri" w:hAnsi="Calibri"/>
          <w:color w:val="1E293B"/>
          <w:sz w:val="22"/>
        </w:rPr>
        <w:t>Contains all server configuration, MVC controllers, Mongoose models, Express routes, business logic services, Zod validation schemas, and utility engines.</w:t>
      </w:r>
    </w:p>
    <w:p>
      <w:pPr>
        <w:pStyle w:val="ListBullet"/>
        <w:spacing w:after="80" w:line="276" w:lineRule="auto"/>
        <w:jc w:val="both"/>
      </w:pPr>
      <w:r>
        <w:rPr>
          <w:rFonts w:ascii="Calibri" w:hAnsi="Calibri"/>
          <w:b/>
          <w:color w:val="1E293B"/>
          <w:sz w:val="22"/>
        </w:rPr>
        <w:t xml:space="preserve">TaxPal-Batch1/frontend: </w:t>
      </w:r>
      <w:r>
        <w:rPr>
          <w:rFonts w:ascii="Calibri" w:hAnsi="Calibri"/>
          <w:color w:val="1E293B"/>
          <w:sz w:val="22"/>
        </w:rPr>
        <w:t>Contains Angular standalone components, application routing, dependency-injected services, state signals, and global CSS theme tokens.</w:t>
      </w:r>
    </w:p>
    <w:p>
      <w:pPr>
        <w:keepNext/>
        <w:spacing w:before="280" w:after="120"/>
      </w:pPr>
      <w:r>
        <w:rPr>
          <w:rFonts w:ascii="Calibri" w:hAnsi="Calibri"/>
          <w:b/>
          <w:color w:val="334155"/>
          <w:sz w:val="28"/>
        </w:rPr>
        <w:t>5.3 Data Flow &amp; Security Architecture</w:t>
      </w:r>
    </w:p>
    <w:p>
      <w:pPr>
        <w:spacing w:after="120" w:line="276" w:lineRule="auto"/>
        <w:jc w:val="both"/>
      </w:pPr>
      <w:r>
        <w:rPr>
          <w:rFonts w:ascii="Calibri" w:hAnsi="Calibri"/>
          <w:b w:val="0"/>
          <w:i w:val="0"/>
          <w:color w:val="1E293B"/>
          <w:sz w:val="22"/>
        </w:rPr>
        <w:t>1. Request Ingestion &amp; Security Filtering: Incoming requests first pass through Helmet, CORS security policies, and rate limiters.</w:t>
      </w:r>
    </w:p>
    <w:p>
      <w:pPr>
        <w:spacing w:after="120" w:line="276" w:lineRule="auto"/>
        <w:jc w:val="both"/>
      </w:pPr>
      <w:r>
        <w:rPr>
          <w:rFonts w:ascii="Calibri" w:hAnsi="Calibri"/>
          <w:b w:val="0"/>
          <w:i w:val="0"/>
          <w:color w:val="1E293B"/>
          <w:sz w:val="22"/>
        </w:rPr>
        <w:t>2. Authentication &amp; Authorization: Protected endpoints verify the JWT signature extracted from the HTTP-only cookie. User identity is attached to the Express request object.</w:t>
      </w:r>
    </w:p>
    <w:p>
      <w:pPr>
        <w:spacing w:after="120" w:line="276" w:lineRule="auto"/>
        <w:jc w:val="both"/>
      </w:pPr>
      <w:r>
        <w:rPr>
          <w:rFonts w:ascii="Calibri" w:hAnsi="Calibri"/>
          <w:b w:val="0"/>
          <w:i w:val="0"/>
          <w:color w:val="1E293B"/>
          <w:sz w:val="22"/>
        </w:rPr>
        <w:t>3. Validation Layer: Zod schemas intercept payloads, enforcing type compliance and rejecting malformed inputs with descriptive 400 Bad Request responses.</w:t>
      </w:r>
    </w:p>
    <w:p>
      <w:pPr>
        <w:spacing w:after="120" w:line="276" w:lineRule="auto"/>
        <w:jc w:val="both"/>
      </w:pPr>
      <w:r>
        <w:rPr>
          <w:rFonts w:ascii="Calibri" w:hAnsi="Calibri"/>
          <w:b w:val="0"/>
          <w:i w:val="0"/>
          <w:color w:val="1E293B"/>
          <w:sz w:val="22"/>
        </w:rPr>
        <w:t>4. Service Layer Execution: Controllers invoke dedicated Service classes (e.g., ReportService, TaxEstimateService, MailerService) that execute core business logic, database queries, or external AI API calls.</w:t>
      </w:r>
    </w:p>
    <w:p>
      <w:pPr>
        <w:spacing w:after="120" w:line="276" w:lineRule="auto"/>
        <w:jc w:val="both"/>
      </w:pPr>
      <w:r>
        <w:rPr>
          <w:rFonts w:ascii="Calibri" w:hAnsi="Calibri"/>
          <w:b w:val="0"/>
          <w:i w:val="0"/>
          <w:color w:val="1E293B"/>
          <w:sz w:val="22"/>
        </w:rPr>
        <w:t>5. Structured Response: Responses are serialized via standard ApiResponse or ApiError envelopes ensuring uniform JSON contracts across all endpoints.</w:t>
      </w:r>
    </w:p>
    <w:p>
      <w:pPr>
        <w:keepNext/>
        <w:spacing w:before="360" w:after="160"/>
      </w:pPr>
      <w:r>
        <w:rPr>
          <w:rFonts w:ascii="Calibri" w:hAnsi="Calibri"/>
          <w:b/>
          <w:color w:val="1E3A8A"/>
          <w:sz w:val="36"/>
        </w:rPr>
        <w:t>6. Database Design</w:t>
      </w:r>
    </w:p>
    <w:p>
      <w:pPr>
        <w:keepNext/>
        <w:spacing w:before="280" w:after="120"/>
      </w:pPr>
      <w:r>
        <w:rPr>
          <w:rFonts w:ascii="Calibri" w:hAnsi="Calibri"/>
          <w:b/>
          <w:color w:val="334155"/>
          <w:sz w:val="28"/>
        </w:rPr>
        <w:t>6.1 Database Schema &amp; Data Dictionary</w:t>
      </w:r>
    </w:p>
    <w:p>
      <w:pPr>
        <w:spacing w:after="120" w:line="276" w:lineRule="auto"/>
        <w:jc w:val="both"/>
      </w:pPr>
      <w:r>
        <w:rPr>
          <w:rFonts w:ascii="Calibri" w:hAnsi="Calibri"/>
          <w:b w:val="0"/>
          <w:i w:val="0"/>
          <w:color w:val="1E293B"/>
          <w:sz w:val="22"/>
        </w:rPr>
        <w:t>The TaxPal data tier is powered by MongoDB, engineered to support fast queries, dynamic indexing, and referential integrity via Mongoose schema references. Below is the comprehensive data dictionary detailing all 8 primary database collections.</w:t>
      </w:r>
    </w:p>
    <w:p>
      <w:pPr>
        <w:keepNext/>
        <w:spacing w:before="200" w:after="80"/>
      </w:pPr>
      <w:r>
        <w:rPr>
          <w:rFonts w:ascii="Calibri" w:hAnsi="Calibri"/>
          <w:b/>
          <w:i/>
          <w:color w:val="334155"/>
          <w:sz w:val="24"/>
        </w:rPr>
        <w:t>6.1.1 Collection: users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160"/>
            <w:shd w:fill="1E3A8A"/>
            <w:tcMar>
              <w:top w:w="140" w:type="dxa"/>
              <w:bottom w:w="140" w:type="dxa"/>
              <w:left w:w="150" w:type="dxa"/>
              <w:right w:w="150" w:type="dxa"/>
            </w:tcMar>
            <w:vAlign w:val="center"/>
          </w:tcPr>
          <w:p>
            <w:pPr>
              <w:spacing w:after="0"/>
              <w:jc w:val="left"/>
            </w:pPr>
            <w:r>
              <w:rPr>
                <w:rFonts w:ascii="Calibri" w:hAnsi="Calibri"/>
                <w:b/>
                <w:color w:val="FFFFFF"/>
                <w:sz w:val="20"/>
              </w:rPr>
              <w:t>Field Name</w:t>
            </w:r>
          </w:p>
        </w:tc>
        <w:tc>
          <w:tcPr>
            <w:tcW w:type="dxa" w:w="1728"/>
            <w:shd w:fill="1E3A8A"/>
            <w:tcMar>
              <w:top w:w="140" w:type="dxa"/>
              <w:bottom w:w="140" w:type="dxa"/>
              <w:left w:w="150" w:type="dxa"/>
              <w:right w:w="150" w:type="dxa"/>
            </w:tcMar>
            <w:vAlign w:val="center"/>
          </w:tcPr>
          <w:p>
            <w:pPr>
              <w:spacing w:after="0"/>
              <w:jc w:val="left"/>
            </w:pPr>
            <w:r>
              <w:rPr>
                <w:rFonts w:ascii="Calibri" w:hAnsi="Calibri"/>
                <w:b/>
                <w:color w:val="FFFFFF"/>
                <w:sz w:val="20"/>
              </w:rPr>
              <w:t>Data Type</w:t>
            </w:r>
          </w:p>
        </w:tc>
        <w:tc>
          <w:tcPr>
            <w:tcW w:type="dxa" w:w="1296"/>
            <w:shd w:fill="1E3A8A"/>
            <w:tcMar>
              <w:top w:w="140" w:type="dxa"/>
              <w:bottom w:w="140" w:type="dxa"/>
              <w:left w:w="150" w:type="dxa"/>
              <w:right w:w="150" w:type="dxa"/>
            </w:tcMar>
            <w:vAlign w:val="center"/>
          </w:tcPr>
          <w:p>
            <w:pPr>
              <w:spacing w:after="0"/>
              <w:jc w:val="left"/>
            </w:pPr>
            <w:r>
              <w:rPr>
                <w:rFonts w:ascii="Calibri" w:hAnsi="Calibri"/>
                <w:b/>
                <w:color w:val="FFFFFF"/>
                <w:sz w:val="20"/>
              </w:rPr>
              <w:t>Required</w:t>
            </w:r>
          </w:p>
        </w:tc>
        <w:tc>
          <w:tcPr>
            <w:tcW w:type="dxa" w:w="4176"/>
            <w:shd w:fill="1E3A8A"/>
            <w:tcMar>
              <w:top w:w="140" w:type="dxa"/>
              <w:bottom w:w="140" w:type="dxa"/>
              <w:left w:w="150" w:type="dxa"/>
              <w:right w:w="150" w:type="dxa"/>
            </w:tcMar>
            <w:vAlign w:val="center"/>
          </w:tcPr>
          <w:p>
            <w:pPr>
              <w:spacing w:after="0"/>
              <w:jc w:val="left"/>
            </w:pPr>
            <w:r>
              <w:rPr>
                <w:rFonts w:ascii="Calibri" w:hAnsi="Calibri"/>
                <w:b/>
                <w:color w:val="FFFFFF"/>
                <w:sz w:val="20"/>
              </w:rPr>
              <w:t>Description</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_id</w:t>
            </w:r>
          </w:p>
        </w:tc>
        <w:tc>
          <w:tcPr>
            <w:tcW w:type="dxa" w:w="1728"/>
            <w:shd w:fill="FFFFFF"/>
            <w:tcMar>
              <w:top w:w="100" w:type="dxa"/>
              <w:bottom w:w="100" w:type="dxa"/>
              <w:left w:w="150" w:type="dxa"/>
              <w:right w:w="150" w:type="dxa"/>
            </w:tcMar>
            <w:vAlign w:val="center"/>
          </w:tcPr>
          <w:p>
            <w:pPr>
              <w:spacing w:after="0"/>
              <w:jc w:val="left"/>
            </w:pPr>
            <w:r>
              <w:rPr>
                <w:rFonts w:ascii="Calibri" w:hAnsi="Calibri"/>
                <w:color w:val="1E293B"/>
                <w:sz w:val="19"/>
              </w:rPr>
              <w:t>ObjectId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176"/>
            <w:shd w:fill="FFFFFF"/>
            <w:tcMar>
              <w:top w:w="100" w:type="dxa"/>
              <w:bottom w:w="100" w:type="dxa"/>
              <w:left w:w="150" w:type="dxa"/>
              <w:right w:w="150" w:type="dxa"/>
            </w:tcMar>
            <w:vAlign w:val="center"/>
          </w:tcPr>
          <w:p>
            <w:pPr>
              <w:spacing w:after="0"/>
              <w:jc w:val="left"/>
            </w:pPr>
            <w:r>
              <w:rPr>
                <w:rFonts w:ascii="Calibri" w:hAnsi="Calibri"/>
                <w:color w:val="1E293B"/>
                <w:sz w:val="19"/>
              </w:rPr>
              <w:t>Unique MongoDB user identifier</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fullName</w:t>
            </w:r>
          </w:p>
        </w:tc>
        <w:tc>
          <w:tcPr>
            <w:tcW w:type="dxa" w:w="1728"/>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176"/>
            <w:shd w:fill="F1F5F9"/>
            <w:tcMar>
              <w:top w:w="100" w:type="dxa"/>
              <w:bottom w:w="100" w:type="dxa"/>
              <w:left w:w="150" w:type="dxa"/>
              <w:right w:w="150" w:type="dxa"/>
            </w:tcMar>
            <w:vAlign w:val="center"/>
          </w:tcPr>
          <w:p>
            <w:pPr>
              <w:spacing w:after="0"/>
              <w:jc w:val="left"/>
            </w:pPr>
            <w:r>
              <w:rPr>
                <w:rFonts w:ascii="Calibri" w:hAnsi="Calibri"/>
                <w:color w:val="1E293B"/>
                <w:sz w:val="19"/>
              </w:rPr>
              <w:t>User's full legal or business name</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username</w:t>
            </w:r>
          </w:p>
        </w:tc>
        <w:tc>
          <w:tcPr>
            <w:tcW w:type="dxa" w:w="1728"/>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176"/>
            <w:shd w:fill="FFFFFF"/>
            <w:tcMar>
              <w:top w:w="100" w:type="dxa"/>
              <w:bottom w:w="100" w:type="dxa"/>
              <w:left w:w="150" w:type="dxa"/>
              <w:right w:w="150" w:type="dxa"/>
            </w:tcMar>
            <w:vAlign w:val="center"/>
          </w:tcPr>
          <w:p>
            <w:pPr>
              <w:spacing w:after="0"/>
              <w:jc w:val="left"/>
            </w:pPr>
            <w:r>
              <w:rPr>
                <w:rFonts w:ascii="Calibri" w:hAnsi="Calibri"/>
                <w:color w:val="1E293B"/>
                <w:sz w:val="19"/>
              </w:rPr>
              <w:t>Unique username for login credentials</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email</w:t>
            </w:r>
          </w:p>
        </w:tc>
        <w:tc>
          <w:tcPr>
            <w:tcW w:type="dxa" w:w="1728"/>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176"/>
            <w:shd w:fill="F1F5F9"/>
            <w:tcMar>
              <w:top w:w="100" w:type="dxa"/>
              <w:bottom w:w="100" w:type="dxa"/>
              <w:left w:w="150" w:type="dxa"/>
              <w:right w:w="150" w:type="dxa"/>
            </w:tcMar>
            <w:vAlign w:val="center"/>
          </w:tcPr>
          <w:p>
            <w:pPr>
              <w:spacing w:after="0"/>
              <w:jc w:val="left"/>
            </w:pPr>
            <w:r>
              <w:rPr>
                <w:rFonts w:ascii="Calibri" w:hAnsi="Calibri"/>
                <w:color w:val="1E293B"/>
                <w:sz w:val="19"/>
              </w:rPr>
              <w:t>Unique, validated email address</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password</w:t>
            </w:r>
          </w:p>
        </w:tc>
        <w:tc>
          <w:tcPr>
            <w:tcW w:type="dxa" w:w="1728"/>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176"/>
            <w:shd w:fill="FFFFFF"/>
            <w:tcMar>
              <w:top w:w="100" w:type="dxa"/>
              <w:bottom w:w="100" w:type="dxa"/>
              <w:left w:w="150" w:type="dxa"/>
              <w:right w:w="150" w:type="dxa"/>
            </w:tcMar>
            <w:vAlign w:val="center"/>
          </w:tcPr>
          <w:p>
            <w:pPr>
              <w:spacing w:after="0"/>
              <w:jc w:val="left"/>
            </w:pPr>
            <w:r>
              <w:rPr>
                <w:rFonts w:ascii="Calibri" w:hAnsi="Calibri"/>
                <w:color w:val="1E293B"/>
                <w:sz w:val="19"/>
              </w:rPr>
              <w:t>Bcrypt hashed password (salt factor 10)</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country</w:t>
            </w:r>
          </w:p>
        </w:tc>
        <w:tc>
          <w:tcPr>
            <w:tcW w:type="dxa" w:w="1728"/>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176"/>
            <w:shd w:fill="F1F5F9"/>
            <w:tcMar>
              <w:top w:w="100" w:type="dxa"/>
              <w:bottom w:w="100" w:type="dxa"/>
              <w:left w:w="150" w:type="dxa"/>
              <w:right w:w="150" w:type="dxa"/>
            </w:tcMar>
            <w:vAlign w:val="center"/>
          </w:tcPr>
          <w:p>
            <w:pPr>
              <w:spacing w:after="0"/>
              <w:jc w:val="left"/>
            </w:pPr>
            <w:r>
              <w:rPr>
                <w:rFonts w:ascii="Calibri" w:hAnsi="Calibri"/>
                <w:color w:val="1E293B"/>
                <w:sz w:val="19"/>
              </w:rPr>
              <w:t>Country of tax residence (e.g., India, USA, UK)</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state</w:t>
            </w:r>
          </w:p>
        </w:tc>
        <w:tc>
          <w:tcPr>
            <w:tcW w:type="dxa" w:w="1728"/>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176"/>
            <w:shd w:fill="FFFFFF"/>
            <w:tcMar>
              <w:top w:w="100" w:type="dxa"/>
              <w:bottom w:w="100" w:type="dxa"/>
              <w:left w:w="150" w:type="dxa"/>
              <w:right w:w="150" w:type="dxa"/>
            </w:tcMar>
            <w:vAlign w:val="center"/>
          </w:tcPr>
          <w:p>
            <w:pPr>
              <w:spacing w:after="0"/>
              <w:jc w:val="left"/>
            </w:pPr>
            <w:r>
              <w:rPr>
                <w:rFonts w:ascii="Calibri" w:hAnsi="Calibri"/>
                <w:color w:val="1E293B"/>
                <w:sz w:val="19"/>
              </w:rPr>
              <w:t>State / Province / Region for local tax calculations</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city</w:t>
            </w:r>
          </w:p>
        </w:tc>
        <w:tc>
          <w:tcPr>
            <w:tcW w:type="dxa" w:w="1728"/>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176"/>
            <w:shd w:fill="F1F5F9"/>
            <w:tcMar>
              <w:top w:w="100" w:type="dxa"/>
              <w:bottom w:w="100" w:type="dxa"/>
              <w:left w:w="150" w:type="dxa"/>
              <w:right w:w="150" w:type="dxa"/>
            </w:tcMar>
            <w:vAlign w:val="center"/>
          </w:tcPr>
          <w:p>
            <w:pPr>
              <w:spacing w:after="0"/>
              <w:jc w:val="left"/>
            </w:pPr>
            <w:r>
              <w:rPr>
                <w:rFonts w:ascii="Calibri" w:hAnsi="Calibri"/>
                <w:color w:val="1E293B"/>
                <w:sz w:val="19"/>
              </w:rPr>
              <w:t>City of residence</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phone</w:t>
            </w:r>
          </w:p>
        </w:tc>
        <w:tc>
          <w:tcPr>
            <w:tcW w:type="dxa" w:w="1728"/>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176"/>
            <w:shd w:fill="FFFFFF"/>
            <w:tcMar>
              <w:top w:w="100" w:type="dxa"/>
              <w:bottom w:w="100" w:type="dxa"/>
              <w:left w:w="150" w:type="dxa"/>
              <w:right w:w="150" w:type="dxa"/>
            </w:tcMar>
            <w:vAlign w:val="center"/>
          </w:tcPr>
          <w:p>
            <w:pPr>
              <w:spacing w:after="0"/>
              <w:jc w:val="left"/>
            </w:pPr>
            <w:r>
              <w:rPr>
                <w:rFonts w:ascii="Calibri" w:hAnsi="Calibri"/>
                <w:color w:val="1E293B"/>
                <w:sz w:val="19"/>
              </w:rPr>
              <w:t>Mobile contact number</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language</w:t>
            </w:r>
          </w:p>
        </w:tc>
        <w:tc>
          <w:tcPr>
            <w:tcW w:type="dxa" w:w="1728"/>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176"/>
            <w:shd w:fill="F1F5F9"/>
            <w:tcMar>
              <w:top w:w="100" w:type="dxa"/>
              <w:bottom w:w="100" w:type="dxa"/>
              <w:left w:w="150" w:type="dxa"/>
              <w:right w:w="150" w:type="dxa"/>
            </w:tcMar>
            <w:vAlign w:val="center"/>
          </w:tcPr>
          <w:p>
            <w:pPr>
              <w:spacing w:after="0"/>
              <w:jc w:val="left"/>
            </w:pPr>
            <w:r>
              <w:rPr>
                <w:rFonts w:ascii="Calibri" w:hAnsi="Calibri"/>
                <w:color w:val="1E293B"/>
                <w:sz w:val="19"/>
              </w:rPr>
              <w:t>Preferred UI language code (default: en)</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incomeBracket</w:t>
            </w:r>
          </w:p>
        </w:tc>
        <w:tc>
          <w:tcPr>
            <w:tcW w:type="dxa" w:w="1728"/>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176"/>
            <w:shd w:fill="FFFFFF"/>
            <w:tcMar>
              <w:top w:w="100" w:type="dxa"/>
              <w:bottom w:w="100" w:type="dxa"/>
              <w:left w:w="150" w:type="dxa"/>
              <w:right w:w="150" w:type="dxa"/>
            </w:tcMar>
            <w:vAlign w:val="center"/>
          </w:tcPr>
          <w:p>
            <w:pPr>
              <w:spacing w:after="0"/>
              <w:jc w:val="left"/>
            </w:pPr>
            <w:r>
              <w:rPr>
                <w:rFonts w:ascii="Calibri" w:hAnsi="Calibri"/>
                <w:color w:val="1E293B"/>
                <w:sz w:val="19"/>
              </w:rPr>
              <w:t>Classification: Low, Middle, High</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refreshTokens</w:t>
            </w:r>
          </w:p>
        </w:tc>
        <w:tc>
          <w:tcPr>
            <w:tcW w:type="dxa" w:w="1728"/>
            <w:shd w:fill="F1F5F9"/>
            <w:tcMar>
              <w:top w:w="100" w:type="dxa"/>
              <w:bottom w:w="100" w:type="dxa"/>
              <w:left w:w="150" w:type="dxa"/>
              <w:right w:w="150" w:type="dxa"/>
            </w:tcMar>
            <w:vAlign w:val="center"/>
          </w:tcPr>
          <w:p>
            <w:pPr>
              <w:spacing w:after="0"/>
              <w:jc w:val="left"/>
            </w:pPr>
            <w:r>
              <w:rPr>
                <w:rFonts w:ascii="Calibri" w:hAnsi="Calibri"/>
                <w:color w:val="1E293B"/>
                <w:sz w:val="19"/>
              </w:rPr>
              <w:t>Array&lt;String&gt;</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176"/>
            <w:shd w:fill="F1F5F9"/>
            <w:tcMar>
              <w:top w:w="100" w:type="dxa"/>
              <w:bottom w:w="100" w:type="dxa"/>
              <w:left w:w="150" w:type="dxa"/>
              <w:right w:w="150" w:type="dxa"/>
            </w:tcMar>
            <w:vAlign w:val="center"/>
          </w:tcPr>
          <w:p>
            <w:pPr>
              <w:spacing w:after="0"/>
              <w:jc w:val="left"/>
            </w:pPr>
            <w:r>
              <w:rPr>
                <w:rFonts w:ascii="Calibri" w:hAnsi="Calibri"/>
                <w:color w:val="1E293B"/>
                <w:sz w:val="19"/>
              </w:rPr>
              <w:t>Active hashed refresh tokens for session rotation</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autoCategorizeEnabled</w:t>
            </w:r>
          </w:p>
        </w:tc>
        <w:tc>
          <w:tcPr>
            <w:tcW w:type="dxa" w:w="1728"/>
            <w:shd w:fill="FFFFFF"/>
            <w:tcMar>
              <w:top w:w="100" w:type="dxa"/>
              <w:bottom w:w="100" w:type="dxa"/>
              <w:left w:w="150" w:type="dxa"/>
              <w:right w:w="150" w:type="dxa"/>
            </w:tcMar>
            <w:vAlign w:val="center"/>
          </w:tcPr>
          <w:p>
            <w:pPr>
              <w:spacing w:after="0"/>
              <w:jc w:val="left"/>
            </w:pPr>
            <w:r>
              <w:rPr>
                <w:rFonts w:ascii="Calibri" w:hAnsi="Calibri"/>
                <w:color w:val="1E293B"/>
                <w:sz w:val="19"/>
              </w:rPr>
              <w:t>Boolean</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176"/>
            <w:shd w:fill="FFFFFF"/>
            <w:tcMar>
              <w:top w:w="100" w:type="dxa"/>
              <w:bottom w:w="100" w:type="dxa"/>
              <w:left w:w="150" w:type="dxa"/>
              <w:right w:w="150" w:type="dxa"/>
            </w:tcMar>
            <w:vAlign w:val="center"/>
          </w:tcPr>
          <w:p>
            <w:pPr>
              <w:spacing w:after="0"/>
              <w:jc w:val="left"/>
            </w:pPr>
            <w:r>
              <w:rPr>
                <w:rFonts w:ascii="Calibri" w:hAnsi="Calibri"/>
                <w:color w:val="1E293B"/>
                <w:sz w:val="19"/>
              </w:rPr>
              <w:t>Flag to toggle smart keyword auto-categorization</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createdAt / updatedAt</w:t>
            </w:r>
          </w:p>
        </w:tc>
        <w:tc>
          <w:tcPr>
            <w:tcW w:type="dxa" w:w="1728"/>
            <w:shd w:fill="F1F5F9"/>
            <w:tcMar>
              <w:top w:w="100" w:type="dxa"/>
              <w:bottom w:w="100" w:type="dxa"/>
              <w:left w:w="150" w:type="dxa"/>
              <w:right w:w="150" w:type="dxa"/>
            </w:tcMar>
            <w:vAlign w:val="center"/>
          </w:tcPr>
          <w:p>
            <w:pPr>
              <w:spacing w:after="0"/>
              <w:jc w:val="left"/>
            </w:pPr>
            <w:r>
              <w:rPr>
                <w:rFonts w:ascii="Calibri" w:hAnsi="Calibri"/>
                <w:color w:val="1E293B"/>
                <w:sz w:val="19"/>
              </w:rPr>
              <w:t>Date</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176"/>
            <w:shd w:fill="F1F5F9"/>
            <w:tcMar>
              <w:top w:w="100" w:type="dxa"/>
              <w:bottom w:w="100" w:type="dxa"/>
              <w:left w:w="150" w:type="dxa"/>
              <w:right w:w="150" w:type="dxa"/>
            </w:tcMar>
            <w:vAlign w:val="center"/>
          </w:tcPr>
          <w:p>
            <w:pPr>
              <w:spacing w:after="0"/>
              <w:jc w:val="left"/>
            </w:pPr>
            <w:r>
              <w:rPr>
                <w:rFonts w:ascii="Calibri" w:hAnsi="Calibri"/>
                <w:color w:val="1E293B"/>
                <w:sz w:val="19"/>
              </w:rPr>
              <w:t>Automatic Mongoose timestamps</w:t>
            </w:r>
          </w:p>
        </w:tc>
      </w:tr>
    </w:tbl>
    <w:p>
      <w:pPr>
        <w:spacing w:after="160"/>
      </w:pPr>
    </w:p>
    <w:p>
      <w:pPr>
        <w:keepNext/>
        <w:spacing w:before="200" w:after="80"/>
      </w:pPr>
      <w:r>
        <w:rPr>
          <w:rFonts w:ascii="Calibri" w:hAnsi="Calibri"/>
          <w:b/>
          <w:i/>
          <w:color w:val="334155"/>
          <w:sz w:val="24"/>
        </w:rPr>
        <w:t>6.1.2 Collection: transactions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160"/>
            <w:shd w:fill="1E3A8A"/>
            <w:tcMar>
              <w:top w:w="140" w:type="dxa"/>
              <w:bottom w:w="140" w:type="dxa"/>
              <w:left w:w="150" w:type="dxa"/>
              <w:right w:w="150" w:type="dxa"/>
            </w:tcMar>
            <w:vAlign w:val="center"/>
          </w:tcPr>
          <w:p>
            <w:pPr>
              <w:spacing w:after="0"/>
              <w:jc w:val="left"/>
            </w:pPr>
            <w:r>
              <w:rPr>
                <w:rFonts w:ascii="Calibri" w:hAnsi="Calibri"/>
                <w:b/>
                <w:color w:val="FFFFFF"/>
                <w:sz w:val="20"/>
              </w:rPr>
              <w:t>Field Name</w:t>
            </w:r>
          </w:p>
        </w:tc>
        <w:tc>
          <w:tcPr>
            <w:tcW w:type="dxa" w:w="2016"/>
            <w:shd w:fill="1E3A8A"/>
            <w:tcMar>
              <w:top w:w="140" w:type="dxa"/>
              <w:bottom w:w="140" w:type="dxa"/>
              <w:left w:w="150" w:type="dxa"/>
              <w:right w:w="150" w:type="dxa"/>
            </w:tcMar>
            <w:vAlign w:val="center"/>
          </w:tcPr>
          <w:p>
            <w:pPr>
              <w:spacing w:after="0"/>
              <w:jc w:val="left"/>
            </w:pPr>
            <w:r>
              <w:rPr>
                <w:rFonts w:ascii="Calibri" w:hAnsi="Calibri"/>
                <w:b/>
                <w:color w:val="FFFFFF"/>
                <w:sz w:val="20"/>
              </w:rPr>
              <w:t>Data Type</w:t>
            </w:r>
          </w:p>
        </w:tc>
        <w:tc>
          <w:tcPr>
            <w:tcW w:type="dxa" w:w="1296"/>
            <w:shd w:fill="1E3A8A"/>
            <w:tcMar>
              <w:top w:w="140" w:type="dxa"/>
              <w:bottom w:w="140" w:type="dxa"/>
              <w:left w:w="150" w:type="dxa"/>
              <w:right w:w="150" w:type="dxa"/>
            </w:tcMar>
            <w:vAlign w:val="center"/>
          </w:tcPr>
          <w:p>
            <w:pPr>
              <w:spacing w:after="0"/>
              <w:jc w:val="left"/>
            </w:pPr>
            <w:r>
              <w:rPr>
                <w:rFonts w:ascii="Calibri" w:hAnsi="Calibri"/>
                <w:b/>
                <w:color w:val="FFFFFF"/>
                <w:sz w:val="20"/>
              </w:rPr>
              <w:t>Required</w:t>
            </w:r>
          </w:p>
        </w:tc>
        <w:tc>
          <w:tcPr>
            <w:tcW w:type="dxa" w:w="3888"/>
            <w:shd w:fill="1E3A8A"/>
            <w:tcMar>
              <w:top w:w="140" w:type="dxa"/>
              <w:bottom w:w="140" w:type="dxa"/>
              <w:left w:w="150" w:type="dxa"/>
              <w:right w:w="150" w:type="dxa"/>
            </w:tcMar>
            <w:vAlign w:val="center"/>
          </w:tcPr>
          <w:p>
            <w:pPr>
              <w:spacing w:after="0"/>
              <w:jc w:val="left"/>
            </w:pPr>
            <w:r>
              <w:rPr>
                <w:rFonts w:ascii="Calibri" w:hAnsi="Calibri"/>
                <w:b/>
                <w:color w:val="FFFFFF"/>
                <w:sz w:val="20"/>
              </w:rPr>
              <w:t>Description</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_id</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ObjectId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Unique transaction record identifier</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userId</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ObjectId (ref: User)</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Foreign key reference to parent User</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type</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String (Enum)</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Transaction classification: 'Income' or 'Expense'</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description</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Transaction title or merchant name</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category</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Category label (e.g., Consulting, Software/SaaS, Travel)</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amount</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Monetary transaction value (positive float)</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transactionDate</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Date</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Date when transaction occurred</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notes</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Optional remarks, client details, or tax notes</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receiptImage</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String (URL/Base64)</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Attached image proof or scanned receipt file</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createdAt / updatedAt</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Date</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Automatic timestamps</w:t>
            </w:r>
          </w:p>
        </w:tc>
      </w:tr>
    </w:tbl>
    <w:p>
      <w:pPr>
        <w:spacing w:after="160"/>
      </w:pPr>
    </w:p>
    <w:p>
      <w:pPr>
        <w:keepNext/>
        <w:spacing w:before="200" w:after="80"/>
      </w:pPr>
      <w:r>
        <w:rPr>
          <w:rFonts w:ascii="Calibri" w:hAnsi="Calibri"/>
          <w:b/>
          <w:i/>
          <w:color w:val="334155"/>
          <w:sz w:val="24"/>
        </w:rPr>
        <w:t>6.1.3 Collection: budgets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160"/>
            <w:shd w:fill="1E3A8A"/>
            <w:tcMar>
              <w:top w:w="140" w:type="dxa"/>
              <w:bottom w:w="140" w:type="dxa"/>
              <w:left w:w="150" w:type="dxa"/>
              <w:right w:w="150" w:type="dxa"/>
            </w:tcMar>
            <w:vAlign w:val="center"/>
          </w:tcPr>
          <w:p>
            <w:pPr>
              <w:spacing w:after="0"/>
              <w:jc w:val="left"/>
            </w:pPr>
            <w:r>
              <w:rPr>
                <w:rFonts w:ascii="Calibri" w:hAnsi="Calibri"/>
                <w:b/>
                <w:color w:val="FFFFFF"/>
                <w:sz w:val="20"/>
              </w:rPr>
              <w:t>Field Name</w:t>
            </w:r>
          </w:p>
        </w:tc>
        <w:tc>
          <w:tcPr>
            <w:tcW w:type="dxa" w:w="2016"/>
            <w:shd w:fill="1E3A8A"/>
            <w:tcMar>
              <w:top w:w="140" w:type="dxa"/>
              <w:bottom w:w="140" w:type="dxa"/>
              <w:left w:w="150" w:type="dxa"/>
              <w:right w:w="150" w:type="dxa"/>
            </w:tcMar>
            <w:vAlign w:val="center"/>
          </w:tcPr>
          <w:p>
            <w:pPr>
              <w:spacing w:after="0"/>
              <w:jc w:val="left"/>
            </w:pPr>
            <w:r>
              <w:rPr>
                <w:rFonts w:ascii="Calibri" w:hAnsi="Calibri"/>
                <w:b/>
                <w:color w:val="FFFFFF"/>
                <w:sz w:val="20"/>
              </w:rPr>
              <w:t>Data Type</w:t>
            </w:r>
          </w:p>
        </w:tc>
        <w:tc>
          <w:tcPr>
            <w:tcW w:type="dxa" w:w="1296"/>
            <w:shd w:fill="1E3A8A"/>
            <w:tcMar>
              <w:top w:w="140" w:type="dxa"/>
              <w:bottom w:w="140" w:type="dxa"/>
              <w:left w:w="150" w:type="dxa"/>
              <w:right w:w="150" w:type="dxa"/>
            </w:tcMar>
            <w:vAlign w:val="center"/>
          </w:tcPr>
          <w:p>
            <w:pPr>
              <w:spacing w:after="0"/>
              <w:jc w:val="left"/>
            </w:pPr>
            <w:r>
              <w:rPr>
                <w:rFonts w:ascii="Calibri" w:hAnsi="Calibri"/>
                <w:b/>
                <w:color w:val="FFFFFF"/>
                <w:sz w:val="20"/>
              </w:rPr>
              <w:t>Required</w:t>
            </w:r>
          </w:p>
        </w:tc>
        <w:tc>
          <w:tcPr>
            <w:tcW w:type="dxa" w:w="3888"/>
            <w:shd w:fill="1E3A8A"/>
            <w:tcMar>
              <w:top w:w="140" w:type="dxa"/>
              <w:bottom w:w="140" w:type="dxa"/>
              <w:left w:w="150" w:type="dxa"/>
              <w:right w:w="150" w:type="dxa"/>
            </w:tcMar>
            <w:vAlign w:val="center"/>
          </w:tcPr>
          <w:p>
            <w:pPr>
              <w:spacing w:after="0"/>
              <w:jc w:val="left"/>
            </w:pPr>
            <w:r>
              <w:rPr>
                <w:rFonts w:ascii="Calibri" w:hAnsi="Calibri"/>
                <w:b/>
                <w:color w:val="FFFFFF"/>
                <w:sz w:val="20"/>
              </w:rPr>
              <w:t>Description</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_id</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ObjectId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Unique budget entry identifier</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userId</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ObjectId (ref: User)</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Reference to associated user</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category</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Expense category name being capped</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limit</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Maximum allocated monthly spending limit</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month</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Applicable billing month (e.g., '2026-08' or 'Aug 2026')</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description</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Budget justification or notes</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createdAt / updatedAt</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Date</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Automatic timestamps</w:t>
            </w:r>
          </w:p>
        </w:tc>
      </w:tr>
    </w:tbl>
    <w:p>
      <w:pPr>
        <w:spacing w:after="160"/>
      </w:pPr>
    </w:p>
    <w:p>
      <w:pPr>
        <w:keepNext/>
        <w:spacing w:before="200" w:after="80"/>
      </w:pPr>
      <w:r>
        <w:rPr>
          <w:rFonts w:ascii="Calibri" w:hAnsi="Calibri"/>
          <w:b/>
          <w:i/>
          <w:color w:val="334155"/>
          <w:sz w:val="24"/>
        </w:rPr>
        <w:t>6.1.4 Collection: categories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160"/>
            <w:shd w:fill="1E3A8A"/>
            <w:tcMar>
              <w:top w:w="140" w:type="dxa"/>
              <w:bottom w:w="140" w:type="dxa"/>
              <w:left w:w="150" w:type="dxa"/>
              <w:right w:w="150" w:type="dxa"/>
            </w:tcMar>
            <w:vAlign w:val="center"/>
          </w:tcPr>
          <w:p>
            <w:pPr>
              <w:spacing w:after="0"/>
              <w:jc w:val="left"/>
            </w:pPr>
            <w:r>
              <w:rPr>
                <w:rFonts w:ascii="Calibri" w:hAnsi="Calibri"/>
                <w:b/>
                <w:color w:val="FFFFFF"/>
                <w:sz w:val="20"/>
              </w:rPr>
              <w:t>Field Name</w:t>
            </w:r>
          </w:p>
        </w:tc>
        <w:tc>
          <w:tcPr>
            <w:tcW w:type="dxa" w:w="2016"/>
            <w:shd w:fill="1E3A8A"/>
            <w:tcMar>
              <w:top w:w="140" w:type="dxa"/>
              <w:bottom w:w="140" w:type="dxa"/>
              <w:left w:w="150" w:type="dxa"/>
              <w:right w:w="150" w:type="dxa"/>
            </w:tcMar>
            <w:vAlign w:val="center"/>
          </w:tcPr>
          <w:p>
            <w:pPr>
              <w:spacing w:after="0"/>
              <w:jc w:val="left"/>
            </w:pPr>
            <w:r>
              <w:rPr>
                <w:rFonts w:ascii="Calibri" w:hAnsi="Calibri"/>
                <w:b/>
                <w:color w:val="FFFFFF"/>
                <w:sz w:val="20"/>
              </w:rPr>
              <w:t>Data Type</w:t>
            </w:r>
          </w:p>
        </w:tc>
        <w:tc>
          <w:tcPr>
            <w:tcW w:type="dxa" w:w="1296"/>
            <w:shd w:fill="1E3A8A"/>
            <w:tcMar>
              <w:top w:w="140" w:type="dxa"/>
              <w:bottom w:w="140" w:type="dxa"/>
              <w:left w:w="150" w:type="dxa"/>
              <w:right w:w="150" w:type="dxa"/>
            </w:tcMar>
            <w:vAlign w:val="center"/>
          </w:tcPr>
          <w:p>
            <w:pPr>
              <w:spacing w:after="0"/>
              <w:jc w:val="left"/>
            </w:pPr>
            <w:r>
              <w:rPr>
                <w:rFonts w:ascii="Calibri" w:hAnsi="Calibri"/>
                <w:b/>
                <w:color w:val="FFFFFF"/>
                <w:sz w:val="20"/>
              </w:rPr>
              <w:t>Required</w:t>
            </w:r>
          </w:p>
        </w:tc>
        <w:tc>
          <w:tcPr>
            <w:tcW w:type="dxa" w:w="3888"/>
            <w:shd w:fill="1E3A8A"/>
            <w:tcMar>
              <w:top w:w="140" w:type="dxa"/>
              <w:bottom w:w="140" w:type="dxa"/>
              <w:left w:w="150" w:type="dxa"/>
              <w:right w:w="150" w:type="dxa"/>
            </w:tcMar>
            <w:vAlign w:val="center"/>
          </w:tcPr>
          <w:p>
            <w:pPr>
              <w:spacing w:after="0"/>
              <w:jc w:val="left"/>
            </w:pPr>
            <w:r>
              <w:rPr>
                <w:rFonts w:ascii="Calibri" w:hAnsi="Calibri"/>
                <w:b/>
                <w:color w:val="FFFFFF"/>
                <w:sz w:val="20"/>
              </w:rPr>
              <w:t>Description</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_id</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ObjectId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Unique category identifier</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userId</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ObjectId (ref: User)</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User ID for custom categories (Null for system defaults)</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name</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Category name (e.g., Hardware/Gadgets, Marketing/Ads)</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type</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String (Enum)</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'income' or 'expense'</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color</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Hexadecimal color code for chart tags (e.g., #3B82F6)</w:t>
            </w:r>
          </w:p>
        </w:tc>
      </w:tr>
      <w:tr>
        <w:tc>
          <w:tcPr>
            <w:tcW w:type="dxa" w:w="2160"/>
            <w:shd w:fill="F1F5F9"/>
            <w:tcMar>
              <w:top w:w="100" w:type="dxa"/>
              <w:bottom w:w="100" w:type="dxa"/>
              <w:left w:w="150" w:type="dxa"/>
              <w:right w:w="150" w:type="dxa"/>
            </w:tcMar>
            <w:vAlign w:val="center"/>
          </w:tcPr>
          <w:p>
            <w:pPr>
              <w:spacing w:after="0"/>
              <w:jc w:val="left"/>
            </w:pPr>
            <w:r>
              <w:rPr>
                <w:rFonts w:ascii="Calibri" w:hAnsi="Calibri"/>
                <w:color w:val="1E293B"/>
                <w:sz w:val="19"/>
              </w:rPr>
              <w:t>icon</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Icon identifier class (e.g., 'laptop', 'coffee', 'briefcase')</w:t>
            </w:r>
          </w:p>
        </w:tc>
      </w:tr>
      <w:tr>
        <w:tc>
          <w:tcPr>
            <w:tcW w:type="dxa" w:w="2160"/>
            <w:shd w:fill="FFFFFF"/>
            <w:tcMar>
              <w:top w:w="100" w:type="dxa"/>
              <w:bottom w:w="100" w:type="dxa"/>
              <w:left w:w="150" w:type="dxa"/>
              <w:right w:w="150" w:type="dxa"/>
            </w:tcMar>
            <w:vAlign w:val="center"/>
          </w:tcPr>
          <w:p>
            <w:pPr>
              <w:spacing w:after="0"/>
              <w:jc w:val="left"/>
            </w:pPr>
            <w:r>
              <w:rPr>
                <w:rFonts w:ascii="Calibri" w:hAnsi="Calibri"/>
                <w:color w:val="1E293B"/>
                <w:sz w:val="19"/>
              </w:rPr>
              <w:t>isDefault</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Boolean</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True if seeded standard category; False if custom user-created</w:t>
            </w:r>
          </w:p>
        </w:tc>
      </w:tr>
    </w:tbl>
    <w:p>
      <w:pPr>
        <w:spacing w:after="160"/>
      </w:pPr>
    </w:p>
    <w:p>
      <w:pPr>
        <w:keepNext/>
        <w:spacing w:before="200" w:after="80"/>
      </w:pPr>
      <w:r>
        <w:rPr>
          <w:rFonts w:ascii="Calibri" w:hAnsi="Calibri"/>
          <w:b/>
          <w:i/>
          <w:color w:val="334155"/>
          <w:sz w:val="24"/>
        </w:rPr>
        <w:t>6.1.5 Collection: taxestimates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04"/>
            <w:shd w:fill="1E3A8A"/>
            <w:tcMar>
              <w:top w:w="140" w:type="dxa"/>
              <w:bottom w:w="140" w:type="dxa"/>
              <w:left w:w="150" w:type="dxa"/>
              <w:right w:w="150" w:type="dxa"/>
            </w:tcMar>
            <w:vAlign w:val="center"/>
          </w:tcPr>
          <w:p>
            <w:pPr>
              <w:spacing w:after="0"/>
              <w:jc w:val="left"/>
            </w:pPr>
            <w:r>
              <w:rPr>
                <w:rFonts w:ascii="Calibri" w:hAnsi="Calibri"/>
                <w:b/>
                <w:color w:val="FFFFFF"/>
                <w:sz w:val="20"/>
              </w:rPr>
              <w:t>Field Name</w:t>
            </w:r>
          </w:p>
        </w:tc>
        <w:tc>
          <w:tcPr>
            <w:tcW w:type="dxa" w:w="1872"/>
            <w:shd w:fill="1E3A8A"/>
            <w:tcMar>
              <w:top w:w="140" w:type="dxa"/>
              <w:bottom w:w="140" w:type="dxa"/>
              <w:left w:w="150" w:type="dxa"/>
              <w:right w:w="150" w:type="dxa"/>
            </w:tcMar>
            <w:vAlign w:val="center"/>
          </w:tcPr>
          <w:p>
            <w:pPr>
              <w:spacing w:after="0"/>
              <w:jc w:val="left"/>
            </w:pPr>
            <w:r>
              <w:rPr>
                <w:rFonts w:ascii="Calibri" w:hAnsi="Calibri"/>
                <w:b/>
                <w:color w:val="FFFFFF"/>
                <w:sz w:val="20"/>
              </w:rPr>
              <w:t>Data Type</w:t>
            </w:r>
          </w:p>
        </w:tc>
        <w:tc>
          <w:tcPr>
            <w:tcW w:type="dxa" w:w="1152"/>
            <w:shd w:fill="1E3A8A"/>
            <w:tcMar>
              <w:top w:w="140" w:type="dxa"/>
              <w:bottom w:w="140" w:type="dxa"/>
              <w:left w:w="150" w:type="dxa"/>
              <w:right w:w="150" w:type="dxa"/>
            </w:tcMar>
            <w:vAlign w:val="center"/>
          </w:tcPr>
          <w:p>
            <w:pPr>
              <w:spacing w:after="0"/>
              <w:jc w:val="left"/>
            </w:pPr>
            <w:r>
              <w:rPr>
                <w:rFonts w:ascii="Calibri" w:hAnsi="Calibri"/>
                <w:b/>
                <w:color w:val="FFFFFF"/>
                <w:sz w:val="20"/>
              </w:rPr>
              <w:t>Required</w:t>
            </w:r>
          </w:p>
        </w:tc>
        <w:tc>
          <w:tcPr>
            <w:tcW w:type="dxa" w:w="4032"/>
            <w:shd w:fill="1E3A8A"/>
            <w:tcMar>
              <w:top w:w="140" w:type="dxa"/>
              <w:bottom w:w="140" w:type="dxa"/>
              <w:left w:w="150" w:type="dxa"/>
              <w:right w:w="150" w:type="dxa"/>
            </w:tcMar>
            <w:vAlign w:val="center"/>
          </w:tcPr>
          <w:p>
            <w:pPr>
              <w:spacing w:after="0"/>
              <w:jc w:val="left"/>
            </w:pPr>
            <w:r>
              <w:rPr>
                <w:rFonts w:ascii="Calibri" w:hAnsi="Calibri"/>
                <w:b/>
                <w:color w:val="FFFFFF"/>
                <w:sz w:val="20"/>
              </w:rPr>
              <w:t>Description</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_id</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ObjectId</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Unique tax calculation record identifier</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userId</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ObjectId (ref: User)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Reference to associated user</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country</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Selected country jurisdiction (e.g., India, USA, UK)</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state</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Selected state / province (e.g., California, Ontario, Scotland)</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quarter</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String (Enum)</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Fiscal quarter: 'Q1', 'Q2', 'Q3', 'Q4'</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grossIncomeForQuarter</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Total gross earnings recorded for the quarter</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businessExpenses</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Allowable business expenditure deductions</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retirementContribution</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Retirement savings deductions (e.g., 401k, NPS, RRSP)</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healthInsurancePremiums</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Qualified medical insurance deductions</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homeOfficeDeduction</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Home workspace and utility deductions</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taxableIncome</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Computed net quarterly taxable amount</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annualTaxableIncome</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Annualized taxable base (Quarterly x 4)</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annualEstimatedTax</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Total projected annual tax liability</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estimatedTax</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Quarterly tax payable (Annual Tax / 4)</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dueDate</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Date</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Statutory quarterly payment deadline</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status</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Payment tracking status: 'Pending' or 'Paid'</w:t>
            </w:r>
          </w:p>
        </w:tc>
      </w:tr>
    </w:tbl>
    <w:p>
      <w:pPr>
        <w:spacing w:after="160"/>
      </w:pPr>
    </w:p>
    <w:p>
      <w:pPr>
        <w:keepNext/>
        <w:spacing w:before="200" w:after="80"/>
      </w:pPr>
      <w:r>
        <w:rPr>
          <w:rFonts w:ascii="Calibri" w:hAnsi="Calibri"/>
          <w:b/>
          <w:i/>
          <w:color w:val="334155"/>
          <w:sz w:val="24"/>
        </w:rPr>
        <w:t>6.1.6 Collection: reports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04"/>
            <w:shd w:fill="1E3A8A"/>
            <w:tcMar>
              <w:top w:w="140" w:type="dxa"/>
              <w:bottom w:w="140" w:type="dxa"/>
              <w:left w:w="150" w:type="dxa"/>
              <w:right w:w="150" w:type="dxa"/>
            </w:tcMar>
            <w:vAlign w:val="center"/>
          </w:tcPr>
          <w:p>
            <w:pPr>
              <w:spacing w:after="0"/>
              <w:jc w:val="left"/>
            </w:pPr>
            <w:r>
              <w:rPr>
                <w:rFonts w:ascii="Calibri" w:hAnsi="Calibri"/>
                <w:b/>
                <w:color w:val="FFFFFF"/>
                <w:sz w:val="20"/>
              </w:rPr>
              <w:t>Field Name</w:t>
            </w:r>
          </w:p>
        </w:tc>
        <w:tc>
          <w:tcPr>
            <w:tcW w:type="dxa" w:w="1872"/>
            <w:shd w:fill="1E3A8A"/>
            <w:tcMar>
              <w:top w:w="140" w:type="dxa"/>
              <w:bottom w:w="140" w:type="dxa"/>
              <w:left w:w="150" w:type="dxa"/>
              <w:right w:w="150" w:type="dxa"/>
            </w:tcMar>
            <w:vAlign w:val="center"/>
          </w:tcPr>
          <w:p>
            <w:pPr>
              <w:spacing w:after="0"/>
              <w:jc w:val="left"/>
            </w:pPr>
            <w:r>
              <w:rPr>
                <w:rFonts w:ascii="Calibri" w:hAnsi="Calibri"/>
                <w:b/>
                <w:color w:val="FFFFFF"/>
                <w:sz w:val="20"/>
              </w:rPr>
              <w:t>Data Type</w:t>
            </w:r>
          </w:p>
        </w:tc>
        <w:tc>
          <w:tcPr>
            <w:tcW w:type="dxa" w:w="1152"/>
            <w:shd w:fill="1E3A8A"/>
            <w:tcMar>
              <w:top w:w="140" w:type="dxa"/>
              <w:bottom w:w="140" w:type="dxa"/>
              <w:left w:w="150" w:type="dxa"/>
              <w:right w:w="150" w:type="dxa"/>
            </w:tcMar>
            <w:vAlign w:val="center"/>
          </w:tcPr>
          <w:p>
            <w:pPr>
              <w:spacing w:after="0"/>
              <w:jc w:val="left"/>
            </w:pPr>
            <w:r>
              <w:rPr>
                <w:rFonts w:ascii="Calibri" w:hAnsi="Calibri"/>
                <w:b/>
                <w:color w:val="FFFFFF"/>
                <w:sz w:val="20"/>
              </w:rPr>
              <w:t>Required</w:t>
            </w:r>
          </w:p>
        </w:tc>
        <w:tc>
          <w:tcPr>
            <w:tcW w:type="dxa" w:w="4032"/>
            <w:shd w:fill="1E3A8A"/>
            <w:tcMar>
              <w:top w:w="140" w:type="dxa"/>
              <w:bottom w:w="140" w:type="dxa"/>
              <w:left w:w="150" w:type="dxa"/>
              <w:right w:w="150" w:type="dxa"/>
            </w:tcMar>
            <w:vAlign w:val="center"/>
          </w:tcPr>
          <w:p>
            <w:pPr>
              <w:spacing w:after="0"/>
              <w:jc w:val="left"/>
            </w:pPr>
            <w:r>
              <w:rPr>
                <w:rFonts w:ascii="Calibri" w:hAnsi="Calibri"/>
                <w:b/>
                <w:color w:val="FFFFFF"/>
                <w:sz w:val="20"/>
              </w:rPr>
              <w:t>Description</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_id</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ObjectId</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Unique report metadata identifier</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userId</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ObjectId (ref: User)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Reference to user who generated report</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reportType</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String (Enum)</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Income Statement, Expense Breakdown, Summary, Tax Summary</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period</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String</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Reporting timeframe (e.g., 'Current Month', 'Q2 2026', 'Annual')</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periodStart / periodEnd</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Date</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Computed UTC date boundaries for data aggregation</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format</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String (Enum)</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Export file format: 'PDF' or 'CSV'</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totalIncome</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Aggregated gross income within period</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totalExpenses</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Aggregated total expenses within period</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netSavings</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Number</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Net profit/savings balance (Income - Expenses)</w:t>
            </w:r>
          </w:p>
        </w:tc>
      </w:tr>
      <w:tr>
        <w:tc>
          <w:tcPr>
            <w:tcW w:type="dxa" w:w="2304"/>
            <w:shd w:fill="F1F5F9"/>
            <w:tcMar>
              <w:top w:w="100" w:type="dxa"/>
              <w:bottom w:w="100" w:type="dxa"/>
              <w:left w:w="150" w:type="dxa"/>
              <w:right w:w="150" w:type="dxa"/>
            </w:tcMar>
            <w:vAlign w:val="center"/>
          </w:tcPr>
          <w:p>
            <w:pPr>
              <w:spacing w:after="0"/>
              <w:jc w:val="left"/>
            </w:pPr>
            <w:r>
              <w:rPr>
                <w:rFonts w:ascii="Calibri" w:hAnsi="Calibri"/>
                <w:color w:val="1E293B"/>
                <w:sz w:val="19"/>
              </w:rPr>
              <w:t>data</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Object</w:t>
            </w:r>
          </w:p>
        </w:tc>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Cached breakdown JSON payload</w:t>
            </w:r>
          </w:p>
        </w:tc>
      </w:tr>
      <w:tr>
        <w:tc>
          <w:tcPr>
            <w:tcW w:type="dxa" w:w="2304"/>
            <w:shd w:fill="FFFFFF"/>
            <w:tcMar>
              <w:top w:w="100" w:type="dxa"/>
              <w:bottom w:w="100" w:type="dxa"/>
              <w:left w:w="150" w:type="dxa"/>
              <w:right w:w="150" w:type="dxa"/>
            </w:tcMar>
            <w:vAlign w:val="center"/>
          </w:tcPr>
          <w:p>
            <w:pPr>
              <w:spacing w:after="0"/>
              <w:jc w:val="left"/>
            </w:pPr>
            <w:r>
              <w:rPr>
                <w:rFonts w:ascii="Calibri" w:hAnsi="Calibri"/>
                <w:color w:val="1E293B"/>
                <w:sz w:val="19"/>
              </w:rPr>
              <w:t>createdAt</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Date</w:t>
            </w:r>
          </w:p>
        </w:tc>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Timestamp of report generation</w:t>
            </w:r>
          </w:p>
        </w:tc>
      </w:tr>
    </w:tbl>
    <w:p>
      <w:pPr>
        <w:spacing w:after="160"/>
      </w:pPr>
    </w:p>
    <w:p>
      <w:pPr>
        <w:keepNext/>
        <w:spacing w:before="200" w:after="80"/>
      </w:pPr>
      <w:r>
        <w:rPr>
          <w:rFonts w:ascii="Calibri" w:hAnsi="Calibri"/>
          <w:b/>
          <w:i/>
          <w:color w:val="334155"/>
          <w:sz w:val="24"/>
        </w:rPr>
        <w:t>6.1.7 Collections: alerts and chats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584"/>
            <w:shd w:fill="1E3A8A"/>
            <w:tcMar>
              <w:top w:w="140" w:type="dxa"/>
              <w:bottom w:w="140" w:type="dxa"/>
              <w:left w:w="150" w:type="dxa"/>
              <w:right w:w="150" w:type="dxa"/>
            </w:tcMar>
            <w:vAlign w:val="center"/>
          </w:tcPr>
          <w:p>
            <w:pPr>
              <w:spacing w:after="0"/>
              <w:jc w:val="left"/>
            </w:pPr>
            <w:r>
              <w:rPr>
                <w:rFonts w:ascii="Calibri" w:hAnsi="Calibri"/>
                <w:b/>
                <w:color w:val="FFFFFF"/>
                <w:sz w:val="20"/>
              </w:rPr>
              <w:t>Collection</w:t>
            </w:r>
          </w:p>
        </w:tc>
        <w:tc>
          <w:tcPr>
            <w:tcW w:type="dxa" w:w="2592"/>
            <w:shd w:fill="1E3A8A"/>
            <w:tcMar>
              <w:top w:w="140" w:type="dxa"/>
              <w:bottom w:w="140" w:type="dxa"/>
              <w:left w:w="150" w:type="dxa"/>
              <w:right w:w="150" w:type="dxa"/>
            </w:tcMar>
            <w:vAlign w:val="center"/>
          </w:tcPr>
          <w:p>
            <w:pPr>
              <w:spacing w:after="0"/>
              <w:jc w:val="left"/>
            </w:pPr>
            <w:r>
              <w:rPr>
                <w:rFonts w:ascii="Calibri" w:hAnsi="Calibri"/>
                <w:b/>
                <w:color w:val="FFFFFF"/>
                <w:sz w:val="20"/>
              </w:rPr>
              <w:t>Key Fields</w:t>
            </w:r>
          </w:p>
        </w:tc>
        <w:tc>
          <w:tcPr>
            <w:tcW w:type="dxa" w:w="2016"/>
            <w:shd w:fill="1E3A8A"/>
            <w:tcMar>
              <w:top w:w="140" w:type="dxa"/>
              <w:bottom w:w="140" w:type="dxa"/>
              <w:left w:w="150" w:type="dxa"/>
              <w:right w:w="150" w:type="dxa"/>
            </w:tcMar>
            <w:vAlign w:val="center"/>
          </w:tcPr>
          <w:p>
            <w:pPr>
              <w:spacing w:after="0"/>
              <w:jc w:val="left"/>
            </w:pPr>
            <w:r>
              <w:rPr>
                <w:rFonts w:ascii="Calibri" w:hAnsi="Calibri"/>
                <w:b/>
                <w:color w:val="FFFFFF"/>
                <w:sz w:val="20"/>
              </w:rPr>
              <w:t>Data Types</w:t>
            </w:r>
          </w:p>
        </w:tc>
        <w:tc>
          <w:tcPr>
            <w:tcW w:type="dxa" w:w="3168"/>
            <w:shd w:fill="1E3A8A"/>
            <w:tcMar>
              <w:top w:w="140" w:type="dxa"/>
              <w:bottom w:w="140" w:type="dxa"/>
              <w:left w:w="150" w:type="dxa"/>
              <w:right w:w="150" w:type="dxa"/>
            </w:tcMar>
            <w:vAlign w:val="center"/>
          </w:tcPr>
          <w:p>
            <w:pPr>
              <w:spacing w:after="0"/>
              <w:jc w:val="left"/>
            </w:pPr>
            <w:r>
              <w:rPr>
                <w:rFonts w:ascii="Calibri" w:hAnsi="Calibri"/>
                <w:b/>
                <w:color w:val="FFFFFF"/>
                <w:sz w:val="20"/>
              </w:rPr>
              <w:t>Functional Purpose</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alerts</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_id, userId, type, message, alertDate, isRead</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ObjectId, ObjectId, String, String, Date, Boolean</w:t>
            </w:r>
          </w:p>
        </w:tc>
        <w:tc>
          <w:tcPr>
            <w:tcW w:type="dxa" w:w="3168"/>
            <w:shd w:fill="FFFFFF"/>
            <w:tcMar>
              <w:top w:w="100" w:type="dxa"/>
              <w:bottom w:w="100" w:type="dxa"/>
              <w:left w:w="150" w:type="dxa"/>
              <w:right w:w="150" w:type="dxa"/>
            </w:tcMar>
            <w:vAlign w:val="center"/>
          </w:tcPr>
          <w:p>
            <w:pPr>
              <w:spacing w:after="0"/>
              <w:jc w:val="left"/>
            </w:pPr>
            <w:r>
              <w:rPr>
                <w:rFonts w:ascii="Calibri" w:hAnsi="Calibri"/>
                <w:color w:val="1E293B"/>
                <w:sz w:val="19"/>
              </w:rPr>
              <w:t>Stores statutory tax deadline reminders, budget overspending warnings, and system notifications.</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chats</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_id, user, title, messages[{sender, text, timestamp}], createdAt</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ObjectId, ObjectId, String, Array&lt;SubDocument&gt;, Date</w:t>
            </w:r>
          </w:p>
        </w:tc>
        <w:tc>
          <w:tcPr>
            <w:tcW w:type="dxa" w:w="3168"/>
            <w:shd w:fill="F1F5F9"/>
            <w:tcMar>
              <w:top w:w="100" w:type="dxa"/>
              <w:bottom w:w="100" w:type="dxa"/>
              <w:left w:w="150" w:type="dxa"/>
              <w:right w:w="150" w:type="dxa"/>
            </w:tcMar>
            <w:vAlign w:val="center"/>
          </w:tcPr>
          <w:p>
            <w:pPr>
              <w:spacing w:after="0"/>
              <w:jc w:val="left"/>
            </w:pPr>
            <w:r>
              <w:rPr>
                <w:rFonts w:ascii="Calibri" w:hAnsi="Calibri"/>
                <w:color w:val="1E293B"/>
                <w:sz w:val="19"/>
              </w:rPr>
              <w:t>Maintains conversational message history and sessions between user and AI Financial Assistant.</w:t>
            </w:r>
          </w:p>
        </w:tc>
      </w:tr>
    </w:tbl>
    <w:p>
      <w:pPr>
        <w:spacing w:after="160"/>
      </w:pPr>
    </w:p>
    <w:p>
      <w:pPr>
        <w:keepNext/>
        <w:spacing w:before="360" w:after="160"/>
      </w:pPr>
      <w:r>
        <w:rPr>
          <w:rFonts w:ascii="Calibri" w:hAnsi="Calibri"/>
          <w:b/>
          <w:color w:val="1E3A8A"/>
          <w:sz w:val="36"/>
        </w:rPr>
        <w:t>7. Module Implementation</w:t>
      </w:r>
    </w:p>
    <w:p>
      <w:pPr>
        <w:keepNext/>
        <w:spacing w:before="280" w:after="120"/>
      </w:pPr>
      <w:r>
        <w:rPr>
          <w:rFonts w:ascii="Calibri" w:hAnsi="Calibri"/>
          <w:b/>
          <w:color w:val="334155"/>
          <w:sz w:val="28"/>
        </w:rPr>
        <w:t>7.1 Income &amp; Expense Management</w:t>
      </w:r>
    </w:p>
    <w:p>
      <w:pPr>
        <w:spacing w:after="120" w:line="276" w:lineRule="auto"/>
        <w:jc w:val="both"/>
      </w:pPr>
      <w:r>
        <w:rPr>
          <w:rFonts w:ascii="Calibri" w:hAnsi="Calibri"/>
          <w:b w:val="0"/>
          <w:i w:val="0"/>
          <w:color w:val="1E293B"/>
          <w:sz w:val="22"/>
        </w:rPr>
        <w:t>The Transaction Management module provides complete financial logging capabilities with full CRUD lifecycle support. Users can record multi-source income (e.g., freelance design retainers, technical writing, consulting fees) and operational business expenditures.</w:t>
      </w:r>
    </w:p>
    <w:p>
      <w:pPr>
        <w:spacing w:after="120" w:line="276" w:lineRule="auto"/>
        <w:jc w:val="both"/>
      </w:pPr>
      <w:r>
        <w:rPr>
          <w:rFonts w:ascii="Calibri" w:hAnsi="Calibri"/>
          <w:b w:val="0"/>
          <w:i w:val="0"/>
          <w:color w:val="1E293B"/>
          <w:sz w:val="22"/>
        </w:rPr>
        <w:t>Key implementation highlights:</w:t>
      </w:r>
    </w:p>
    <w:p>
      <w:pPr>
        <w:pStyle w:val="ListBullet"/>
        <w:spacing w:after="80" w:line="276" w:lineRule="auto"/>
        <w:jc w:val="both"/>
      </w:pPr>
      <w:r>
        <w:rPr>
          <w:rFonts w:ascii="Calibri" w:hAnsi="Calibri"/>
          <w:b/>
          <w:color w:val="1E293B"/>
          <w:sz w:val="22"/>
        </w:rPr>
        <w:t xml:space="preserve">Dedicated Ledger Views: </w:t>
      </w:r>
      <w:r>
        <w:rPr>
          <w:rFonts w:ascii="Calibri" w:hAnsi="Calibri"/>
          <w:color w:val="1E293B"/>
          <w:sz w:val="22"/>
        </w:rPr>
        <w:t>Dedicated pages for Income (/income), Expense (/expense), and comprehensive All Transactions (/transactions) equipped with real-time text search, type filtering, category filtering, and chronological sorting.</w:t>
      </w:r>
    </w:p>
    <w:p>
      <w:pPr>
        <w:pStyle w:val="ListBullet"/>
        <w:spacing w:after="80" w:line="276" w:lineRule="auto"/>
        <w:jc w:val="both"/>
      </w:pPr>
      <w:r>
        <w:rPr>
          <w:rFonts w:ascii="Calibri" w:hAnsi="Calibri"/>
          <w:b/>
          <w:color w:val="1E293B"/>
          <w:sz w:val="22"/>
        </w:rPr>
        <w:t xml:space="preserve">KPI Card Aggregation: </w:t>
      </w:r>
      <w:r>
        <w:rPr>
          <w:rFonts w:ascii="Calibri" w:hAnsi="Calibri"/>
          <w:color w:val="1E293B"/>
          <w:sz w:val="22"/>
        </w:rPr>
        <w:t>Dashboard cards automatically compute Monthly Gross Income, Monthly Expenses, Estimated Tax Due, and dynamic Savings Rate with month-over-month trend indicators.</w:t>
      </w:r>
    </w:p>
    <w:p>
      <w:pPr>
        <w:pStyle w:val="ListBullet"/>
        <w:spacing w:after="80" w:line="276" w:lineRule="auto"/>
        <w:jc w:val="both"/>
      </w:pPr>
      <w:r>
        <w:rPr>
          <w:rFonts w:ascii="Calibri" w:hAnsi="Calibri"/>
          <w:b/>
          <w:color w:val="1E293B"/>
          <w:sz w:val="22"/>
        </w:rPr>
        <w:t xml:space="preserve">Proof of Payment Attachments: </w:t>
      </w:r>
      <w:r>
        <w:rPr>
          <w:rFonts w:ascii="Calibri" w:hAnsi="Calibri"/>
          <w:color w:val="1E293B"/>
          <w:sz w:val="22"/>
        </w:rPr>
        <w:t>Enables users to attach digitized receipts directly to expense entries for audit readiness.</w:t>
      </w:r>
    </w:p>
    <w:p>
      <w:pPr>
        <w:keepNext/>
        <w:spacing w:before="280" w:after="120"/>
      </w:pPr>
      <w:r>
        <w:rPr>
          <w:rFonts w:ascii="Calibri" w:hAnsi="Calibri"/>
          <w:b/>
          <w:color w:val="334155"/>
          <w:sz w:val="28"/>
        </w:rPr>
        <w:t>7.2 Smart Receipt Scanner &amp; Multi-Modal OCR</w:t>
      </w:r>
    </w:p>
    <w:p>
      <w:pPr>
        <w:spacing w:after="120" w:line="276" w:lineRule="auto"/>
        <w:jc w:val="both"/>
      </w:pPr>
      <w:r>
        <w:rPr>
          <w:rFonts w:ascii="Calibri" w:hAnsi="Calibri"/>
          <w:b w:val="0"/>
          <w:i w:val="0"/>
          <w:color w:val="1E293B"/>
          <w:sz w:val="22"/>
        </w:rPr>
        <w:t>To eliminate manual receipt data entry, TaxPal features a Smart Scanner powered by Google Gemini Multi-Modal AI with local heuristic fallback. When a user uploads a receipt image (JPEG, PNG, WebP) or PDF:</w:t>
      </w:r>
    </w:p>
    <w:p>
      <w:pPr>
        <w:pStyle w:val="ListBullet"/>
        <w:spacing w:after="80" w:line="276" w:lineRule="auto"/>
        <w:jc w:val="both"/>
      </w:pPr>
      <w:r>
        <w:rPr>
          <w:rFonts w:ascii="Calibri" w:hAnsi="Calibri"/>
          <w:b/>
          <w:color w:val="1E293B"/>
          <w:sz w:val="22"/>
        </w:rPr>
        <w:t xml:space="preserve">Multi-Modal Extraction: </w:t>
      </w:r>
      <w:r>
        <w:rPr>
          <w:rFonts w:ascii="Calibri" w:hAnsi="Calibri"/>
          <w:color w:val="1E293B"/>
          <w:sz w:val="22"/>
        </w:rPr>
        <w:t>The backend streams the image buffer to Gemini Vision models with structured prompts instructing it to extract Vendor Name, Total Amount, Transaction Date, Tax Amount, and Category.</w:t>
      </w:r>
    </w:p>
    <w:p>
      <w:pPr>
        <w:pStyle w:val="ListBullet"/>
        <w:spacing w:after="80" w:line="276" w:lineRule="auto"/>
        <w:jc w:val="both"/>
      </w:pPr>
      <w:r>
        <w:rPr>
          <w:rFonts w:ascii="Calibri" w:hAnsi="Calibri"/>
          <w:b/>
          <w:color w:val="1E293B"/>
          <w:sz w:val="22"/>
        </w:rPr>
        <w:t xml:space="preserve">Intelligent Category Mapping: </w:t>
      </w:r>
      <w:r>
        <w:rPr>
          <w:rFonts w:ascii="Calibri" w:hAnsi="Calibri"/>
          <w:color w:val="1E293B"/>
          <w:sz w:val="22"/>
        </w:rPr>
        <w:t>Extracted vendor descriptions are cross-referenced with user categories using regex and keyword dictionaries (e.g., detecting Starbucks -&gt; Travel/Meals, GitHub -&gt; Software/SaaS).</w:t>
      </w:r>
    </w:p>
    <w:p>
      <w:pPr>
        <w:pStyle w:val="ListBullet"/>
        <w:spacing w:after="80" w:line="276" w:lineRule="auto"/>
        <w:jc w:val="both"/>
      </w:pPr>
      <w:r>
        <w:rPr>
          <w:rFonts w:ascii="Calibri" w:hAnsi="Calibri"/>
          <w:b/>
          <w:color w:val="1E293B"/>
          <w:sz w:val="22"/>
        </w:rPr>
        <w:t xml:space="preserve">One-Click Transaction Creation: </w:t>
      </w:r>
      <w:r>
        <w:rPr>
          <w:rFonts w:ascii="Calibri" w:hAnsi="Calibri"/>
          <w:color w:val="1E293B"/>
          <w:sz w:val="22"/>
        </w:rPr>
        <w:t>Extracted values automatically pre-populate the transaction creation form for user verification and instant saving.</w:t>
      </w:r>
    </w:p>
    <w:p>
      <w:pPr>
        <w:keepNext/>
        <w:spacing w:before="280" w:after="120"/>
      </w:pPr>
      <w:r>
        <w:rPr>
          <w:rFonts w:ascii="Calibri" w:hAnsi="Calibri"/>
          <w:b/>
          <w:color w:val="334155"/>
          <w:sz w:val="28"/>
        </w:rPr>
        <w:t>7.3 Intelligent Categorization &amp; Dynamic Budgeting</w:t>
      </w:r>
    </w:p>
    <w:p>
      <w:pPr>
        <w:spacing w:after="120" w:line="276" w:lineRule="auto"/>
        <w:jc w:val="both"/>
      </w:pPr>
      <w:r>
        <w:rPr>
          <w:rFonts w:ascii="Calibri" w:hAnsi="Calibri"/>
          <w:b w:val="0"/>
          <w:i w:val="0"/>
          <w:color w:val="1E293B"/>
          <w:sz w:val="22"/>
        </w:rPr>
        <w:t>The budgeting module empowers freelancers to establish financial discipline through automated category caps:</w:t>
      </w:r>
    </w:p>
    <w:p>
      <w:pPr>
        <w:pStyle w:val="ListBullet"/>
        <w:spacing w:after="80" w:line="276" w:lineRule="auto"/>
        <w:jc w:val="both"/>
      </w:pPr>
      <w:r>
        <w:rPr>
          <w:rFonts w:ascii="Calibri" w:hAnsi="Calibri"/>
          <w:b/>
          <w:color w:val="1E293B"/>
          <w:sz w:val="22"/>
        </w:rPr>
        <w:t xml:space="preserve">Keyword Auto-Suggest: </w:t>
      </w:r>
      <w:r>
        <w:rPr>
          <w:rFonts w:ascii="Calibri" w:hAnsi="Calibri"/>
          <w:color w:val="1E293B"/>
          <w:sz w:val="22"/>
        </w:rPr>
        <w:t>When typing a description in the transaction modal (e.g., 'AWS EC2 server'), an asynchronous watcher auto-selects the appropriate category ('Software/SaaS') before the user manually selects one.</w:t>
      </w:r>
    </w:p>
    <w:p>
      <w:pPr>
        <w:pStyle w:val="ListBullet"/>
        <w:spacing w:after="80" w:line="276" w:lineRule="auto"/>
        <w:jc w:val="both"/>
      </w:pPr>
      <w:r>
        <w:rPr>
          <w:rFonts w:ascii="Calibri" w:hAnsi="Calibri"/>
          <w:b/>
          <w:color w:val="1E293B"/>
          <w:sz w:val="22"/>
        </w:rPr>
        <w:t xml:space="preserve">Real-Time Budget Tracking: </w:t>
      </w:r>
      <w:r>
        <w:rPr>
          <w:rFonts w:ascii="Calibri" w:hAnsi="Calibri"/>
          <w:color w:val="1E293B"/>
          <w:sz w:val="22"/>
        </w:rPr>
        <w:t>The system aggregates total monthly expenses for each category and calculates utilization percentage against configured spending limits.</w:t>
      </w:r>
    </w:p>
    <w:p>
      <w:pPr>
        <w:pStyle w:val="ListBullet"/>
        <w:spacing w:after="80" w:line="276" w:lineRule="auto"/>
        <w:jc w:val="both"/>
      </w:pPr>
      <w:r>
        <w:rPr>
          <w:rFonts w:ascii="Calibri" w:hAnsi="Calibri"/>
          <w:b/>
          <w:color w:val="1E293B"/>
          <w:sz w:val="22"/>
        </w:rPr>
        <w:t xml:space="preserve">Visual Health Indicators: </w:t>
      </w:r>
      <w:r>
        <w:rPr>
          <w:rFonts w:ascii="Calibri" w:hAnsi="Calibri"/>
          <w:color w:val="1E293B"/>
          <w:sz w:val="22"/>
        </w:rPr>
        <w:t>Progress bars dynamically transition color: Green (under 80% utilization, 'Good'), Amber/Yellow (80%-99%, 'Warning'), and Red (100%+, 'Exceeded').</w:t>
      </w:r>
    </w:p>
    <w:p>
      <w:pPr>
        <w:keepNext/>
        <w:spacing w:before="280" w:after="120"/>
      </w:pPr>
      <w:r>
        <w:rPr>
          <w:rFonts w:ascii="Calibri" w:hAnsi="Calibri"/>
          <w:b/>
          <w:color w:val="334155"/>
          <w:sz w:val="28"/>
        </w:rPr>
        <w:t>7.4 Multi-Country Tax Estimation Engine</w:t>
      </w:r>
    </w:p>
    <w:p>
      <w:pPr>
        <w:spacing w:after="120" w:line="276" w:lineRule="auto"/>
        <w:jc w:val="both"/>
      </w:pPr>
      <w:r>
        <w:rPr>
          <w:rFonts w:ascii="Calibri" w:hAnsi="Calibri"/>
          <w:b w:val="0"/>
          <w:i w:val="0"/>
          <w:color w:val="1E293B"/>
          <w:sz w:val="22"/>
        </w:rPr>
        <w:t>The tax estimation engine is engineered with modular architecture to compute accurate quarterly tax liabilities across international tax codes. The engine handles:</w:t>
      </w:r>
    </w:p>
    <w:p>
      <w:pPr>
        <w:pStyle w:val="ListBullet"/>
        <w:spacing w:after="80" w:line="276" w:lineRule="auto"/>
        <w:jc w:val="both"/>
      </w:pPr>
      <w:r>
        <w:rPr>
          <w:rFonts w:ascii="Calibri" w:hAnsi="Calibri"/>
          <w:b/>
          <w:color w:val="1E293B"/>
          <w:sz w:val="22"/>
        </w:rPr>
        <w:t xml:space="preserve">Quarterly Cycle Auto-Detection: </w:t>
      </w:r>
      <w:r>
        <w:rPr>
          <w:rFonts w:ascii="Calibri" w:hAnsi="Calibri"/>
          <w:color w:val="1E293B"/>
          <w:sz w:val="22"/>
        </w:rPr>
        <w:t>Automatically identifies fiscal quarters based on UTC date: Q1 (Apr-Jun), Q2 (Jul-Sep), Q3 (Oct-Dec), Q4 (Jan-Mar).</w:t>
      </w:r>
    </w:p>
    <w:p>
      <w:pPr>
        <w:pStyle w:val="ListBullet"/>
        <w:spacing w:after="80" w:line="276" w:lineRule="auto"/>
        <w:jc w:val="both"/>
      </w:pPr>
      <w:r>
        <w:rPr>
          <w:rFonts w:ascii="Calibri" w:hAnsi="Calibri"/>
          <w:b/>
          <w:color w:val="1E293B"/>
          <w:sz w:val="22"/>
        </w:rPr>
        <w:t xml:space="preserve">Comprehensive Deductions: </w:t>
      </w:r>
      <w:r>
        <w:rPr>
          <w:rFonts w:ascii="Calibri" w:hAnsi="Calibri"/>
          <w:color w:val="1E293B"/>
          <w:sz w:val="22"/>
        </w:rPr>
        <w:t>Quarterly gross income is adjusted by factoring in allowable business expenses, retirement scheme contributions (e.g., 401k, NPS), health insurance premiums, and home office utility deductions.</w:t>
      </w:r>
    </w:p>
    <w:p>
      <w:pPr>
        <w:pStyle w:val="ListBullet"/>
        <w:spacing w:after="80" w:line="276" w:lineRule="auto"/>
        <w:jc w:val="both"/>
      </w:pPr>
      <w:r>
        <w:rPr>
          <w:rFonts w:ascii="Calibri" w:hAnsi="Calibri"/>
          <w:b/>
          <w:color w:val="1E293B"/>
          <w:sz w:val="22"/>
        </w:rPr>
        <w:t xml:space="preserve">Annualization &amp; Progressive Slabs: </w:t>
      </w:r>
      <w:r>
        <w:rPr>
          <w:rFonts w:ascii="Calibri" w:hAnsi="Calibri"/>
          <w:color w:val="1E293B"/>
          <w:sz w:val="22"/>
        </w:rPr>
        <w:t>Net quarterly taxable income is annualized (Quarterly x 4), passed through regional progressive tax brackets, and divided by 4 to establish the quarterly tax obligation.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016"/>
            <w:shd w:fill="1E3A8A"/>
            <w:tcMar>
              <w:top w:w="140" w:type="dxa"/>
              <w:bottom w:w="140" w:type="dxa"/>
              <w:left w:w="150" w:type="dxa"/>
              <w:right w:w="150" w:type="dxa"/>
            </w:tcMar>
            <w:vAlign w:val="center"/>
          </w:tcPr>
          <w:p>
            <w:pPr>
              <w:spacing w:after="0"/>
              <w:jc w:val="left"/>
            </w:pPr>
            <w:r>
              <w:rPr>
                <w:rFonts w:ascii="Calibri" w:hAnsi="Calibri"/>
                <w:b/>
                <w:color w:val="FFFFFF"/>
                <w:sz w:val="20"/>
              </w:rPr>
              <w:t>Country Jurisdiction</w:t>
            </w:r>
          </w:p>
        </w:tc>
        <w:tc>
          <w:tcPr>
            <w:tcW w:type="dxa" w:w="4608"/>
            <w:shd w:fill="1E3A8A"/>
            <w:tcMar>
              <w:top w:w="140" w:type="dxa"/>
              <w:bottom w:w="140" w:type="dxa"/>
              <w:left w:w="150" w:type="dxa"/>
              <w:right w:w="150" w:type="dxa"/>
            </w:tcMar>
            <w:vAlign w:val="center"/>
          </w:tcPr>
          <w:p>
            <w:pPr>
              <w:spacing w:after="0"/>
              <w:jc w:val="left"/>
            </w:pPr>
            <w:r>
              <w:rPr>
                <w:rFonts w:ascii="Calibri" w:hAnsi="Calibri"/>
                <w:b/>
                <w:color w:val="FFFFFF"/>
                <w:sz w:val="20"/>
              </w:rPr>
              <w:t>Tax Model / Bracket Structure</w:t>
            </w:r>
          </w:p>
        </w:tc>
        <w:tc>
          <w:tcPr>
            <w:tcW w:type="dxa" w:w="2736"/>
            <w:shd w:fill="1E3A8A"/>
            <w:tcMar>
              <w:top w:w="140" w:type="dxa"/>
              <w:bottom w:w="140" w:type="dxa"/>
              <w:left w:w="150" w:type="dxa"/>
              <w:right w:w="150" w:type="dxa"/>
            </w:tcMar>
            <w:vAlign w:val="center"/>
          </w:tcPr>
          <w:p>
            <w:pPr>
              <w:spacing w:after="0"/>
              <w:jc w:val="left"/>
            </w:pPr>
            <w:r>
              <w:rPr>
                <w:rFonts w:ascii="Calibri" w:hAnsi="Calibri"/>
                <w:b/>
                <w:color w:val="FFFFFF"/>
                <w:sz w:val="20"/>
              </w:rPr>
              <w:t>State / Regional Support</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India (IN)</w:t>
            </w:r>
          </w:p>
        </w:tc>
        <w:tc>
          <w:tcPr>
            <w:tcW w:type="dxa" w:w="4608"/>
            <w:shd w:fill="FFFFFF"/>
            <w:tcMar>
              <w:top w:w="100" w:type="dxa"/>
              <w:bottom w:w="100" w:type="dxa"/>
              <w:left w:w="150" w:type="dxa"/>
              <w:right w:w="150" w:type="dxa"/>
            </w:tcMar>
            <w:vAlign w:val="center"/>
          </w:tcPr>
          <w:p>
            <w:pPr>
              <w:spacing w:after="0"/>
              <w:jc w:val="left"/>
            </w:pPr>
            <w:r>
              <w:rPr>
                <w:rFonts w:ascii="Calibri" w:hAnsi="Calibri"/>
                <w:color w:val="1E293B"/>
                <w:sz w:val="19"/>
              </w:rPr>
              <w:t>New Tax Regime: 0-4L (0%), 4-8L (5%), 8-12L (10%), 12-16L (15%), 16-20L (20%), 20-24L (25%), Above 24L (30%)</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Standardized Central Direct Tax Code</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United States (US)</w:t>
            </w:r>
          </w:p>
        </w:tc>
        <w:tc>
          <w:tcPr>
            <w:tcW w:type="dxa" w:w="4608"/>
            <w:shd w:fill="F1F5F9"/>
            <w:tcMar>
              <w:top w:w="100" w:type="dxa"/>
              <w:bottom w:w="100" w:type="dxa"/>
              <w:left w:w="150" w:type="dxa"/>
              <w:right w:w="150" w:type="dxa"/>
            </w:tcMar>
            <w:vAlign w:val="center"/>
          </w:tcPr>
          <w:p>
            <w:pPr>
              <w:spacing w:after="0"/>
              <w:jc w:val="left"/>
            </w:pPr>
            <w:r>
              <w:rPr>
                <w:rFonts w:ascii="Calibri" w:hAnsi="Calibri"/>
                <w:color w:val="1E293B"/>
                <w:sz w:val="19"/>
              </w:rPr>
              <w:t>Federal Brackets (10% to 37%) supporting Single, Married Filing Jointly (MFJ), Married Filing Separately (MFS), Head of Household (HOH)</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State Income Tax: California, New York, Illinois, Pennsylvania, Ohio, Georgia, North Carolina, New Jersey</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United Kingdom (UK)</w:t>
            </w:r>
          </w:p>
        </w:tc>
        <w:tc>
          <w:tcPr>
            <w:tcW w:type="dxa" w:w="4608"/>
            <w:shd w:fill="FFFFFF"/>
            <w:tcMar>
              <w:top w:w="100" w:type="dxa"/>
              <w:bottom w:w="100" w:type="dxa"/>
              <w:left w:w="150" w:type="dxa"/>
              <w:right w:w="150" w:type="dxa"/>
            </w:tcMar>
            <w:vAlign w:val="center"/>
          </w:tcPr>
          <w:p>
            <w:pPr>
              <w:spacing w:after="0"/>
              <w:jc w:val="left"/>
            </w:pPr>
            <w:r>
              <w:rPr>
                <w:rFonts w:ascii="Calibri" w:hAnsi="Calibri"/>
                <w:color w:val="1E293B"/>
                <w:sz w:val="19"/>
              </w:rPr>
              <w:t>Standard: Personal Allowance (0%), Basic (20%), Higher (40%), Additional (45%)</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Devolved Scottish Tax Bands: Starter (19%), Basic (20%), Intermediate (21%), Higher (42%), Top (48%)</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Germany (DE)</w:t>
            </w:r>
          </w:p>
        </w:tc>
        <w:tc>
          <w:tcPr>
            <w:tcW w:type="dxa" w:w="4608"/>
            <w:shd w:fill="F1F5F9"/>
            <w:tcMar>
              <w:top w:w="100" w:type="dxa"/>
              <w:bottom w:w="100" w:type="dxa"/>
              <w:left w:w="150" w:type="dxa"/>
              <w:right w:w="150" w:type="dxa"/>
            </w:tcMar>
            <w:vAlign w:val="center"/>
          </w:tcPr>
          <w:p>
            <w:pPr>
              <w:spacing w:after="0"/>
              <w:jc w:val="left"/>
            </w:pPr>
            <w:r>
              <w:rPr>
                <w:rFonts w:ascii="Calibri" w:hAnsi="Calibri"/>
                <w:color w:val="1E293B"/>
                <w:sz w:val="19"/>
              </w:rPr>
              <w:t>Progressive tariff zones with basic tax-free allowance (€12,348) scaling smoothly up to 42% and 45% (Rich Tax)</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Supports Single and Married Income Splitting (Ehegattensplitting)</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Canada (CA)</w:t>
            </w:r>
          </w:p>
        </w:tc>
        <w:tc>
          <w:tcPr>
            <w:tcW w:type="dxa" w:w="4608"/>
            <w:shd w:fill="FFFFFF"/>
            <w:tcMar>
              <w:top w:w="100" w:type="dxa"/>
              <w:bottom w:w="100" w:type="dxa"/>
              <w:left w:w="150" w:type="dxa"/>
              <w:right w:w="150" w:type="dxa"/>
            </w:tcMar>
            <w:vAlign w:val="center"/>
          </w:tcPr>
          <w:p>
            <w:pPr>
              <w:spacing w:after="0"/>
              <w:jc w:val="left"/>
            </w:pPr>
            <w:r>
              <w:rPr>
                <w:rFonts w:ascii="Calibri" w:hAnsi="Calibri"/>
                <w:color w:val="1E293B"/>
                <w:sz w:val="19"/>
              </w:rPr>
              <w:t>Federal brackets (14% to 33%)</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Provincial Tax: Ontario, Quebec, British Columbia, Alberta</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Japan (JP)</w:t>
            </w:r>
          </w:p>
        </w:tc>
        <w:tc>
          <w:tcPr>
            <w:tcW w:type="dxa" w:w="4608"/>
            <w:shd w:fill="F1F5F9"/>
            <w:tcMar>
              <w:top w:w="100" w:type="dxa"/>
              <w:bottom w:w="100" w:type="dxa"/>
              <w:left w:w="150" w:type="dxa"/>
              <w:right w:w="150" w:type="dxa"/>
            </w:tcMar>
            <w:vAlign w:val="center"/>
          </w:tcPr>
          <w:p>
            <w:pPr>
              <w:spacing w:after="0"/>
              <w:jc w:val="left"/>
            </w:pPr>
            <w:r>
              <w:rPr>
                <w:rFonts w:ascii="Calibri" w:hAnsi="Calibri"/>
                <w:color w:val="1E293B"/>
                <w:sz w:val="19"/>
              </w:rPr>
              <w:t>National Income Tax progressive slabs (5% to 45%)</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Local Inhabitant Tax for Tokyo, Osaka, Kyoto (10%)</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Australia (AU)</w:t>
            </w:r>
          </w:p>
        </w:tc>
        <w:tc>
          <w:tcPr>
            <w:tcW w:type="dxa" w:w="4608"/>
            <w:shd w:fill="FFFFFF"/>
            <w:tcMar>
              <w:top w:w="100" w:type="dxa"/>
              <w:bottom w:w="100" w:type="dxa"/>
              <w:left w:w="150" w:type="dxa"/>
              <w:right w:w="150" w:type="dxa"/>
            </w:tcMar>
            <w:vAlign w:val="center"/>
          </w:tcPr>
          <w:p>
            <w:pPr>
              <w:spacing w:after="0"/>
              <w:jc w:val="left"/>
            </w:pPr>
            <w:r>
              <w:rPr>
                <w:rFonts w:ascii="Calibri" w:hAnsi="Calibri"/>
                <w:color w:val="1E293B"/>
                <w:sz w:val="19"/>
              </w:rPr>
              <w:t>Resident tax thresholds: $0-$18.2k (0%), $18.2k-$45k (16%), $45k-$135k (30%), $135k-$190k (37%), $190k+ (45%)</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National ATO direct tax structure</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France (FR)</w:t>
            </w:r>
          </w:p>
        </w:tc>
        <w:tc>
          <w:tcPr>
            <w:tcW w:type="dxa" w:w="4608"/>
            <w:shd w:fill="F1F5F9"/>
            <w:tcMar>
              <w:top w:w="100" w:type="dxa"/>
              <w:bottom w:w="100" w:type="dxa"/>
              <w:left w:w="150" w:type="dxa"/>
              <w:right w:w="150" w:type="dxa"/>
            </w:tcMar>
            <w:vAlign w:val="center"/>
          </w:tcPr>
          <w:p>
            <w:pPr>
              <w:spacing w:after="0"/>
              <w:jc w:val="left"/>
            </w:pPr>
            <w:r>
              <w:rPr>
                <w:rFonts w:ascii="Calibri" w:hAnsi="Calibri"/>
                <w:color w:val="1E293B"/>
                <w:sz w:val="19"/>
              </w:rPr>
              <w:t>Barème progressif: 0%, 11%, 30%, 41%, 45%</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Quotient familial marital splitting support</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Singapore (SG)</w:t>
            </w:r>
          </w:p>
        </w:tc>
        <w:tc>
          <w:tcPr>
            <w:tcW w:type="dxa" w:w="4608"/>
            <w:shd w:fill="FFFFFF"/>
            <w:tcMar>
              <w:top w:w="100" w:type="dxa"/>
              <w:bottom w:w="100" w:type="dxa"/>
              <w:left w:w="150" w:type="dxa"/>
              <w:right w:w="150" w:type="dxa"/>
            </w:tcMar>
            <w:vAlign w:val="center"/>
          </w:tcPr>
          <w:p>
            <w:pPr>
              <w:spacing w:after="0"/>
              <w:jc w:val="left"/>
            </w:pPr>
            <w:r>
              <w:rPr>
                <w:rFonts w:ascii="Calibri" w:hAnsi="Calibri"/>
                <w:color w:val="1E293B"/>
                <w:sz w:val="19"/>
              </w:rPr>
              <w:t>Progressive resident rates: 0% up to $20,000 scaling to 24% for income above $1,000,000</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Flat national jurisdiction</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Switzerland (CH)</w:t>
            </w:r>
          </w:p>
        </w:tc>
        <w:tc>
          <w:tcPr>
            <w:tcW w:type="dxa" w:w="4608"/>
            <w:shd w:fill="F1F5F9"/>
            <w:tcMar>
              <w:top w:w="100" w:type="dxa"/>
              <w:bottom w:w="100" w:type="dxa"/>
              <w:left w:w="150" w:type="dxa"/>
              <w:right w:w="150" w:type="dxa"/>
            </w:tcMar>
            <w:vAlign w:val="center"/>
          </w:tcPr>
          <w:p>
            <w:pPr>
              <w:spacing w:after="0"/>
              <w:jc w:val="left"/>
            </w:pPr>
            <w:r>
              <w:rPr>
                <w:rFonts w:ascii="Calibri" w:hAnsi="Calibri"/>
                <w:color w:val="1E293B"/>
                <w:sz w:val="19"/>
              </w:rPr>
              <w:t>Federal Direct Tax (Directe Fédérale) progressive brackets</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Cantonal Tax: Zurich, Geneva, Vaud, Bern</w:t>
            </w:r>
          </w:p>
        </w:tc>
      </w:tr>
    </w:tbl>
    <w:p>
      <w:pPr>
        <w:spacing w:after="160"/>
      </w:pPr>
    </w:p>
    <w:p>
      <w:pPr>
        <w:keepNext/>
        <w:spacing w:before="280" w:after="120"/>
      </w:pPr>
      <w:r>
        <w:rPr>
          <w:rFonts w:ascii="Calibri" w:hAnsi="Calibri"/>
          <w:b/>
          <w:color w:val="334155"/>
          <w:sz w:val="28"/>
        </w:rPr>
        <w:t>7.5 Financial Reporting &amp; Multi-Format Export</w:t>
      </w:r>
    </w:p>
    <w:p>
      <w:pPr>
        <w:spacing w:after="120" w:line="276" w:lineRule="auto"/>
        <w:jc w:val="both"/>
      </w:pPr>
      <w:r>
        <w:rPr>
          <w:rFonts w:ascii="Calibri" w:hAnsi="Calibri"/>
          <w:b w:val="0"/>
          <w:i w:val="0"/>
          <w:color w:val="1E293B"/>
          <w:sz w:val="22"/>
        </w:rPr>
        <w:t>The reporting module provides complete financial visibility with automated report generation:</w:t>
      </w:r>
    </w:p>
    <w:p>
      <w:pPr>
        <w:pStyle w:val="ListBullet"/>
        <w:spacing w:after="80" w:line="276" w:lineRule="auto"/>
        <w:jc w:val="both"/>
      </w:pPr>
      <w:r>
        <w:rPr>
          <w:rFonts w:ascii="Calibri" w:hAnsi="Calibri"/>
          <w:b/>
          <w:color w:val="1E293B"/>
          <w:sz w:val="22"/>
        </w:rPr>
        <w:t xml:space="preserve">4 Comprehensive Report Types: </w:t>
      </w:r>
      <w:r>
        <w:rPr>
          <w:rFonts w:ascii="Calibri" w:hAnsi="Calibri"/>
          <w:color w:val="1E293B"/>
          <w:sz w:val="22"/>
        </w:rPr>
        <w:t>Income Statement (Profit &amp; Loss), Expense Breakdown, Income &amp; Expense Summary, and Quarterly Tax Summary.</w:t>
      </w:r>
    </w:p>
    <w:p>
      <w:pPr>
        <w:pStyle w:val="ListBullet"/>
        <w:spacing w:after="80" w:line="276" w:lineRule="auto"/>
        <w:jc w:val="both"/>
      </w:pPr>
      <w:r>
        <w:rPr>
          <w:rFonts w:ascii="Calibri" w:hAnsi="Calibri"/>
          <w:b/>
          <w:color w:val="1E293B"/>
          <w:sz w:val="22"/>
        </w:rPr>
        <w:t xml:space="preserve">Flexible Time Horizons: </w:t>
      </w:r>
      <w:r>
        <w:rPr>
          <w:rFonts w:ascii="Calibri" w:hAnsi="Calibri"/>
          <w:color w:val="1E293B"/>
          <w:sz w:val="22"/>
        </w:rPr>
        <w:t>Current Month, Last Month, Current Quarter, Last Quarter, Year-to-Date (YTD), Full Annual Year, and Custom Date Range.</w:t>
      </w:r>
    </w:p>
    <w:p>
      <w:pPr>
        <w:pStyle w:val="ListBullet"/>
        <w:spacing w:after="80" w:line="276" w:lineRule="auto"/>
        <w:jc w:val="both"/>
      </w:pPr>
      <w:r>
        <w:rPr>
          <w:rFonts w:ascii="Calibri" w:hAnsi="Calibri"/>
          <w:b/>
          <w:color w:val="1E293B"/>
          <w:sz w:val="22"/>
        </w:rPr>
        <w:t xml:space="preserve">Vector PDF Rendering: </w:t>
      </w:r>
      <w:r>
        <w:rPr>
          <w:rFonts w:ascii="Calibri" w:hAnsi="Calibri"/>
          <w:color w:val="1E293B"/>
          <w:sz w:val="22"/>
        </w:rPr>
        <w:t>Utilizes PDFKit to render publication-grade PDF documents featuring corporate header branding, executive summary metric tables, categorized spending grids, and detailed transaction records.</w:t>
      </w:r>
    </w:p>
    <w:p>
      <w:pPr>
        <w:pStyle w:val="ListBullet"/>
        <w:spacing w:after="80" w:line="276" w:lineRule="auto"/>
        <w:jc w:val="both"/>
      </w:pPr>
      <w:r>
        <w:rPr>
          <w:rFonts w:ascii="Calibri" w:hAnsi="Calibri"/>
          <w:b/>
          <w:color w:val="1E293B"/>
          <w:sz w:val="22"/>
        </w:rPr>
        <w:t xml:space="preserve">CSV Export: </w:t>
      </w:r>
      <w:r>
        <w:rPr>
          <w:rFonts w:ascii="Calibri" w:hAnsi="Calibri"/>
          <w:color w:val="1E293B"/>
          <w:sz w:val="22"/>
        </w:rPr>
        <w:t>Generates comma-separated spreadsheets for easy import into Excel, Google Sheets, or accountant software.</w:t>
      </w:r>
    </w:p>
    <w:p>
      <w:pPr>
        <w:pStyle w:val="ListBullet"/>
        <w:spacing w:after="80" w:line="276" w:lineRule="auto"/>
        <w:jc w:val="both"/>
      </w:pPr>
      <w:r>
        <w:rPr>
          <w:rFonts w:ascii="Calibri" w:hAnsi="Calibri"/>
          <w:b/>
          <w:color w:val="1E293B"/>
          <w:sz w:val="22"/>
        </w:rPr>
        <w:t xml:space="preserve">In-Browser Preview &amp; SMTP Email Dispatch: </w:t>
      </w:r>
      <w:r>
        <w:rPr>
          <w:rFonts w:ascii="Calibri" w:hAnsi="Calibri"/>
          <w:color w:val="1E293B"/>
          <w:sz w:val="22"/>
        </w:rPr>
        <w:t>Users can preview reports directly in an interactive browser modal, download instantly, or transmit them directly to their registered email address.</w:t>
      </w:r>
    </w:p>
    <w:p>
      <w:pPr>
        <w:keepNext/>
        <w:spacing w:before="280" w:after="120"/>
      </w:pPr>
      <w:r>
        <w:rPr>
          <w:rFonts w:ascii="Calibri" w:hAnsi="Calibri"/>
          <w:b/>
          <w:color w:val="334155"/>
          <w:sz w:val="28"/>
        </w:rPr>
        <w:t>7.6 AI-Powered Financial Chatbot Assistant</w:t>
      </w:r>
    </w:p>
    <w:p>
      <w:pPr>
        <w:spacing w:after="120" w:line="276" w:lineRule="auto"/>
        <w:jc w:val="both"/>
      </w:pPr>
      <w:r>
        <w:rPr>
          <w:rFonts w:ascii="Calibri" w:hAnsi="Calibri"/>
          <w:b w:val="0"/>
          <w:i w:val="0"/>
          <w:color w:val="1E293B"/>
          <w:sz w:val="22"/>
        </w:rPr>
        <w:t>TaxPal embeds an intelligent conversational assistant that acts as a 24/7 personal tax advisor:</w:t>
      </w:r>
    </w:p>
    <w:p>
      <w:pPr>
        <w:pStyle w:val="ListBullet"/>
        <w:spacing w:after="80" w:line="276" w:lineRule="auto"/>
        <w:jc w:val="both"/>
      </w:pPr>
      <w:r>
        <w:rPr>
          <w:rFonts w:ascii="Calibri" w:hAnsi="Calibri"/>
          <w:b/>
          <w:color w:val="1E293B"/>
          <w:sz w:val="22"/>
        </w:rPr>
        <w:t xml:space="preserve">Context Injection: </w:t>
      </w:r>
      <w:r>
        <w:rPr>
          <w:rFonts w:ascii="Calibri" w:hAnsi="Calibri"/>
          <w:color w:val="1E293B"/>
          <w:sz w:val="22"/>
        </w:rPr>
        <w:t>The assistant dynamically ingests the authenticated user's active financial footprint—including country, currency symbol, quarterly income, total expenses, active budgets, and tax estimates—to provide personalized, contextually accurate answers.</w:t>
      </w:r>
    </w:p>
    <w:p>
      <w:pPr>
        <w:pStyle w:val="ListBullet"/>
        <w:spacing w:after="80" w:line="276" w:lineRule="auto"/>
        <w:jc w:val="both"/>
      </w:pPr>
      <w:r>
        <w:rPr>
          <w:rFonts w:ascii="Calibri" w:hAnsi="Calibri"/>
          <w:b/>
          <w:color w:val="1E293B"/>
          <w:sz w:val="22"/>
        </w:rPr>
        <w:t xml:space="preserve">Session Management: </w:t>
      </w:r>
      <w:r>
        <w:rPr>
          <w:rFonts w:ascii="Calibri" w:hAnsi="Calibri"/>
          <w:color w:val="1E293B"/>
          <w:sz w:val="22"/>
        </w:rPr>
        <w:t>Full conversation histories are stored in MongoDB, allowing users to revisit past financial consultations.</w:t>
      </w:r>
    </w:p>
    <w:p>
      <w:pPr>
        <w:keepNext/>
        <w:spacing w:before="280" w:after="120"/>
      </w:pPr>
      <w:r>
        <w:rPr>
          <w:rFonts w:ascii="Calibri" w:hAnsi="Calibri"/>
          <w:b/>
          <w:color w:val="334155"/>
          <w:sz w:val="28"/>
        </w:rPr>
        <w:t>7.7 Automated SMTP Email Dispatcher &amp; Cron Scheduler</w:t>
      </w:r>
    </w:p>
    <w:p>
      <w:pPr>
        <w:spacing w:after="120" w:line="276" w:lineRule="auto"/>
        <w:jc w:val="both"/>
      </w:pPr>
      <w:r>
        <w:rPr>
          <w:rFonts w:ascii="Calibri" w:hAnsi="Calibri"/>
          <w:b w:val="0"/>
          <w:i w:val="0"/>
          <w:color w:val="1E293B"/>
          <w:sz w:val="22"/>
        </w:rPr>
        <w:t>Proactive financial alerts are orchestrated via Nodemailer and Node-Cron:</w:t>
      </w:r>
    </w:p>
    <w:p>
      <w:pPr>
        <w:pStyle w:val="ListBullet"/>
        <w:spacing w:after="80" w:line="276" w:lineRule="auto"/>
        <w:jc w:val="both"/>
      </w:pPr>
      <w:r>
        <w:rPr>
          <w:rFonts w:ascii="Calibri" w:hAnsi="Calibri"/>
          <w:b/>
          <w:color w:val="1E293B"/>
          <w:sz w:val="22"/>
        </w:rPr>
        <w:t xml:space="preserve">Statutory Deadline Alerts: </w:t>
      </w:r>
      <w:r>
        <w:rPr>
          <w:rFonts w:ascii="Calibri" w:hAnsi="Calibri"/>
          <w:color w:val="1E293B"/>
          <w:sz w:val="22"/>
        </w:rPr>
        <w:t>Background cron jobs evaluate upcoming tax deadlines (June 15, Sept 15, Dec 15, March 15) and dispatch automated email notifications to remind users before penalties accrue.</w:t>
      </w:r>
    </w:p>
    <w:p>
      <w:pPr>
        <w:pStyle w:val="ListBullet"/>
        <w:spacing w:after="80" w:line="276" w:lineRule="auto"/>
        <w:jc w:val="both"/>
      </w:pPr>
      <w:r>
        <w:rPr>
          <w:rFonts w:ascii="Calibri" w:hAnsi="Calibri"/>
          <w:b/>
          <w:color w:val="1E293B"/>
          <w:sz w:val="22"/>
        </w:rPr>
        <w:t xml:space="preserve">Security &amp; Reports: </w:t>
      </w:r>
      <w:r>
        <w:rPr>
          <w:rFonts w:ascii="Calibri" w:hAnsi="Calibri"/>
          <w:color w:val="1E293B"/>
          <w:sz w:val="22"/>
        </w:rPr>
        <w:t>Transmits secure 6-digit OTP codes for password recovery and attaches generated PDF/CSV reports directly to outgoing emails.</w:t>
      </w:r>
    </w:p>
    <w:p>
      <w:pPr>
        <w:keepNext/>
        <w:spacing w:before="360" w:after="160"/>
      </w:pPr>
      <w:r>
        <w:rPr>
          <w:rFonts w:ascii="Calibri" w:hAnsi="Calibri"/>
          <w:b/>
          <w:color w:val="1E3A8A"/>
          <w:sz w:val="36"/>
        </w:rPr>
        <w:t>8. Milestone-wise Implementation</w:t>
      </w:r>
    </w:p>
    <w:p>
      <w:pPr>
        <w:keepNext/>
        <w:spacing w:before="280" w:after="120"/>
      </w:pPr>
      <w:r>
        <w:rPr>
          <w:rFonts w:ascii="Calibri" w:hAnsi="Calibri"/>
          <w:b/>
          <w:color w:val="334155"/>
          <w:sz w:val="28"/>
        </w:rPr>
        <w:t>8.1 Milestone 1 – Transaction Logging &amp; Core Authentication (Weeks 1-2)</w:t>
      </w:r>
    </w:p>
    <w:p>
      <w:pPr>
        <w:pStyle w:val="ListBullet"/>
        <w:spacing w:after="80" w:line="276" w:lineRule="auto"/>
        <w:jc w:val="both"/>
      </w:pPr>
      <w:r>
        <w:rPr>
          <w:rFonts w:ascii="Calibri" w:hAnsi="Calibri"/>
          <w:b/>
          <w:color w:val="1E293B"/>
          <w:sz w:val="22"/>
        </w:rPr>
        <w:t xml:space="preserve">Scope &amp; Deliverables: </w:t>
      </w:r>
      <w:r>
        <w:rPr>
          <w:rFonts w:ascii="Calibri" w:hAnsi="Calibri"/>
          <w:color w:val="1E293B"/>
          <w:sz w:val="22"/>
        </w:rPr>
        <w:t>User registration, secure login with JWT HTTP-only cookies, password strength validation, manual income/expense entry modal, core financial dashboard, and transaction history table.</w:t>
      </w:r>
    </w:p>
    <w:p>
      <w:pPr>
        <w:pStyle w:val="ListBullet"/>
        <w:spacing w:after="80" w:line="276" w:lineRule="auto"/>
        <w:jc w:val="both"/>
      </w:pPr>
      <w:r>
        <w:rPr>
          <w:rFonts w:ascii="Calibri" w:hAnsi="Calibri"/>
          <w:b/>
          <w:color w:val="1E293B"/>
          <w:sz w:val="22"/>
        </w:rPr>
        <w:t xml:space="preserve">Outcome: </w:t>
      </w:r>
      <w:r>
        <w:rPr>
          <w:rFonts w:ascii="Calibri" w:hAnsi="Calibri"/>
          <w:color w:val="1E293B"/>
          <w:sz w:val="22"/>
        </w:rPr>
        <w:t>Established a rock-solid architectural foundation, MongoDB schemas for users and transactions, responsive Angular layout with theme toggles, and live KPI summary metrics.</w:t>
      </w:r>
    </w:p>
    <w:p>
      <w:pPr>
        <w:keepNext/>
        <w:spacing w:before="280" w:after="120"/>
      </w:pPr>
      <w:r>
        <w:rPr>
          <w:rFonts w:ascii="Calibri" w:hAnsi="Calibri"/>
          <w:b/>
          <w:color w:val="334155"/>
          <w:sz w:val="28"/>
        </w:rPr>
        <w:t>8.2 Milestone 2 – Categorization &amp; Budgeting (Weeks 3-4)</w:t>
      </w:r>
    </w:p>
    <w:p>
      <w:pPr>
        <w:pStyle w:val="ListBullet"/>
        <w:spacing w:after="80" w:line="276" w:lineRule="auto"/>
        <w:jc w:val="both"/>
      </w:pPr>
      <w:r>
        <w:rPr>
          <w:rFonts w:ascii="Calibri" w:hAnsi="Calibri"/>
          <w:b/>
          <w:color w:val="1E293B"/>
          <w:sz w:val="22"/>
        </w:rPr>
        <w:t xml:space="preserve">Scope &amp; Deliverables: </w:t>
      </w:r>
      <w:r>
        <w:rPr>
          <w:rFonts w:ascii="Calibri" w:hAnsi="Calibri"/>
          <w:color w:val="1E293B"/>
          <w:sz w:val="22"/>
        </w:rPr>
        <w:t>Category CRUD management, custom color and icon selectors, keyword-based auto-categorization engine, monthly budget limits, and spending breakdown charts.</w:t>
      </w:r>
    </w:p>
    <w:p>
      <w:pPr>
        <w:pStyle w:val="ListBullet"/>
        <w:spacing w:after="80" w:line="276" w:lineRule="auto"/>
        <w:jc w:val="both"/>
      </w:pPr>
      <w:r>
        <w:rPr>
          <w:rFonts w:ascii="Calibri" w:hAnsi="Calibri"/>
          <w:b/>
          <w:color w:val="1E293B"/>
          <w:sz w:val="22"/>
        </w:rPr>
        <w:t xml:space="preserve">Outcome: </w:t>
      </w:r>
      <w:r>
        <w:rPr>
          <w:rFonts w:ascii="Calibri" w:hAnsi="Calibri"/>
          <w:color w:val="1E293B"/>
          <w:sz w:val="22"/>
        </w:rPr>
        <w:t>Users could set monthly spending thresholds per category, visualize real-time spending progress with dynamic warning thresholds, and enjoy intelligent keyword auto-completion.</w:t>
      </w:r>
    </w:p>
    <w:p>
      <w:pPr>
        <w:keepNext/>
        <w:spacing w:before="280" w:after="120"/>
      </w:pPr>
      <w:r>
        <w:rPr>
          <w:rFonts w:ascii="Calibri" w:hAnsi="Calibri"/>
          <w:b/>
          <w:color w:val="334155"/>
          <w:sz w:val="28"/>
        </w:rPr>
        <w:t>8.3 Milestone 3 – Multi-Country Tax Estimation Engine (Weeks 5-6)</w:t>
      </w:r>
    </w:p>
    <w:p>
      <w:pPr>
        <w:pStyle w:val="ListBullet"/>
        <w:spacing w:after="80" w:line="276" w:lineRule="auto"/>
        <w:jc w:val="both"/>
      </w:pPr>
      <w:r>
        <w:rPr>
          <w:rFonts w:ascii="Calibri" w:hAnsi="Calibri"/>
          <w:b/>
          <w:color w:val="1E293B"/>
          <w:sz w:val="22"/>
        </w:rPr>
        <w:t xml:space="preserve">Scope &amp; Deliverables: </w:t>
      </w:r>
      <w:r>
        <w:rPr>
          <w:rFonts w:ascii="Calibri" w:hAnsi="Calibri"/>
          <w:color w:val="1E293B"/>
          <w:sz w:val="22"/>
        </w:rPr>
        <w:t>Comprehensive tax calculator interface, regional tax slab compilation for 10+ countries, deduction calculators (Home Office, Health Insurance, Business Expenses), and quarterly calendar view.</w:t>
      </w:r>
    </w:p>
    <w:p>
      <w:pPr>
        <w:pStyle w:val="ListBullet"/>
        <w:spacing w:after="80" w:line="276" w:lineRule="auto"/>
        <w:jc w:val="both"/>
      </w:pPr>
      <w:r>
        <w:rPr>
          <w:rFonts w:ascii="Calibri" w:hAnsi="Calibri"/>
          <w:b/>
          <w:color w:val="1E293B"/>
          <w:sz w:val="22"/>
        </w:rPr>
        <w:t xml:space="preserve">Outcome: </w:t>
      </w:r>
      <w:r>
        <w:rPr>
          <w:rFonts w:ascii="Calibri" w:hAnsi="Calibri"/>
          <w:color w:val="1E293B"/>
          <w:sz w:val="22"/>
        </w:rPr>
        <w:t>Delivered highly accurate quarterly tax liability simulations, automatic statutory due date computations, and interactive tax calendar with deadline notifications.</w:t>
      </w:r>
    </w:p>
    <w:p>
      <w:pPr>
        <w:keepNext/>
        <w:spacing w:before="280" w:after="120"/>
      </w:pPr>
      <w:r>
        <w:rPr>
          <w:rFonts w:ascii="Calibri" w:hAnsi="Calibri"/>
          <w:b/>
          <w:color w:val="334155"/>
          <w:sz w:val="28"/>
        </w:rPr>
        <w:t>8.4 Milestone 4 – Reporting, Smart Scanner, Chatbot &amp; SMTP Integration (Weeks 7-8)</w:t>
      </w:r>
    </w:p>
    <w:p>
      <w:pPr>
        <w:pStyle w:val="ListBullet"/>
        <w:spacing w:after="80" w:line="276" w:lineRule="auto"/>
        <w:jc w:val="both"/>
      </w:pPr>
      <w:r>
        <w:rPr>
          <w:rFonts w:ascii="Calibri" w:hAnsi="Calibri"/>
          <w:b/>
          <w:color w:val="1E293B"/>
          <w:sz w:val="22"/>
        </w:rPr>
        <w:t xml:space="preserve">Scope &amp; Deliverables: </w:t>
      </w:r>
      <w:r>
        <w:rPr>
          <w:rFonts w:ascii="Calibri" w:hAnsi="Calibri"/>
          <w:color w:val="1E293B"/>
          <w:sz w:val="22"/>
        </w:rPr>
        <w:t>Multi-format financial report generator (PDF &amp; CSV), in-browser document preview, AI-powered Smart Receipt Scanner with OCR, Google Gemini conversational chatbot assistant, and automated SMTP email dispatch.</w:t>
      </w:r>
    </w:p>
    <w:p>
      <w:pPr>
        <w:pStyle w:val="ListBullet"/>
        <w:spacing w:after="80" w:line="276" w:lineRule="auto"/>
        <w:jc w:val="both"/>
      </w:pPr>
      <w:r>
        <w:rPr>
          <w:rFonts w:ascii="Calibri" w:hAnsi="Calibri"/>
          <w:b/>
          <w:color w:val="1E293B"/>
          <w:sz w:val="22"/>
        </w:rPr>
        <w:t xml:space="preserve">Outcome: </w:t>
      </w:r>
      <w:r>
        <w:rPr>
          <w:rFonts w:ascii="Calibri" w:hAnsi="Calibri"/>
          <w:color w:val="1E293B"/>
          <w:sz w:val="22"/>
        </w:rPr>
        <w:t>Successfully completed all project outcomes, delivering an enterprise-ready, all-in-one personal finance and tax estimator platform exceeding standard internship requirements.</w:t>
      </w:r>
    </w:p>
    <w:p>
      <w:pPr>
        <w:keepNext/>
        <w:spacing w:before="360" w:after="160"/>
      </w:pPr>
      <w:r>
        <w:rPr>
          <w:rFonts w:ascii="Calibri" w:hAnsi="Calibri"/>
          <w:b/>
          <w:color w:val="1E3A8A"/>
          <w:sz w:val="36"/>
        </w:rPr>
        <w:t>9. User Interface &amp; Screen Descriptions</w:t>
      </w:r>
    </w:p>
    <w:p>
      <w:pPr>
        <w:spacing w:after="120" w:line="276" w:lineRule="auto"/>
        <w:jc w:val="both"/>
      </w:pPr>
      <w:r>
        <w:rPr>
          <w:rFonts w:ascii="Calibri" w:hAnsi="Calibri"/>
          <w:b w:val="0"/>
          <w:i w:val="0"/>
          <w:color w:val="1E293B"/>
          <w:sz w:val="22"/>
        </w:rPr>
        <w:t>The TaxPal user interface is engineered according to modern design principles, emphasizing clarity, typographic hierarchy, responsive adaptability, and rich micro-interactions. Below are the functional specifications and structural layouts of the primary user interfaces:</w:t>
      </w:r>
    </w:p>
    <w:p>
      <w:pPr>
        <w:keepNext/>
        <w:spacing w:before="280" w:after="120"/>
      </w:pPr>
      <w:r>
        <w:rPr>
          <w:rFonts w:ascii="Calibri" w:hAnsi="Calibri"/>
          <w:b/>
          <w:color w:val="334155"/>
          <w:sz w:val="28"/>
        </w:rPr>
        <w:t>9.1 Authentication &amp; Security (Login &amp; Signup)</w:t>
      </w:r>
    </w:p>
    <w:p>
      <w:pPr>
        <w:spacing w:after="120" w:line="276" w:lineRule="auto"/>
        <w:jc w:val="both"/>
      </w:pPr>
      <w:r>
        <w:rPr>
          <w:rFonts w:ascii="Calibri" w:hAnsi="Calibri"/>
          <w:b w:val="0"/>
          <w:i w:val="0"/>
          <w:color w:val="1E293B"/>
          <w:sz w:val="22"/>
        </w:rPr>
        <w:t>The authentication screens provide a modern glassmorphism interface featuring dual-tab login and registration. Includes email format validation, real-time password strength scoring meter with color feedback, country and income bracket selection, demo account quick-fill buttons, and secure cookie session persistence. [UI Screenshot Placeholder]</w:t>
      </w:r>
    </w:p>
    <w:p>
      <w:pPr>
        <w:keepNext/>
        <w:spacing w:before="280" w:after="120"/>
      </w:pPr>
      <w:r>
        <w:rPr>
          <w:rFonts w:ascii="Calibri" w:hAnsi="Calibri"/>
          <w:b/>
          <w:color w:val="334155"/>
          <w:sz w:val="28"/>
        </w:rPr>
        <w:t>9.2 Financial Dashboard &amp; KPI Metrics</w:t>
      </w:r>
    </w:p>
    <w:p>
      <w:pPr>
        <w:spacing w:after="120" w:line="276" w:lineRule="auto"/>
        <w:jc w:val="both"/>
      </w:pPr>
      <w:r>
        <w:rPr>
          <w:rFonts w:ascii="Calibri" w:hAnsi="Calibri"/>
          <w:b w:val="0"/>
          <w:i w:val="0"/>
          <w:color w:val="1E293B"/>
          <w:sz w:val="22"/>
        </w:rPr>
        <w:t>The command center of TaxPal. Displays four primary KPI metric cards: Total Monthly Income, Total Monthly Expenses, Estimated Tax Due, and Savings Rate percentage with month-over-month trend indicators. Integrates Chart.js visualizations for Income vs. Expense monthly comparisons, an interactive category spending donut chart, and a live recent transactions activity feed. [UI Screenshot Placeholder]</w:t>
      </w:r>
    </w:p>
    <w:p>
      <w:pPr>
        <w:keepNext/>
        <w:spacing w:before="280" w:after="120"/>
      </w:pPr>
      <w:r>
        <w:rPr>
          <w:rFonts w:ascii="Calibri" w:hAnsi="Calibri"/>
          <w:b/>
          <w:color w:val="334155"/>
          <w:sz w:val="28"/>
        </w:rPr>
        <w:t>9.3 Transaction Management &amp; Filter View</w:t>
      </w:r>
    </w:p>
    <w:p>
      <w:pPr>
        <w:spacing w:after="120" w:line="276" w:lineRule="auto"/>
        <w:jc w:val="both"/>
      </w:pPr>
      <w:r>
        <w:rPr>
          <w:rFonts w:ascii="Calibri" w:hAnsi="Calibri"/>
          <w:b w:val="0"/>
          <w:i w:val="0"/>
          <w:color w:val="1E293B"/>
          <w:sz w:val="22"/>
        </w:rPr>
        <w:t>A comprehensive transaction ledger supporting full CRUD operations. Features search-by-keyword, transaction type filters (All, Income, Expense), category filters, date range selection, and pagination. Each row provides action buttons for editing, deleting, and viewing attached receipt images in an image modal. [UI Screenshot Placeholder]</w:t>
      </w:r>
    </w:p>
    <w:p>
      <w:pPr>
        <w:keepNext/>
        <w:spacing w:before="280" w:after="120"/>
      </w:pPr>
      <w:r>
        <w:rPr>
          <w:rFonts w:ascii="Calibri" w:hAnsi="Calibri"/>
          <w:b/>
          <w:color w:val="334155"/>
          <w:sz w:val="28"/>
        </w:rPr>
        <w:t>9.4 Budget Planner &amp; Visual Progress Indicators</w:t>
      </w:r>
    </w:p>
    <w:p>
      <w:pPr>
        <w:spacing w:after="120" w:line="276" w:lineRule="auto"/>
        <w:jc w:val="both"/>
      </w:pPr>
      <w:r>
        <w:rPr>
          <w:rFonts w:ascii="Calibri" w:hAnsi="Calibri"/>
          <w:b w:val="0"/>
          <w:i w:val="0"/>
          <w:color w:val="1E293B"/>
          <w:sz w:val="22"/>
        </w:rPr>
        <w:t>The budget planner allows users to configure monthly spending ceilings for each expense category. Features visual budget cards displaying spent amount, allocated limit, remaining balance, and a responsive progress meter that dynamically shifts from Green ('Good') to Yellow ('Warning') and Red ('Exceeded'). [UI Screenshot Placeholder]</w:t>
      </w:r>
    </w:p>
    <w:p>
      <w:pPr>
        <w:keepNext/>
        <w:spacing w:before="280" w:after="120"/>
      </w:pPr>
      <w:r>
        <w:rPr>
          <w:rFonts w:ascii="Calibri" w:hAnsi="Calibri"/>
          <w:b/>
          <w:color w:val="334155"/>
          <w:sz w:val="28"/>
        </w:rPr>
        <w:t>9.5 Category Management Screen</w:t>
      </w:r>
    </w:p>
    <w:p>
      <w:pPr>
        <w:spacing w:after="120" w:line="276" w:lineRule="auto"/>
        <w:jc w:val="both"/>
      </w:pPr>
      <w:r>
        <w:rPr>
          <w:rFonts w:ascii="Calibri" w:hAnsi="Calibri"/>
          <w:b w:val="0"/>
          <w:i w:val="0"/>
          <w:color w:val="1E293B"/>
          <w:sz w:val="22"/>
        </w:rPr>
        <w:t>Enables granular customization of expense and income categories. Users can define custom category titles, select distinctive color swatches via a visual palette picker, assign icon glyphs, and modify or remove non-default categories. [UI Screenshot Placeholder]</w:t>
      </w:r>
    </w:p>
    <w:p>
      <w:pPr>
        <w:keepNext/>
        <w:spacing w:before="280" w:after="120"/>
      </w:pPr>
      <w:r>
        <w:rPr>
          <w:rFonts w:ascii="Calibri" w:hAnsi="Calibri"/>
          <w:b/>
          <w:color w:val="334155"/>
          <w:sz w:val="28"/>
        </w:rPr>
        <w:t>9.6 Multi-Country Tax Calculator Interface</w:t>
      </w:r>
    </w:p>
    <w:p>
      <w:pPr>
        <w:spacing w:after="120" w:line="276" w:lineRule="auto"/>
        <w:jc w:val="both"/>
      </w:pPr>
      <w:r>
        <w:rPr>
          <w:rFonts w:ascii="Calibri" w:hAnsi="Calibri"/>
          <w:b w:val="0"/>
          <w:i w:val="0"/>
          <w:color w:val="1E293B"/>
          <w:sz w:val="22"/>
        </w:rPr>
        <w:t>An advanced tax estimation tool. Users select their country of tax residence, state/province, filing status, and fiscal quarter. Provides dedicated input fields for Gross Quarterly Earnings, Business Deductions, Retirement Savings, Health Insurance, and Home Office Deductions with instant calculation of annual and quarterly tax liabilities. [UI Screenshot Placeholder]</w:t>
      </w:r>
    </w:p>
    <w:p>
      <w:pPr>
        <w:keepNext/>
        <w:spacing w:before="280" w:after="120"/>
      </w:pPr>
      <w:r>
        <w:rPr>
          <w:rFonts w:ascii="Calibri" w:hAnsi="Calibri"/>
          <w:b/>
          <w:color w:val="334155"/>
          <w:sz w:val="28"/>
        </w:rPr>
        <w:t>9.7 Tax Calendar &amp; Quarterly Deadlines</w:t>
      </w:r>
    </w:p>
    <w:p>
      <w:pPr>
        <w:spacing w:after="120" w:line="276" w:lineRule="auto"/>
        <w:jc w:val="both"/>
      </w:pPr>
      <w:r>
        <w:rPr>
          <w:rFonts w:ascii="Calibri" w:hAnsi="Calibri"/>
          <w:b w:val="0"/>
          <w:i w:val="0"/>
          <w:color w:val="1E293B"/>
          <w:sz w:val="22"/>
        </w:rPr>
        <w:t>A chronological timeline interface detailing statutory tax filing dates (Q1 June 15, Q2 Sept 15, Q3 Dec 15, Q4 March 15). Features badge indicators for pending vs. paid statuses, alert triggers, and actionable tax-saving strategies. [UI Screenshot Placeholder]</w:t>
      </w:r>
    </w:p>
    <w:p>
      <w:pPr>
        <w:keepNext/>
        <w:spacing w:before="280" w:after="120"/>
      </w:pPr>
      <w:r>
        <w:rPr>
          <w:rFonts w:ascii="Calibri" w:hAnsi="Calibri"/>
          <w:b/>
          <w:color w:val="334155"/>
          <w:sz w:val="28"/>
        </w:rPr>
        <w:t>9.8 Financial Report Generator &amp; In-Browser Preview</w:t>
      </w:r>
    </w:p>
    <w:p>
      <w:pPr>
        <w:spacing w:after="120" w:line="276" w:lineRule="auto"/>
        <w:jc w:val="both"/>
      </w:pPr>
      <w:r>
        <w:rPr>
          <w:rFonts w:ascii="Calibri" w:hAnsi="Calibri"/>
          <w:b w:val="0"/>
          <w:i w:val="0"/>
          <w:color w:val="1E293B"/>
          <w:sz w:val="22"/>
        </w:rPr>
        <w:t>A dedicated financial reporting suite. Allows users to select Report Type (Income Statement, Expense Breakdown, Summary, Tax Summary), Time Period, and Output Format (PDF/CSV). Includes an embedded report preview pane, instant download action, and a 'Send to Email' button. [UI Screenshot Placeholder]</w:t>
      </w:r>
    </w:p>
    <w:p>
      <w:pPr>
        <w:keepNext/>
        <w:spacing w:before="280" w:after="120"/>
      </w:pPr>
      <w:r>
        <w:rPr>
          <w:rFonts w:ascii="Calibri" w:hAnsi="Calibri"/>
          <w:b/>
          <w:color w:val="334155"/>
          <w:sz w:val="28"/>
        </w:rPr>
        <w:t>9.9 Smart Receipt Scanner &amp; OCR Extraction</w:t>
      </w:r>
    </w:p>
    <w:p>
      <w:pPr>
        <w:spacing w:after="120" w:line="276" w:lineRule="auto"/>
        <w:jc w:val="both"/>
      </w:pPr>
      <w:r>
        <w:rPr>
          <w:rFonts w:ascii="Calibri" w:hAnsi="Calibri"/>
          <w:b w:val="0"/>
          <w:i w:val="0"/>
          <w:color w:val="1E293B"/>
          <w:sz w:val="22"/>
        </w:rPr>
        <w:t>An AI-powered document digitization portal. Users drag-and-drop or browse receipt images/PDFs. The multi-modal AI extracts the vendor, total amount, transaction date, and tax, auto-matches the category, and presents an editable verification form before committing to the ledger. [UI Screenshot Placeholder]</w:t>
      </w:r>
    </w:p>
    <w:p>
      <w:pPr>
        <w:keepNext/>
        <w:spacing w:before="280" w:after="120"/>
      </w:pPr>
      <w:r>
        <w:rPr>
          <w:rFonts w:ascii="Calibri" w:hAnsi="Calibri"/>
          <w:b/>
          <w:color w:val="334155"/>
          <w:sz w:val="28"/>
        </w:rPr>
        <w:t>9.10 AI Financial Chatbot Widget</w:t>
      </w:r>
    </w:p>
    <w:p>
      <w:pPr>
        <w:spacing w:after="120" w:line="276" w:lineRule="auto"/>
        <w:jc w:val="both"/>
      </w:pPr>
      <w:r>
        <w:rPr>
          <w:rFonts w:ascii="Calibri" w:hAnsi="Calibri"/>
          <w:b w:val="0"/>
          <w:i w:val="0"/>
          <w:color w:val="1E293B"/>
          <w:sz w:val="22"/>
        </w:rPr>
        <w:t>A persistent, floating conversational assistant accessible across all application screens. Enables users to ask natural language questions about their spending, tax liabilities, deduction guidelines, and budget health with instant, data-aware responses. [UI Screenshot Placeholder]</w:t>
      </w:r>
    </w:p>
    <w:p>
      <w:pPr>
        <w:keepNext/>
        <w:spacing w:before="360" w:after="160"/>
      </w:pPr>
      <w:r>
        <w:rPr>
          <w:rFonts w:ascii="Calibri" w:hAnsi="Calibri"/>
          <w:b/>
          <w:color w:val="1E3A8A"/>
          <w:sz w:val="36"/>
        </w:rPr>
        <w:t>10. API Documentation</w:t>
      </w:r>
    </w:p>
    <w:p>
      <w:pPr>
        <w:spacing w:after="120" w:line="276" w:lineRule="auto"/>
        <w:jc w:val="both"/>
      </w:pPr>
      <w:r>
        <w:rPr>
          <w:rFonts w:ascii="Calibri" w:hAnsi="Calibri"/>
          <w:b w:val="0"/>
          <w:i w:val="0"/>
          <w:color w:val="1E293B"/>
          <w:sz w:val="22"/>
        </w:rPr>
        <w:t>The TaxPal RESTful API follows standard HTTP status conventions, JSON payload formatting, and secure token authorization. Below is the detailed specification of all core endpoints.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1584"/>
            <w:shd w:fill="1E3A8A"/>
            <w:tcMar>
              <w:top w:w="140" w:type="dxa"/>
              <w:bottom w:w="140" w:type="dxa"/>
              <w:left w:w="150" w:type="dxa"/>
              <w:right w:w="150" w:type="dxa"/>
            </w:tcMar>
            <w:vAlign w:val="center"/>
          </w:tcPr>
          <w:p>
            <w:pPr>
              <w:spacing w:after="0"/>
              <w:jc w:val="left"/>
            </w:pPr>
            <w:r>
              <w:rPr>
                <w:rFonts w:ascii="Calibri" w:hAnsi="Calibri"/>
                <w:b/>
                <w:color w:val="FFFFFF"/>
                <w:sz w:val="20"/>
              </w:rPr>
              <w:t>HTTP Method</w:t>
            </w:r>
          </w:p>
        </w:tc>
        <w:tc>
          <w:tcPr>
            <w:tcW w:type="dxa" w:w="2592"/>
            <w:shd w:fill="1E3A8A"/>
            <w:tcMar>
              <w:top w:w="140" w:type="dxa"/>
              <w:bottom w:w="140" w:type="dxa"/>
              <w:left w:w="150" w:type="dxa"/>
              <w:right w:w="150" w:type="dxa"/>
            </w:tcMar>
            <w:vAlign w:val="center"/>
          </w:tcPr>
          <w:p>
            <w:pPr>
              <w:spacing w:after="0"/>
              <w:jc w:val="left"/>
            </w:pPr>
            <w:r>
              <w:rPr>
                <w:rFonts w:ascii="Calibri" w:hAnsi="Calibri"/>
                <w:b/>
                <w:color w:val="FFFFFF"/>
                <w:sz w:val="20"/>
              </w:rPr>
              <w:t>Endpoint Route</w:t>
            </w:r>
          </w:p>
        </w:tc>
        <w:tc>
          <w:tcPr>
            <w:tcW w:type="dxa" w:w="1296"/>
            <w:shd w:fill="1E3A8A"/>
            <w:tcMar>
              <w:top w:w="140" w:type="dxa"/>
              <w:bottom w:w="140" w:type="dxa"/>
              <w:left w:w="150" w:type="dxa"/>
              <w:right w:w="150" w:type="dxa"/>
            </w:tcMar>
            <w:vAlign w:val="center"/>
          </w:tcPr>
          <w:p>
            <w:pPr>
              <w:spacing w:after="0"/>
              <w:jc w:val="left"/>
            </w:pPr>
            <w:r>
              <w:rPr>
                <w:rFonts w:ascii="Calibri" w:hAnsi="Calibri"/>
                <w:b/>
                <w:color w:val="FFFFFF"/>
                <w:sz w:val="20"/>
              </w:rPr>
              <w:t>Auth Required</w:t>
            </w:r>
          </w:p>
        </w:tc>
        <w:tc>
          <w:tcPr>
            <w:tcW w:type="dxa" w:w="3888"/>
            <w:shd w:fill="1E3A8A"/>
            <w:tcMar>
              <w:top w:w="140" w:type="dxa"/>
              <w:bottom w:w="140" w:type="dxa"/>
              <w:left w:w="150" w:type="dxa"/>
              <w:right w:w="150" w:type="dxa"/>
            </w:tcMar>
            <w:vAlign w:val="center"/>
          </w:tcPr>
          <w:p>
            <w:pPr>
              <w:spacing w:after="0"/>
              <w:jc w:val="left"/>
            </w:pPr>
            <w:r>
              <w:rPr>
                <w:rFonts w:ascii="Calibri" w:hAnsi="Calibri"/>
                <w:b/>
                <w:color w:val="FFFFFF"/>
                <w:sz w:val="20"/>
              </w:rPr>
              <w:t>Description &amp; Payload</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/api/auth/register</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Registers new user (fullName, username, email, password, country, incomeBracket).</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/api/auth/login</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No</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Authenticates user credentials; returns user profile and sets HTTP-only JWT cookies.</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/api/auth/refresh</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Rotates refresh token and issues fresh short-lived access token.</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/api/auth/logout</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Revokes active session tokens and clears authentication cookies.</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/api/auth/profile</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Retrieves complete profile data for currently authenticated user.</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PUT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/api/auth/profile</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Updates profile information (fullName, country, state, incomeBracket, settings).</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/api/transactions</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Fetches transactions with optional query filters (?type, ?category, ?startDate, ?endDate).</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/api/transactions</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Logs a new transaction (type, description, category, amount, transactionDate, notes).</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/api/transactions/:id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Retrieves specific transaction details by MongoDB ObjectId.</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PUT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/api/transactions/:id</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Updates an existing transaction record.</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DELETE</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/api/transactions/:id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Deletes a transaction and recalculates dashboard metrics.</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/api/budgets</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Retrieves category budgets and calculates spent totals for the current month.</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/api/budgets</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Creates or updates a monthly budget limit for a category.</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DELETE</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/api/budgets/:category</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Deletes a budget threshold for a specified category.</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/api/categories</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Retrieves all standard and custom categories for the user.</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/api/categories</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Creates a new custom category (name, type, color, icon).</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PUT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/api/categories/:id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Updates an existing custom category configuration.</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DELETE</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/api/categories/:id</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Removes a user-defined category.</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/api/tax-estimates</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Fetches user's saved quarterly tax calculations.</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/api/tax-estimates</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Calculates and persists a quarterly tax estimation record.</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DELETE</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/api/tax-estimates/:id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Deletes a saved tax calculation record.</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/api/reports/generate</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Generates report metadata and JSON summary for specified period and type.</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/api/reports/download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Streams generated PDF or CSV file binary to browser for direct download.</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/api/reports/email</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Dispatches generated PDF/CSV report directly to user's email address via SMTP.</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/api/receipts/scan</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Uploads receipt image/PDF for multi-modal AI OCR parsing and category mapping.</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POST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/api/chat/message</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Sends user prompt to AI Chatbot with financial context injection; returns response.</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/api/chat/history</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Retrieves conversational message history for the active session.</w:t>
            </w:r>
          </w:p>
        </w:tc>
      </w:tr>
      <w:tr>
        <w:tc>
          <w:tcPr>
            <w:tcW w:type="dxa" w:w="1584"/>
            <w:shd w:fill="F1F5F9"/>
            <w:tcMar>
              <w:top w:w="100" w:type="dxa"/>
              <w:bottom w:w="100" w:type="dxa"/>
              <w:left w:w="150" w:type="dxa"/>
              <w:right w:w="150" w:type="dxa"/>
            </w:tcMar>
            <w:vAlign w:val="center"/>
          </w:tcPr>
          <w:p>
            <w:pPr>
              <w:spacing w:after="0"/>
              <w:jc w:val="left"/>
            </w:pPr>
            <w:r>
              <w:rPr>
                <w:rFonts w:ascii="Calibri" w:hAnsi="Calibri"/>
                <w:color w:val="1E293B"/>
                <w:sz w:val="19"/>
              </w:rPr>
              <w:t>GET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/api/alerts</w:t>
            </w:r>
          </w:p>
        </w:tc>
        <w:tc>
          <w:tcPr>
            <w:tcW w:type="dxa" w:w="1296"/>
            <w:shd w:fill="F1F5F9"/>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1F5F9"/>
            <w:tcMar>
              <w:top w:w="100" w:type="dxa"/>
              <w:bottom w:w="100" w:type="dxa"/>
              <w:left w:w="150" w:type="dxa"/>
              <w:right w:w="150" w:type="dxa"/>
            </w:tcMar>
            <w:vAlign w:val="center"/>
          </w:tcPr>
          <w:p>
            <w:pPr>
              <w:spacing w:after="0"/>
              <w:jc w:val="left"/>
            </w:pPr>
            <w:r>
              <w:rPr>
                <w:rFonts w:ascii="Calibri" w:hAnsi="Calibri"/>
                <w:color w:val="1E293B"/>
                <w:sz w:val="19"/>
              </w:rPr>
              <w:t>Retrieves active tax deadline reminders and budget alert notifications.</w:t>
            </w:r>
          </w:p>
        </w:tc>
      </w:tr>
      <w:tr>
        <w:tc>
          <w:tcPr>
            <w:tcW w:type="dxa" w:w="1584"/>
            <w:shd w:fill="FFFFFF"/>
            <w:tcMar>
              <w:top w:w="100" w:type="dxa"/>
              <w:bottom w:w="100" w:type="dxa"/>
              <w:left w:w="150" w:type="dxa"/>
              <w:right w:w="150" w:type="dxa"/>
            </w:tcMar>
            <w:vAlign w:val="center"/>
          </w:tcPr>
          <w:p>
            <w:pPr>
              <w:spacing w:after="0"/>
              <w:jc w:val="left"/>
            </w:pPr>
            <w:r>
              <w:rPr>
                <w:rFonts w:ascii="Calibri" w:hAnsi="Calibri"/>
                <w:color w:val="1E293B"/>
                <w:sz w:val="19"/>
              </w:rPr>
              <w:t>PUT</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/api/alerts/:id/read</w:t>
            </w:r>
          </w:p>
        </w:tc>
        <w:tc>
          <w:tcPr>
            <w:tcW w:type="dxa" w:w="1296"/>
            <w:shd w:fill="FFFFFF"/>
            <w:tcMar>
              <w:top w:w="100" w:type="dxa"/>
              <w:bottom w:w="100" w:type="dxa"/>
              <w:left w:w="150" w:type="dxa"/>
              <w:right w:w="150" w:type="dxa"/>
            </w:tcMar>
            <w:vAlign w:val="center"/>
          </w:tcPr>
          <w:p>
            <w:pPr>
              <w:spacing w:after="0"/>
              <w:jc w:val="left"/>
            </w:pPr>
            <w:r>
              <w:rPr>
                <w:rFonts w:ascii="Calibri" w:hAnsi="Calibri"/>
                <w:color w:val="1E293B"/>
                <w:sz w:val="19"/>
              </w:rPr>
              <w:t>Yes</w:t>
            </w:r>
          </w:p>
        </w:tc>
        <w:tc>
          <w:tcPr>
            <w:tcW w:type="dxa" w:w="3888"/>
            <w:shd w:fill="FFFFFF"/>
            <w:tcMar>
              <w:top w:w="100" w:type="dxa"/>
              <w:bottom w:w="100" w:type="dxa"/>
              <w:left w:w="150" w:type="dxa"/>
              <w:right w:w="150" w:type="dxa"/>
            </w:tcMar>
            <w:vAlign w:val="center"/>
          </w:tcPr>
          <w:p>
            <w:pPr>
              <w:spacing w:after="0"/>
              <w:jc w:val="left"/>
            </w:pPr>
            <w:r>
              <w:rPr>
                <w:rFonts w:ascii="Calibri" w:hAnsi="Calibri"/>
                <w:color w:val="1E293B"/>
                <w:sz w:val="19"/>
              </w:rPr>
              <w:t>Marks a specific alert notification as read.</w:t>
            </w:r>
          </w:p>
        </w:tc>
      </w:tr>
    </w:tbl>
    <w:p>
      <w:pPr>
        <w:spacing w:after="160"/>
      </w:pPr>
    </w:p>
    <w:p>
      <w:pPr>
        <w:keepNext/>
        <w:spacing w:before="360" w:after="160"/>
      </w:pPr>
      <w:r>
        <w:rPr>
          <w:rFonts w:ascii="Calibri" w:hAnsi="Calibri"/>
          <w:b/>
          <w:color w:val="1E3A8A"/>
          <w:sz w:val="36"/>
        </w:rPr>
        <w:t>11. Testing &amp; Validation</w:t>
      </w:r>
    </w:p>
    <w:p>
      <w:pPr>
        <w:spacing w:after="120" w:line="276" w:lineRule="auto"/>
        <w:jc w:val="both"/>
      </w:pPr>
      <w:r>
        <w:rPr>
          <w:rFonts w:ascii="Calibri" w:hAnsi="Calibri"/>
          <w:b w:val="0"/>
          <w:i w:val="0"/>
          <w:color w:val="1E293B"/>
          <w:sz w:val="22"/>
        </w:rPr>
        <w:t>A rigorous, multi-tiered testing strategy was executed across the full stack to verify system reliability, numerical accuracy, security defenses, and responsive layout fidelity.</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152"/>
            <w:shd w:fill="1E3A8A"/>
            <w:tcMar>
              <w:top w:w="140" w:type="dxa"/>
              <w:bottom w:w="140" w:type="dxa"/>
              <w:left w:w="150" w:type="dxa"/>
              <w:right w:w="150" w:type="dxa"/>
            </w:tcMar>
            <w:vAlign w:val="center"/>
          </w:tcPr>
          <w:p>
            <w:pPr>
              <w:spacing w:after="0"/>
              <w:jc w:val="left"/>
            </w:pPr>
            <w:r>
              <w:rPr>
                <w:rFonts w:ascii="Calibri" w:hAnsi="Calibri"/>
                <w:b/>
                <w:color w:val="FFFFFF"/>
                <w:sz w:val="20"/>
              </w:rPr>
              <w:t>Test ID</w:t>
            </w:r>
          </w:p>
        </w:tc>
        <w:tc>
          <w:tcPr>
            <w:tcW w:type="dxa" w:w="1872"/>
            <w:shd w:fill="1E3A8A"/>
            <w:tcMar>
              <w:top w:w="140" w:type="dxa"/>
              <w:bottom w:w="140" w:type="dxa"/>
              <w:left w:w="150" w:type="dxa"/>
              <w:right w:w="150" w:type="dxa"/>
            </w:tcMar>
            <w:vAlign w:val="center"/>
          </w:tcPr>
          <w:p>
            <w:pPr>
              <w:spacing w:after="0"/>
              <w:jc w:val="left"/>
            </w:pPr>
            <w:r>
              <w:rPr>
                <w:rFonts w:ascii="Calibri" w:hAnsi="Calibri"/>
                <w:b/>
                <w:color w:val="FFFFFF"/>
                <w:sz w:val="20"/>
              </w:rPr>
              <w:t>Module Under Test</w:t>
            </w:r>
          </w:p>
        </w:tc>
        <w:tc>
          <w:tcPr>
            <w:tcW w:type="dxa" w:w="3024"/>
            <w:shd w:fill="1E3A8A"/>
            <w:tcMar>
              <w:top w:w="140" w:type="dxa"/>
              <w:bottom w:w="140" w:type="dxa"/>
              <w:left w:w="150" w:type="dxa"/>
              <w:right w:w="150" w:type="dxa"/>
            </w:tcMar>
            <w:vAlign w:val="center"/>
          </w:tcPr>
          <w:p>
            <w:pPr>
              <w:spacing w:after="0"/>
              <w:jc w:val="left"/>
            </w:pPr>
            <w:r>
              <w:rPr>
                <w:rFonts w:ascii="Calibri" w:hAnsi="Calibri"/>
                <w:b/>
                <w:color w:val="FFFFFF"/>
                <w:sz w:val="20"/>
              </w:rPr>
              <w:t>Test Scenario &amp; Input</w:t>
            </w:r>
          </w:p>
        </w:tc>
        <w:tc>
          <w:tcPr>
            <w:tcW w:type="dxa" w:w="2592"/>
            <w:shd w:fill="1E3A8A"/>
            <w:tcMar>
              <w:top w:w="140" w:type="dxa"/>
              <w:bottom w:w="140" w:type="dxa"/>
              <w:left w:w="150" w:type="dxa"/>
              <w:right w:w="150" w:type="dxa"/>
            </w:tcMar>
            <w:vAlign w:val="center"/>
          </w:tcPr>
          <w:p>
            <w:pPr>
              <w:spacing w:after="0"/>
              <w:jc w:val="left"/>
            </w:pPr>
            <w:r>
              <w:rPr>
                <w:rFonts w:ascii="Calibri" w:hAnsi="Calibri"/>
                <w:b/>
                <w:color w:val="FFFFFF"/>
                <w:sz w:val="20"/>
              </w:rPr>
              <w:t>Expected Result</w:t>
            </w:r>
          </w:p>
        </w:tc>
        <w:tc>
          <w:tcPr>
            <w:tcW w:type="dxa" w:w="720"/>
            <w:shd w:fill="1E3A8A"/>
            <w:tcMar>
              <w:top w:w="140" w:type="dxa"/>
              <w:bottom w:w="140" w:type="dxa"/>
              <w:left w:w="150" w:type="dxa"/>
              <w:right w:w="150" w:type="dxa"/>
            </w:tcMar>
            <w:vAlign w:val="center"/>
          </w:tcPr>
          <w:p>
            <w:pPr>
              <w:spacing w:after="0"/>
              <w:jc w:val="left"/>
            </w:pPr>
            <w:r>
              <w:rPr>
                <w:rFonts w:ascii="Calibri" w:hAnsi="Calibri"/>
                <w:b/>
                <w:color w:val="FFFFFF"/>
                <w:sz w:val="20"/>
              </w:rPr>
              <w:t>Status</w:t>
            </w:r>
          </w:p>
        </w:tc>
      </w:tr>
      <w:tr>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TC-01</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Authentication</w:t>
            </w:r>
          </w:p>
        </w:tc>
        <w:tc>
          <w:tcPr>
            <w:tcW w:type="dxa" w:w="3024"/>
            <w:shd w:fill="FFFFFF"/>
            <w:tcMar>
              <w:top w:w="100" w:type="dxa"/>
              <w:bottom w:w="100" w:type="dxa"/>
              <w:left w:w="150" w:type="dxa"/>
              <w:right w:w="150" w:type="dxa"/>
            </w:tcMar>
            <w:vAlign w:val="center"/>
          </w:tcPr>
          <w:p>
            <w:pPr>
              <w:spacing w:after="0"/>
              <w:jc w:val="left"/>
            </w:pPr>
            <w:r>
              <w:rPr>
                <w:rFonts w:ascii="Calibri" w:hAnsi="Calibri"/>
                <w:color w:val="1E293B"/>
                <w:sz w:val="19"/>
              </w:rPr>
              <w:t>User registration with valid email, strong password, and country.</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Account created in MongoDB, password hashed, 201 Created.</w:t>
            </w:r>
          </w:p>
        </w:tc>
        <w:tc>
          <w:tcPr>
            <w:tcW w:type="dxa" w:w="720"/>
            <w:shd w:fill="FFFFFF"/>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TC-02</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Authentication</w:t>
            </w:r>
          </w:p>
        </w:tc>
        <w:tc>
          <w:tcPr>
            <w:tcW w:type="dxa" w:w="3024"/>
            <w:shd w:fill="F1F5F9"/>
            <w:tcMar>
              <w:top w:w="100" w:type="dxa"/>
              <w:bottom w:w="100" w:type="dxa"/>
              <w:left w:w="150" w:type="dxa"/>
              <w:right w:w="150" w:type="dxa"/>
            </w:tcMar>
            <w:vAlign w:val="center"/>
          </w:tcPr>
          <w:p>
            <w:pPr>
              <w:spacing w:after="0"/>
              <w:jc w:val="left"/>
            </w:pPr>
            <w:r>
              <w:rPr>
                <w:rFonts w:ascii="Calibri" w:hAnsi="Calibri"/>
                <w:color w:val="1E293B"/>
                <w:sz w:val="19"/>
              </w:rPr>
              <w:t>Login attempt with incorrect password.</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401 Unauthorized returned; generic error message to prevent enumeration.</w:t>
            </w:r>
          </w:p>
        </w:tc>
        <w:tc>
          <w:tcPr>
            <w:tcW w:type="dxa" w:w="720"/>
            <w:shd w:fill="F1F5F9"/>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TC-03</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Transaction Logging</w:t>
            </w:r>
          </w:p>
        </w:tc>
        <w:tc>
          <w:tcPr>
            <w:tcW w:type="dxa" w:w="3024"/>
            <w:shd w:fill="FFFFFF"/>
            <w:tcMar>
              <w:top w:w="100" w:type="dxa"/>
              <w:bottom w:w="100" w:type="dxa"/>
              <w:left w:w="150" w:type="dxa"/>
              <w:right w:w="150" w:type="dxa"/>
            </w:tcMar>
            <w:vAlign w:val="center"/>
          </w:tcPr>
          <w:p>
            <w:pPr>
              <w:spacing w:after="0"/>
              <w:jc w:val="left"/>
            </w:pPr>
            <w:r>
              <w:rPr>
                <w:rFonts w:ascii="Calibri" w:hAnsi="Calibri"/>
                <w:color w:val="1E293B"/>
                <w:sz w:val="19"/>
              </w:rPr>
              <w:t>Record expense transaction with description 'Uber to Client Office'.</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Auto-categorized as 'Travel/Meals', transaction saved, dashboard KPI updated.</w:t>
            </w:r>
          </w:p>
        </w:tc>
        <w:tc>
          <w:tcPr>
            <w:tcW w:type="dxa" w:w="720"/>
            <w:shd w:fill="FFFFFF"/>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TC-04</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Budgeting Engine</w:t>
            </w:r>
          </w:p>
        </w:tc>
        <w:tc>
          <w:tcPr>
            <w:tcW w:type="dxa" w:w="3024"/>
            <w:shd w:fill="F1F5F9"/>
            <w:tcMar>
              <w:top w:w="100" w:type="dxa"/>
              <w:bottom w:w="100" w:type="dxa"/>
              <w:left w:w="150" w:type="dxa"/>
              <w:right w:w="150" w:type="dxa"/>
            </w:tcMar>
            <w:vAlign w:val="center"/>
          </w:tcPr>
          <w:p>
            <w:pPr>
              <w:spacing w:after="0"/>
              <w:jc w:val="left"/>
            </w:pPr>
            <w:r>
              <w:rPr>
                <w:rFonts w:ascii="Calibri" w:hAnsi="Calibri"/>
                <w:color w:val="1E293B"/>
                <w:sz w:val="19"/>
              </w:rPr>
              <w:t>Expense added that pushes category spending to 105% of limit.</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Budget indicator transitions to Red ('Exceeded'); alert record generated.</w:t>
            </w:r>
          </w:p>
        </w:tc>
        <w:tc>
          <w:tcPr>
            <w:tcW w:type="dxa" w:w="720"/>
            <w:shd w:fill="F1F5F9"/>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TC-05</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Tax Engine (India)</w:t>
            </w:r>
          </w:p>
        </w:tc>
        <w:tc>
          <w:tcPr>
            <w:tcW w:type="dxa" w:w="3024"/>
            <w:shd w:fill="FFFFFF"/>
            <w:tcMar>
              <w:top w:w="100" w:type="dxa"/>
              <w:bottom w:w="100" w:type="dxa"/>
              <w:left w:w="150" w:type="dxa"/>
              <w:right w:w="150" w:type="dxa"/>
            </w:tcMar>
            <w:vAlign w:val="center"/>
          </w:tcPr>
          <w:p>
            <w:pPr>
              <w:spacing w:after="0"/>
              <w:jc w:val="left"/>
            </w:pPr>
            <w:r>
              <w:rPr>
                <w:rFonts w:ascii="Calibri" w:hAnsi="Calibri"/>
                <w:color w:val="1E293B"/>
                <w:sz w:val="19"/>
              </w:rPr>
              <w:t>Gross income ₹15,00,000 under New Tax Regime.</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Progressive tax slabs computed accurately across all brackets.</w:t>
            </w:r>
          </w:p>
        </w:tc>
        <w:tc>
          <w:tcPr>
            <w:tcW w:type="dxa" w:w="720"/>
            <w:shd w:fill="FFFFFF"/>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TC-06</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Tax Engine (US/CA)</w:t>
            </w:r>
          </w:p>
        </w:tc>
        <w:tc>
          <w:tcPr>
            <w:tcW w:type="dxa" w:w="3024"/>
            <w:shd w:fill="F1F5F9"/>
            <w:tcMar>
              <w:top w:w="100" w:type="dxa"/>
              <w:bottom w:w="100" w:type="dxa"/>
              <w:left w:w="150" w:type="dxa"/>
              <w:right w:w="150" w:type="dxa"/>
            </w:tcMar>
            <w:vAlign w:val="center"/>
          </w:tcPr>
          <w:p>
            <w:pPr>
              <w:spacing w:after="0"/>
              <w:jc w:val="left"/>
            </w:pPr>
            <w:r>
              <w:rPr>
                <w:rFonts w:ascii="Calibri" w:hAnsi="Calibri"/>
                <w:color w:val="1E293B"/>
                <w:sz w:val="19"/>
              </w:rPr>
              <w:t>US California tax calculation with $50,000 quarterly income &amp; MFJ.</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Combined Federal + California state tax calculated correctly.</w:t>
            </w:r>
          </w:p>
        </w:tc>
        <w:tc>
          <w:tcPr>
            <w:tcW w:type="dxa" w:w="720"/>
            <w:shd w:fill="F1F5F9"/>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TC-07</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Report Export (PDF)</w:t>
            </w:r>
          </w:p>
        </w:tc>
        <w:tc>
          <w:tcPr>
            <w:tcW w:type="dxa" w:w="3024"/>
            <w:shd w:fill="FFFFFF"/>
            <w:tcMar>
              <w:top w:w="100" w:type="dxa"/>
              <w:bottom w:w="100" w:type="dxa"/>
              <w:left w:w="150" w:type="dxa"/>
              <w:right w:w="150" w:type="dxa"/>
            </w:tcMar>
            <w:vAlign w:val="center"/>
          </w:tcPr>
          <w:p>
            <w:pPr>
              <w:spacing w:after="0"/>
              <w:jc w:val="left"/>
            </w:pPr>
            <w:r>
              <w:rPr>
                <w:rFonts w:ascii="Calibri" w:hAnsi="Calibri"/>
                <w:color w:val="1E293B"/>
                <w:sz w:val="19"/>
              </w:rPr>
              <w:t>Request PDF Income Statement for 'Year to Date'.</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PDFKit streams valid binary PDF with headers, KPI grids, and charts.</w:t>
            </w:r>
          </w:p>
        </w:tc>
        <w:tc>
          <w:tcPr>
            <w:tcW w:type="dxa" w:w="720"/>
            <w:shd w:fill="FFFFFF"/>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TC-08</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Smart Scanner OCR</w:t>
            </w:r>
          </w:p>
        </w:tc>
        <w:tc>
          <w:tcPr>
            <w:tcW w:type="dxa" w:w="3024"/>
            <w:shd w:fill="F1F5F9"/>
            <w:tcMar>
              <w:top w:w="100" w:type="dxa"/>
              <w:bottom w:w="100" w:type="dxa"/>
              <w:left w:w="150" w:type="dxa"/>
              <w:right w:w="150" w:type="dxa"/>
            </w:tcMar>
            <w:vAlign w:val="center"/>
          </w:tcPr>
          <w:p>
            <w:pPr>
              <w:spacing w:after="0"/>
              <w:jc w:val="left"/>
            </w:pPr>
            <w:r>
              <w:rPr>
                <w:rFonts w:ascii="Calibri" w:hAnsi="Calibri"/>
                <w:color w:val="1E293B"/>
                <w:sz w:val="19"/>
              </w:rPr>
              <w:t>Upload receipt image containing vendor 'Starbucks' and amount $14.50.</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Gemini OCR extracts merchant, amount, date, and maps to Travel/Meals.</w:t>
            </w:r>
          </w:p>
        </w:tc>
        <w:tc>
          <w:tcPr>
            <w:tcW w:type="dxa" w:w="720"/>
            <w:shd w:fill="F1F5F9"/>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FFFFF"/>
            <w:tcMar>
              <w:top w:w="100" w:type="dxa"/>
              <w:bottom w:w="100" w:type="dxa"/>
              <w:left w:w="150" w:type="dxa"/>
              <w:right w:w="150" w:type="dxa"/>
            </w:tcMar>
            <w:vAlign w:val="center"/>
          </w:tcPr>
          <w:p>
            <w:pPr>
              <w:spacing w:after="0"/>
              <w:jc w:val="left"/>
            </w:pPr>
            <w:r>
              <w:rPr>
                <w:rFonts w:ascii="Calibri" w:hAnsi="Calibri"/>
                <w:color w:val="1E293B"/>
                <w:sz w:val="19"/>
              </w:rPr>
              <w:t>TC-09</w:t>
            </w:r>
          </w:p>
        </w:tc>
        <w:tc>
          <w:tcPr>
            <w:tcW w:type="dxa" w:w="1872"/>
            <w:shd w:fill="FFFFFF"/>
            <w:tcMar>
              <w:top w:w="100" w:type="dxa"/>
              <w:bottom w:w="100" w:type="dxa"/>
              <w:left w:w="150" w:type="dxa"/>
              <w:right w:w="150" w:type="dxa"/>
            </w:tcMar>
            <w:vAlign w:val="center"/>
          </w:tcPr>
          <w:p>
            <w:pPr>
              <w:spacing w:after="0"/>
              <w:jc w:val="left"/>
            </w:pPr>
            <w:r>
              <w:rPr>
                <w:rFonts w:ascii="Calibri" w:hAnsi="Calibri"/>
                <w:color w:val="1E293B"/>
                <w:sz w:val="19"/>
              </w:rPr>
              <w:t>AI Chatbot</w:t>
            </w:r>
          </w:p>
        </w:tc>
        <w:tc>
          <w:tcPr>
            <w:tcW w:type="dxa" w:w="3024"/>
            <w:shd w:fill="FFFFFF"/>
            <w:tcMar>
              <w:top w:w="100" w:type="dxa"/>
              <w:bottom w:w="100" w:type="dxa"/>
              <w:left w:w="150" w:type="dxa"/>
              <w:right w:w="150" w:type="dxa"/>
            </w:tcMar>
            <w:vAlign w:val="center"/>
          </w:tcPr>
          <w:p>
            <w:pPr>
              <w:spacing w:after="0"/>
              <w:jc w:val="left"/>
            </w:pPr>
            <w:r>
              <w:rPr>
                <w:rFonts w:ascii="Calibri" w:hAnsi="Calibri"/>
                <w:color w:val="1E293B"/>
                <w:sz w:val="19"/>
              </w:rPr>
              <w:t>Ask 'What is my current savings rate and top expense?'</w:t>
            </w:r>
          </w:p>
        </w:tc>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Assistant inspects real-time financial context and returns exact numbers.</w:t>
            </w:r>
          </w:p>
        </w:tc>
        <w:tc>
          <w:tcPr>
            <w:tcW w:type="dxa" w:w="720"/>
            <w:shd w:fill="FFFFFF"/>
            <w:tcMar>
              <w:top w:w="100" w:type="dxa"/>
              <w:bottom w:w="100" w:type="dxa"/>
              <w:left w:w="150" w:type="dxa"/>
              <w:right w:w="150" w:type="dxa"/>
            </w:tcMar>
            <w:vAlign w:val="center"/>
          </w:tcPr>
          <w:p>
            <w:pPr>
              <w:spacing w:after="0"/>
              <w:jc w:val="left"/>
            </w:pPr>
            <w:r>
              <w:rPr>
                <w:rFonts w:ascii="Calibri" w:hAnsi="Calibri"/>
                <w:color w:val="1E293B"/>
                <w:sz w:val="19"/>
              </w:rPr>
              <w:t>PASSED</w:t>
            </w:r>
          </w:p>
        </w:tc>
      </w:tr>
      <w:tr>
        <w:tc>
          <w:tcPr>
            <w:tcW w:type="dxa" w:w="1152"/>
            <w:shd w:fill="F1F5F9"/>
            <w:tcMar>
              <w:top w:w="100" w:type="dxa"/>
              <w:bottom w:w="100" w:type="dxa"/>
              <w:left w:w="150" w:type="dxa"/>
              <w:right w:w="150" w:type="dxa"/>
            </w:tcMar>
            <w:vAlign w:val="center"/>
          </w:tcPr>
          <w:p>
            <w:pPr>
              <w:spacing w:after="0"/>
              <w:jc w:val="left"/>
            </w:pPr>
            <w:r>
              <w:rPr>
                <w:rFonts w:ascii="Calibri" w:hAnsi="Calibri"/>
                <w:color w:val="1E293B"/>
                <w:sz w:val="19"/>
              </w:rPr>
              <w:t>TC-10</w:t>
            </w:r>
          </w:p>
        </w:tc>
        <w:tc>
          <w:tcPr>
            <w:tcW w:type="dxa" w:w="1872"/>
            <w:shd w:fill="F1F5F9"/>
            <w:tcMar>
              <w:top w:w="100" w:type="dxa"/>
              <w:bottom w:w="100" w:type="dxa"/>
              <w:left w:w="150" w:type="dxa"/>
              <w:right w:w="150" w:type="dxa"/>
            </w:tcMar>
            <w:vAlign w:val="center"/>
          </w:tcPr>
          <w:p>
            <w:pPr>
              <w:spacing w:after="0"/>
              <w:jc w:val="left"/>
            </w:pPr>
            <w:r>
              <w:rPr>
                <w:rFonts w:ascii="Calibri" w:hAnsi="Calibri"/>
                <w:color w:val="1E293B"/>
                <w:sz w:val="19"/>
              </w:rPr>
              <w:t>SMTP Email Service</w:t>
            </w:r>
          </w:p>
        </w:tc>
        <w:tc>
          <w:tcPr>
            <w:tcW w:type="dxa" w:w="3024"/>
            <w:shd w:fill="F1F5F9"/>
            <w:tcMar>
              <w:top w:w="100" w:type="dxa"/>
              <w:bottom w:w="100" w:type="dxa"/>
              <w:left w:w="150" w:type="dxa"/>
              <w:right w:w="150" w:type="dxa"/>
            </w:tcMar>
            <w:vAlign w:val="center"/>
          </w:tcPr>
          <w:p>
            <w:pPr>
              <w:spacing w:after="0"/>
              <w:jc w:val="left"/>
            </w:pPr>
            <w:r>
              <w:rPr>
                <w:rFonts w:ascii="Calibri" w:hAnsi="Calibri"/>
                <w:color w:val="1E293B"/>
                <w:sz w:val="19"/>
              </w:rPr>
              <w:t>Send generated financial report to user email.</w:t>
            </w:r>
          </w:p>
        </w:tc>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Nodemailer connects to SMTP transport and delivers email with PDF attachment.</w:t>
            </w:r>
          </w:p>
        </w:tc>
        <w:tc>
          <w:tcPr>
            <w:tcW w:type="dxa" w:w="720"/>
            <w:shd w:fill="F1F5F9"/>
            <w:tcMar>
              <w:top w:w="100" w:type="dxa"/>
              <w:bottom w:w="100" w:type="dxa"/>
              <w:left w:w="150" w:type="dxa"/>
              <w:right w:w="150" w:type="dxa"/>
            </w:tcMar>
            <w:vAlign w:val="center"/>
          </w:tcPr>
          <w:p>
            <w:pPr>
              <w:spacing w:after="0"/>
              <w:jc w:val="left"/>
            </w:pPr>
            <w:r>
              <w:rPr>
                <w:rFonts w:ascii="Calibri" w:hAnsi="Calibri"/>
                <w:color w:val="1E293B"/>
                <w:sz w:val="19"/>
              </w:rPr>
              <w:t>PASSED</w:t>
            </w:r>
          </w:p>
        </w:tc>
      </w:tr>
    </w:tbl>
    <w:p>
      <w:pPr>
        <w:spacing w:after="160"/>
      </w:pPr>
    </w:p>
    <w:p>
      <w:pPr>
        <w:keepNext/>
        <w:spacing w:before="360" w:after="160"/>
      </w:pPr>
      <w:r>
        <w:rPr>
          <w:rFonts w:ascii="Calibri" w:hAnsi="Calibri"/>
          <w:b/>
          <w:color w:val="1E3A8A"/>
          <w:sz w:val="36"/>
        </w:rPr>
        <w:t>12. Deployment &amp; Execution Environment</w:t>
      </w:r>
    </w:p>
    <w:p>
      <w:pPr>
        <w:keepNext/>
        <w:spacing w:before="280" w:after="120"/>
      </w:pPr>
      <w:r>
        <w:rPr>
          <w:rFonts w:ascii="Calibri" w:hAnsi="Calibri"/>
          <w:b/>
          <w:color w:val="334155"/>
          <w:sz w:val="28"/>
        </w:rPr>
        <w:t>12.1 Local Development &amp; Staging Environment</w:t>
      </w:r>
    </w:p>
    <w:p>
      <w:pPr>
        <w:spacing w:after="120" w:line="276" w:lineRule="auto"/>
        <w:jc w:val="both"/>
      </w:pPr>
      <w:r>
        <w:rPr>
          <w:rFonts w:ascii="Calibri" w:hAnsi="Calibri"/>
          <w:b w:val="0"/>
          <w:i w:val="0"/>
          <w:color w:val="1E293B"/>
          <w:sz w:val="22"/>
        </w:rPr>
        <w:t>TaxPal was developed and thoroughly validated in a unified local development and staging environment. Both tiers run concurrently on developer workstations:</w:t>
      </w:r>
    </w:p>
    <w:p>
      <w:pPr>
        <w:pStyle w:val="ListBullet"/>
        <w:spacing w:after="80" w:line="276" w:lineRule="auto"/>
        <w:jc w:val="both"/>
      </w:pPr>
      <w:r>
        <w:rPr>
          <w:rFonts w:ascii="Calibri" w:hAnsi="Calibri"/>
          <w:b/>
          <w:color w:val="1E293B"/>
          <w:sz w:val="22"/>
        </w:rPr>
        <w:t xml:space="preserve">Backend API Server: </w:t>
      </w:r>
      <w:r>
        <w:rPr>
          <w:rFonts w:ascii="Calibri" w:hAnsi="Calibri"/>
          <w:color w:val="1E293B"/>
          <w:sz w:val="22"/>
        </w:rPr>
        <w:t>Executes on Node.js runtime using ts-node-dev / nodemon on port 5000 (http://localhost:5000). Connects to a local MongoDB instance (mongodb://localhost:27017/taxpal) or MongoDB Atlas cluster.</w:t>
      </w:r>
    </w:p>
    <w:p>
      <w:pPr>
        <w:pStyle w:val="ListBullet"/>
        <w:spacing w:after="80" w:line="276" w:lineRule="auto"/>
        <w:jc w:val="both"/>
      </w:pPr>
      <w:r>
        <w:rPr>
          <w:rFonts w:ascii="Calibri" w:hAnsi="Calibri"/>
          <w:b/>
          <w:color w:val="1E293B"/>
          <w:sz w:val="22"/>
        </w:rPr>
        <w:t xml:space="preserve">Frontend Client Application: </w:t>
      </w:r>
      <w:r>
        <w:rPr>
          <w:rFonts w:ascii="Calibri" w:hAnsi="Calibri"/>
          <w:color w:val="1E293B"/>
          <w:sz w:val="22"/>
        </w:rPr>
        <w:t>Executes on Angular CLI development server on port 4200 (http://localhost:4200) with hot-module replacement and proxy configurations.</w:t>
      </w:r>
    </w:p>
    <w:p>
      <w:pPr>
        <w:keepNext/>
        <w:spacing w:before="280" w:after="120"/>
      </w:pPr>
      <w:r>
        <w:rPr>
          <w:rFonts w:ascii="Calibri" w:hAnsi="Calibri"/>
          <w:b/>
          <w:color w:val="334155"/>
          <w:sz w:val="28"/>
        </w:rPr>
        <w:t>12.2 Configuration Management &amp; Environment Variables</w:t>
      </w:r>
    </w:p>
    <w:p>
      <w:pPr>
        <w:spacing w:after="120" w:line="276" w:lineRule="auto"/>
        <w:jc w:val="both"/>
      </w:pPr>
      <w:r>
        <w:rPr>
          <w:rFonts w:ascii="Calibri" w:hAnsi="Calibri"/>
          <w:b w:val="0"/>
          <w:i w:val="0"/>
          <w:color w:val="1E293B"/>
          <w:sz w:val="22"/>
        </w:rPr>
        <w:t>System configurations are strictly separated from code using environment files (.env). Key parameters include:</w:t>
      </w:r>
    </w:p>
    <w:p>
      <w:pPr>
        <w:pStyle w:val="ListBullet"/>
        <w:spacing w:after="80" w:line="276" w:lineRule="auto"/>
        <w:jc w:val="both"/>
      </w:pPr>
      <w:r>
        <w:rPr>
          <w:rFonts w:ascii="Calibri" w:hAnsi="Calibri"/>
          <w:b/>
          <w:color w:val="1E293B"/>
          <w:sz w:val="22"/>
        </w:rPr>
        <w:t xml:space="preserve">PORT &amp; NODE_ENV: </w:t>
      </w:r>
      <w:r>
        <w:rPr>
          <w:rFonts w:ascii="Calibri" w:hAnsi="Calibri"/>
          <w:color w:val="1E293B"/>
          <w:sz w:val="22"/>
        </w:rPr>
        <w:t>Server listening port (5000) and environment mode (development / production).</w:t>
      </w:r>
    </w:p>
    <w:p>
      <w:pPr>
        <w:pStyle w:val="ListBullet"/>
        <w:spacing w:after="80" w:line="276" w:lineRule="auto"/>
        <w:jc w:val="both"/>
      </w:pPr>
      <w:r>
        <w:rPr>
          <w:rFonts w:ascii="Calibri" w:hAnsi="Calibri"/>
          <w:b/>
          <w:color w:val="1E293B"/>
          <w:sz w:val="22"/>
        </w:rPr>
        <w:t xml:space="preserve">MONGODB_URI: </w:t>
      </w:r>
      <w:r>
        <w:rPr>
          <w:rFonts w:ascii="Calibri" w:hAnsi="Calibri"/>
          <w:color w:val="1E293B"/>
          <w:sz w:val="22"/>
        </w:rPr>
        <w:t>Database connection string with authentication credentials and database name.</w:t>
      </w:r>
    </w:p>
    <w:p>
      <w:pPr>
        <w:pStyle w:val="ListBullet"/>
        <w:spacing w:after="80" w:line="276" w:lineRule="auto"/>
        <w:jc w:val="both"/>
      </w:pPr>
      <w:r>
        <w:rPr>
          <w:rFonts w:ascii="Calibri" w:hAnsi="Calibri"/>
          <w:b/>
          <w:color w:val="1E293B"/>
          <w:sz w:val="22"/>
        </w:rPr>
        <w:t xml:space="preserve">JWT_SECRET &amp; REFRESH_SECRET: </w:t>
      </w:r>
      <w:r>
        <w:rPr>
          <w:rFonts w:ascii="Calibri" w:hAnsi="Calibri"/>
          <w:color w:val="1E293B"/>
          <w:sz w:val="22"/>
        </w:rPr>
        <w:t>Cryptographic secret keys for signing short-lived access tokens (15m) and refresh tokens (7d).</w:t>
      </w:r>
    </w:p>
    <w:p>
      <w:pPr>
        <w:pStyle w:val="ListBullet"/>
        <w:spacing w:after="80" w:line="276" w:lineRule="auto"/>
        <w:jc w:val="both"/>
      </w:pPr>
      <w:r>
        <w:rPr>
          <w:rFonts w:ascii="Calibri" w:hAnsi="Calibri"/>
          <w:b/>
          <w:color w:val="1E293B"/>
          <w:sz w:val="22"/>
        </w:rPr>
        <w:t xml:space="preserve">GEMINI_API_KEY: </w:t>
      </w:r>
      <w:r>
        <w:rPr>
          <w:rFonts w:ascii="Calibri" w:hAnsi="Calibri"/>
          <w:color w:val="1E293B"/>
          <w:sz w:val="22"/>
        </w:rPr>
        <w:t>Google AI Studio API key for powering Smart Scanner OCR and Chatbot.</w:t>
      </w:r>
    </w:p>
    <w:p>
      <w:pPr>
        <w:pStyle w:val="ListBullet"/>
        <w:spacing w:after="80" w:line="276" w:lineRule="auto"/>
        <w:jc w:val="both"/>
      </w:pPr>
      <w:r>
        <w:rPr>
          <w:rFonts w:ascii="Calibri" w:hAnsi="Calibri"/>
          <w:b/>
          <w:color w:val="1E293B"/>
          <w:sz w:val="22"/>
        </w:rPr>
        <w:t xml:space="preserve">SMTP Credentials: </w:t>
      </w:r>
      <w:r>
        <w:rPr>
          <w:rFonts w:ascii="Calibri" w:hAnsi="Calibri"/>
          <w:color w:val="1E293B"/>
          <w:sz w:val="22"/>
        </w:rPr>
        <w:t>SMTP_HOST, SMTP_PORT, SMTP_USER, and SMTP_PASS for Nodemailer transactional emails.</w:t>
      </w:r>
    </w:p>
    <w:p>
      <w:pPr>
        <w:keepNext/>
        <w:spacing w:before="280" w:after="120"/>
      </w:pPr>
      <w:r>
        <w:rPr>
          <w:rFonts w:ascii="Calibri" w:hAnsi="Calibri"/>
          <w:b/>
          <w:color w:val="334155"/>
          <w:sz w:val="28"/>
        </w:rPr>
        <w:t>12.3 Deployment Status Note</w:t>
      </w:r>
    </w:p>
    <w:p>
      <w:pPr>
        <w:spacing w:after="120" w:line="276" w:lineRule="auto"/>
        <w:jc w:val="both"/>
      </w:pPr>
      <w:r>
        <w:rPr>
          <w:rFonts w:ascii="Calibri" w:hAnsi="Calibri"/>
          <w:b w:val="0"/>
          <w:i w:val="0"/>
          <w:color w:val="1E293B"/>
          <w:sz w:val="22"/>
        </w:rPr>
        <w:t>Note on Deployment: In accordance with the academic milestone requirements and project scope for this phase, TaxPal was engineered, validated, and demonstrated in a comprehensive local staging environment. Public cloud production deployment (such as AWS ECS or Vercel) was not executed in this milestone cycle; however, the monorepo has been structured with production build scripts (npm run build) and standard containerization readiness for seamless future cloud hosting.</w:t>
      </w:r>
    </w:p>
    <w:p>
      <w:pPr>
        <w:keepNext/>
        <w:spacing w:before="360" w:after="160"/>
      </w:pPr>
      <w:r>
        <w:rPr>
          <w:rFonts w:ascii="Calibri" w:hAnsi="Calibri"/>
          <w:b/>
          <w:color w:val="1E3A8A"/>
          <w:sz w:val="36"/>
        </w:rPr>
        <w:t>13. Challenges &amp; Solutions</w:t>
      </w:r>
    </w:p>
    <w:p>
      <w:pPr>
        <w:keepNext/>
        <w:spacing w:before="280" w:after="120"/>
      </w:pPr>
      <w:r>
        <w:rPr>
          <w:rFonts w:ascii="Calibri" w:hAnsi="Calibri"/>
          <w:b/>
          <w:color w:val="334155"/>
          <w:sz w:val="28"/>
        </w:rPr>
        <w:t>13.1 Team Restructuring &amp; Workload Reallocation</w:t>
      </w:r>
    </w:p>
    <w:p>
      <w:pPr>
        <w:spacing w:after="120" w:line="276" w:lineRule="auto"/>
        <w:jc w:val="both"/>
      </w:pPr>
      <w:r>
        <w:rPr>
          <w:rFonts w:ascii="Calibri" w:hAnsi="Calibri"/>
          <w:b w:val="0"/>
          <w:i w:val="0"/>
          <w:color w:val="1E293B"/>
          <w:sz w:val="22"/>
        </w:rPr>
        <w:t>Challenge: At the inception of the project, the team was originally constituted of 6 members. However, during Milestone 1, 3 team members ceased communication, stopped responding to project assignments, and subsequently departed from the team. This unexpected 50% reduction in personnel posed a serious risk to milestone deadlines and deliverables.</w:t>
      </w:r>
    </w:p>
    <w:p>
      <w:pPr>
        <w:spacing w:after="120" w:line="276" w:lineRule="auto"/>
        <w:jc w:val="both"/>
      </w:pPr>
      <w:r>
        <w:rPr>
          <w:rFonts w:ascii="Calibri" w:hAnsi="Calibri"/>
          <w:b w:val="0"/>
          <w:i w:val="0"/>
          <w:color w:val="1E293B"/>
          <w:sz w:val="22"/>
        </w:rPr>
        <w:t>Solution: The remaining three team members—Sujay (Team Leader), Dhanshri, and Rohith—demonstrated exceptional resilience and agile adaptability. Sujay restructured the project roadmap, took full charge of database architecture, frontend development, end-to-end integration, code reviews, and report generation engines. Dhanshri and Rohith took over full ownership of backend API services, multi-country tax research, OCR scanner integration, and chatbot development. Through daily standups, clear task partitioning, and mutual code reviews, the team successfully overcame the deficit and delivered all 4 milestones plus multiple advanced feature additions ahead of schedule.</w:t>
      </w:r>
    </w:p>
    <w:p>
      <w:pPr>
        <w:keepNext/>
        <w:spacing w:before="280" w:after="120"/>
      </w:pPr>
      <w:r>
        <w:rPr>
          <w:rFonts w:ascii="Calibri" w:hAnsi="Calibri"/>
          <w:b/>
          <w:color w:val="334155"/>
          <w:sz w:val="28"/>
        </w:rPr>
        <w:t>13.2 Technical Challenges &amp; Architectural Solutions</w:t>
      </w:r>
    </w:p>
    <w:p>
      <w:pPr>
        <w:pStyle w:val="ListBullet"/>
        <w:spacing w:after="80" w:line="276" w:lineRule="auto"/>
        <w:jc w:val="both"/>
      </w:pPr>
      <w:r>
        <w:rPr>
          <w:rFonts w:ascii="Calibri" w:hAnsi="Calibri"/>
          <w:b/>
          <w:color w:val="1E293B"/>
          <w:sz w:val="22"/>
        </w:rPr>
        <w:t xml:space="preserve">Complex Multi-Country Tax Mathematical Modeling: </w:t>
      </w:r>
      <w:r>
        <w:rPr>
          <w:rFonts w:ascii="Calibri" w:hAnsi="Calibri"/>
          <w:color w:val="1E293B"/>
          <w:sz w:val="22"/>
        </w:rPr>
        <w:t>Tax laws vary drastically across jurisdictions (e.g., US state taxes + federal brackets vs. Indian New Tax Regime vs. German income splitting vs. UK devolved Scottish bands). Solution: Architected a modular tax registry in taxCalculator.ts with normalized input interfaces, deduction pipelines, and country-specific progressive slab calculators.</w:t>
      </w:r>
    </w:p>
    <w:p>
      <w:pPr>
        <w:pStyle w:val="ListBullet"/>
        <w:spacing w:after="80" w:line="276" w:lineRule="auto"/>
        <w:jc w:val="both"/>
      </w:pPr>
      <w:r>
        <w:rPr>
          <w:rFonts w:ascii="Calibri" w:hAnsi="Calibri"/>
          <w:b/>
          <w:color w:val="1E293B"/>
          <w:sz w:val="22"/>
        </w:rPr>
        <w:t xml:space="preserve">Server-Side PDF Streaming &amp; Formatting: </w:t>
      </w:r>
      <w:r>
        <w:rPr>
          <w:rFonts w:ascii="Calibri" w:hAnsi="Calibri"/>
          <w:color w:val="1E293B"/>
          <w:sz w:val="22"/>
        </w:rPr>
        <w:t>Generating clean, multi-page PDF documents with vector tables, dynamic heights, and corporate branding without memory leaks. Solution: Implemented PDFKit stream pipelines with dynamic coordinate tracking, page wrapping logic, and buffered outputs.</w:t>
      </w:r>
    </w:p>
    <w:p>
      <w:pPr>
        <w:pStyle w:val="ListBullet"/>
        <w:spacing w:after="80" w:line="276" w:lineRule="auto"/>
        <w:jc w:val="both"/>
      </w:pPr>
      <w:r>
        <w:rPr>
          <w:rFonts w:ascii="Calibri" w:hAnsi="Calibri"/>
          <w:b/>
          <w:color w:val="1E293B"/>
          <w:sz w:val="22"/>
        </w:rPr>
        <w:t xml:space="preserve">Asynchronous AI Receipt Parsing &amp; Token Handling: </w:t>
      </w:r>
      <w:r>
        <w:rPr>
          <w:rFonts w:ascii="Calibri" w:hAnsi="Calibri"/>
          <w:color w:val="1E293B"/>
          <w:sz w:val="22"/>
        </w:rPr>
        <w:t>Handling diverse receipt formats (images, PDFs, rotated scans) and handling API latency or missing keys. Solution: Engineered multi-modal Gemini Vision prompts with structured JSON responses, paired with a robust local keyword-matching heuristic engine as a zero-failure fallback.</w:t>
      </w:r>
    </w:p>
    <w:p>
      <w:pPr>
        <w:keepNext/>
        <w:spacing w:before="360" w:after="160"/>
      </w:pPr>
      <w:r>
        <w:rPr>
          <w:rFonts w:ascii="Calibri" w:hAnsi="Calibri"/>
          <w:b/>
          <w:color w:val="1E3A8A"/>
          <w:sz w:val="36"/>
        </w:rPr>
        <w:t>14. Team Members &amp; Contributions</w:t>
      </w:r>
    </w:p>
    <w:p>
      <w:pPr>
        <w:keepNext/>
        <w:spacing w:before="280" w:after="120"/>
      </w:pPr>
      <w:r>
        <w:rPr>
          <w:rFonts w:ascii="Calibri" w:hAnsi="Calibri"/>
          <w:b/>
          <w:color w:val="334155"/>
          <w:sz w:val="28"/>
        </w:rPr>
        <w:t>14.1 Team Structure &amp; Roles</w:t>
      </w:r>
    </w:p>
    <w:p>
      <w:pPr>
        <w:pStyle w:val="ListBullet"/>
        <w:spacing w:after="80" w:line="276" w:lineRule="auto"/>
        <w:jc w:val="both"/>
      </w:pPr>
      <w:r>
        <w:rPr>
          <w:rFonts w:ascii="Calibri" w:hAnsi="Calibri"/>
          <w:b/>
          <w:color w:val="1E293B"/>
          <w:sz w:val="22"/>
        </w:rPr>
        <w:t xml:space="preserve">Sujay: </w:t>
      </w:r>
      <w:r>
        <w:rPr>
          <w:rFonts w:ascii="Calibri" w:hAnsi="Calibri"/>
          <w:color w:val="1E293B"/>
          <w:sz w:val="22"/>
        </w:rPr>
        <w:t>Team Leader — Database Architecture, Full-Stack Integration, Frontend Development, Code Reviews, Reporting Engine, SMTP Integration.</w:t>
      </w:r>
    </w:p>
    <w:p>
      <w:pPr>
        <w:pStyle w:val="ListBullet"/>
        <w:spacing w:after="80" w:line="276" w:lineRule="auto"/>
        <w:jc w:val="both"/>
      </w:pPr>
      <w:r>
        <w:rPr>
          <w:rFonts w:ascii="Calibri" w:hAnsi="Calibri"/>
          <w:b/>
          <w:color w:val="1E293B"/>
          <w:sz w:val="22"/>
        </w:rPr>
        <w:t xml:space="preserve">Dhanshri: </w:t>
      </w:r>
      <w:r>
        <w:rPr>
          <w:rFonts w:ascii="Calibri" w:hAnsi="Calibri"/>
          <w:color w:val="1E293B"/>
          <w:sz w:val="22"/>
        </w:rPr>
        <w:t>Team Member — Backend API Development, AI Chatbot Assistant Engine, Service Layer Implementation.</w:t>
      </w:r>
    </w:p>
    <w:p>
      <w:pPr>
        <w:pStyle w:val="ListBullet"/>
        <w:spacing w:after="80" w:line="276" w:lineRule="auto"/>
        <w:jc w:val="both"/>
      </w:pPr>
      <w:r>
        <w:rPr>
          <w:rFonts w:ascii="Calibri" w:hAnsi="Calibri"/>
          <w:b/>
          <w:color w:val="1E293B"/>
          <w:sz w:val="22"/>
        </w:rPr>
        <w:t xml:space="preserve">Rohith: </w:t>
      </w:r>
      <w:r>
        <w:rPr>
          <w:rFonts w:ascii="Calibri" w:hAnsi="Calibri"/>
          <w:color w:val="1E293B"/>
          <w:sz w:val="22"/>
        </w:rPr>
        <w:t>Team Member — Backend API Development, Multi-Country Tax Regimes Research &amp; Data Collection, Smart Scanner OCR Engine.</w:t>
      </w:r>
    </w:p>
    <w:p>
      <w:pPr>
        <w:keepNext/>
        <w:spacing w:before="280" w:after="120"/>
      </w:pPr>
      <w:r>
        <w:rPr>
          <w:rFonts w:ascii="Calibri" w:hAnsi="Calibri"/>
          <w:b/>
          <w:color w:val="334155"/>
          <w:sz w:val="28"/>
        </w:rPr>
        <w:t>14.2 Detailed Milestone-by-Milestone Contributions</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016"/>
            <w:shd w:fill="1E3A8A"/>
            <w:tcMar>
              <w:top w:w="140" w:type="dxa"/>
              <w:bottom w:w="140" w:type="dxa"/>
              <w:left w:w="150" w:type="dxa"/>
              <w:right w:w="150" w:type="dxa"/>
            </w:tcMar>
            <w:vAlign w:val="center"/>
          </w:tcPr>
          <w:p>
            <w:pPr>
              <w:spacing w:after="0"/>
              <w:jc w:val="left"/>
            </w:pPr>
            <w:r>
              <w:rPr>
                <w:rFonts w:ascii="Calibri" w:hAnsi="Calibri"/>
                <w:b/>
                <w:color w:val="FFFFFF"/>
                <w:sz w:val="20"/>
              </w:rPr>
              <w:t>Milestone</w:t>
            </w:r>
          </w:p>
        </w:tc>
        <w:tc>
          <w:tcPr>
            <w:tcW w:type="dxa" w:w="2016"/>
            <w:shd w:fill="1E3A8A"/>
            <w:tcMar>
              <w:top w:w="140" w:type="dxa"/>
              <w:bottom w:w="140" w:type="dxa"/>
              <w:left w:w="150" w:type="dxa"/>
              <w:right w:w="150" w:type="dxa"/>
            </w:tcMar>
            <w:vAlign w:val="center"/>
          </w:tcPr>
          <w:p>
            <w:pPr>
              <w:spacing w:after="0"/>
              <w:jc w:val="left"/>
            </w:pPr>
            <w:r>
              <w:rPr>
                <w:rFonts w:ascii="Calibri" w:hAnsi="Calibri"/>
                <w:b/>
                <w:color w:val="FFFFFF"/>
                <w:sz w:val="20"/>
              </w:rPr>
              <w:t>Team Member</w:t>
            </w:r>
          </w:p>
        </w:tc>
        <w:tc>
          <w:tcPr>
            <w:tcW w:type="dxa" w:w="5328"/>
            <w:shd w:fill="1E3A8A"/>
            <w:tcMar>
              <w:top w:w="140" w:type="dxa"/>
              <w:bottom w:w="140" w:type="dxa"/>
              <w:left w:w="150" w:type="dxa"/>
              <w:right w:w="150" w:type="dxa"/>
            </w:tcMar>
            <w:vAlign w:val="center"/>
          </w:tcPr>
          <w:p>
            <w:pPr>
              <w:spacing w:after="0"/>
              <w:jc w:val="left"/>
            </w:pPr>
            <w:r>
              <w:rPr>
                <w:rFonts w:ascii="Calibri" w:hAnsi="Calibri"/>
                <w:b/>
                <w:color w:val="FFFFFF"/>
                <w:sz w:val="20"/>
              </w:rPr>
              <w:t>Specific Engineering Contributions</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Milestone 1 (Transaction Logging)</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Rohith &amp; Dhanshri</w:t>
            </w:r>
          </w:p>
        </w:tc>
        <w:tc>
          <w:tcPr>
            <w:tcW w:type="dxa" w:w="5328"/>
            <w:shd w:fill="FFFFFF"/>
            <w:tcMar>
              <w:top w:w="100" w:type="dxa"/>
              <w:bottom w:w="100" w:type="dxa"/>
              <w:left w:w="150" w:type="dxa"/>
              <w:right w:w="150" w:type="dxa"/>
            </w:tcMar>
            <w:vAlign w:val="center"/>
          </w:tcPr>
          <w:p>
            <w:pPr>
              <w:spacing w:after="0"/>
              <w:jc w:val="left"/>
            </w:pPr>
            <w:r>
              <w:rPr>
                <w:rFonts w:ascii="Calibri" w:hAnsi="Calibri"/>
                <w:color w:val="1E293B"/>
                <w:sz w:val="19"/>
              </w:rPr>
              <w:t>Developed core backend RESTful APIs for user authentication (register, login, refresh, logout) and transaction CRUD operations.</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Milestone 1 (Transaction Logging)</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Sujay (Team Leader)</w:t>
            </w:r>
          </w:p>
        </w:tc>
        <w:tc>
          <w:tcPr>
            <w:tcW w:type="dxa" w:w="5328"/>
            <w:shd w:fill="F1F5F9"/>
            <w:tcMar>
              <w:top w:w="100" w:type="dxa"/>
              <w:bottom w:w="100" w:type="dxa"/>
              <w:left w:w="150" w:type="dxa"/>
              <w:right w:w="150" w:type="dxa"/>
            </w:tcMar>
            <w:vAlign w:val="center"/>
          </w:tcPr>
          <w:p>
            <w:pPr>
              <w:spacing w:after="0"/>
              <w:jc w:val="left"/>
            </w:pPr>
            <w:r>
              <w:rPr>
                <w:rFonts w:ascii="Calibri" w:hAnsi="Calibri"/>
                <w:color w:val="1E293B"/>
                <w:sz w:val="19"/>
              </w:rPr>
              <w:t>Engineered MongoDB database schema, reviewed backend codebase, designed and implemented complete Angular frontend components, and integrated frontend with backend API.</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Milestone 2 (Categorization &amp; Budgeting)</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Rohith &amp; Dhanshri</w:t>
            </w:r>
          </w:p>
        </w:tc>
        <w:tc>
          <w:tcPr>
            <w:tcW w:type="dxa" w:w="5328"/>
            <w:shd w:fill="FFFFFF"/>
            <w:tcMar>
              <w:top w:w="100" w:type="dxa"/>
              <w:bottom w:w="100" w:type="dxa"/>
              <w:left w:w="150" w:type="dxa"/>
              <w:right w:w="150" w:type="dxa"/>
            </w:tcMar>
            <w:vAlign w:val="center"/>
          </w:tcPr>
          <w:p>
            <w:pPr>
              <w:spacing w:after="0"/>
              <w:jc w:val="left"/>
            </w:pPr>
            <w:r>
              <w:rPr>
                <w:rFonts w:ascii="Calibri" w:hAnsi="Calibri"/>
                <w:color w:val="1E293B"/>
                <w:sz w:val="19"/>
              </w:rPr>
              <w:t>Developed backend services and routes for custom category management, default seeding, and monthly budget limit tracking.</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Milestone 2 (Categorization &amp; Budgeting)</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Sujay (Team Leader)</w:t>
            </w:r>
          </w:p>
        </w:tc>
        <w:tc>
          <w:tcPr>
            <w:tcW w:type="dxa" w:w="5328"/>
            <w:shd w:fill="F1F5F9"/>
            <w:tcMar>
              <w:top w:w="100" w:type="dxa"/>
              <w:bottom w:w="100" w:type="dxa"/>
              <w:left w:w="150" w:type="dxa"/>
              <w:right w:w="150" w:type="dxa"/>
            </w:tcMar>
            <w:vAlign w:val="center"/>
          </w:tcPr>
          <w:p>
            <w:pPr>
              <w:spacing w:after="0"/>
              <w:jc w:val="left"/>
            </w:pPr>
            <w:r>
              <w:rPr>
                <w:rFonts w:ascii="Calibri" w:hAnsi="Calibri"/>
                <w:color w:val="1E293B"/>
                <w:sz w:val="19"/>
              </w:rPr>
              <w:t>Conducted backend code reviews, built frontend category customization and budget progress UI with dynamic health indicators, and integrated auto-suggest logic.</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Milestone 3 (Tax Estimation Engine)</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Dhanshri</w:t>
            </w:r>
          </w:p>
        </w:tc>
        <w:tc>
          <w:tcPr>
            <w:tcW w:type="dxa" w:w="5328"/>
            <w:shd w:fill="FFFFFF"/>
            <w:tcMar>
              <w:top w:w="100" w:type="dxa"/>
              <w:bottom w:w="100" w:type="dxa"/>
              <w:left w:w="150" w:type="dxa"/>
              <w:right w:w="150" w:type="dxa"/>
            </w:tcMar>
            <w:vAlign w:val="center"/>
          </w:tcPr>
          <w:p>
            <w:pPr>
              <w:spacing w:after="0"/>
              <w:jc w:val="left"/>
            </w:pPr>
            <w:r>
              <w:rPr>
                <w:rFonts w:ascii="Calibri" w:hAnsi="Calibri"/>
                <w:color w:val="1E293B"/>
                <w:sz w:val="19"/>
              </w:rPr>
              <w:t>Developed backend tax estimation service layer, route handlers, and tax record persistence controllers.</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Milestone 3 (Tax Estimation Engine)</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Rohith</w:t>
            </w:r>
          </w:p>
        </w:tc>
        <w:tc>
          <w:tcPr>
            <w:tcW w:type="dxa" w:w="5328"/>
            <w:shd w:fill="F1F5F9"/>
            <w:tcMar>
              <w:top w:w="100" w:type="dxa"/>
              <w:bottom w:w="100" w:type="dxa"/>
              <w:left w:w="150" w:type="dxa"/>
              <w:right w:w="150" w:type="dxa"/>
            </w:tcMar>
            <w:vAlign w:val="center"/>
          </w:tcPr>
          <w:p>
            <w:pPr>
              <w:spacing w:after="0"/>
              <w:jc w:val="left"/>
            </w:pPr>
            <w:r>
              <w:rPr>
                <w:rFonts w:ascii="Calibri" w:hAnsi="Calibri"/>
                <w:color w:val="1E293B"/>
                <w:sz w:val="19"/>
              </w:rPr>
              <w:t>Researched, collected, and cataloged official tax regime data, tax slabs, progressive brackets, and deduction rules across 10+ countries.</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Milestone 3 (Tax Estimation Engine)</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Sujay (Team Leader)</w:t>
            </w:r>
          </w:p>
        </w:tc>
        <w:tc>
          <w:tcPr>
            <w:tcW w:type="dxa" w:w="5328"/>
            <w:shd w:fill="FFFFFF"/>
            <w:tcMar>
              <w:top w:w="100" w:type="dxa"/>
              <w:bottom w:w="100" w:type="dxa"/>
              <w:left w:w="150" w:type="dxa"/>
              <w:right w:w="150" w:type="dxa"/>
            </w:tcMar>
            <w:vAlign w:val="center"/>
          </w:tcPr>
          <w:p>
            <w:pPr>
              <w:spacing w:after="0"/>
              <w:jc w:val="left"/>
            </w:pPr>
            <w:r>
              <w:rPr>
                <w:rFonts w:ascii="Calibri" w:hAnsi="Calibri"/>
                <w:color w:val="1E293B"/>
                <w:sz w:val="19"/>
              </w:rPr>
              <w:t>Reviewed tax backend logic, integrated tax calculation engine, built frontend tax calculator interface and interactive quarterly tax calendar view.</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Milestone 4 (Reporting &amp; Advanced Features)</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Sujay (Team Leader)</w:t>
            </w:r>
          </w:p>
        </w:tc>
        <w:tc>
          <w:tcPr>
            <w:tcW w:type="dxa" w:w="5328"/>
            <w:shd w:fill="F1F5F9"/>
            <w:tcMar>
              <w:top w:w="100" w:type="dxa"/>
              <w:bottom w:w="100" w:type="dxa"/>
              <w:left w:w="150" w:type="dxa"/>
              <w:right w:w="150" w:type="dxa"/>
            </w:tcMar>
            <w:vAlign w:val="center"/>
          </w:tcPr>
          <w:p>
            <w:pPr>
              <w:spacing w:after="0"/>
              <w:jc w:val="left"/>
            </w:pPr>
            <w:r>
              <w:rPr>
                <w:rFonts w:ascii="Calibri" w:hAnsi="Calibri"/>
                <w:color w:val="1E293B"/>
                <w:sz w:val="19"/>
              </w:rPr>
              <w:t>Architected and implemented entire Milestone 4 reporting engine (Income Statement, Expense Breakdown, Tax Summary) with PDFKit and CSV export, in-browser preview, and configured SMTP email transport.</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Milestone 4 (Reporting &amp; Advanced Features)</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Dhanshri</w:t>
            </w:r>
          </w:p>
        </w:tc>
        <w:tc>
          <w:tcPr>
            <w:tcW w:type="dxa" w:w="5328"/>
            <w:shd w:fill="FFFFFF"/>
            <w:tcMar>
              <w:top w:w="100" w:type="dxa"/>
              <w:bottom w:w="100" w:type="dxa"/>
              <w:left w:w="150" w:type="dxa"/>
              <w:right w:w="150" w:type="dxa"/>
            </w:tcMar>
            <w:vAlign w:val="center"/>
          </w:tcPr>
          <w:p>
            <w:pPr>
              <w:spacing w:after="0"/>
              <w:jc w:val="left"/>
            </w:pPr>
            <w:r>
              <w:rPr>
                <w:rFonts w:ascii="Calibri" w:hAnsi="Calibri"/>
                <w:color w:val="1E293B"/>
                <w:sz w:val="19"/>
              </w:rPr>
              <w:t>Developed the AI-powered Financial Chatbot Assistant with Google Gemini integration, session memory, and financial context injection.</w:t>
            </w:r>
          </w:p>
        </w:tc>
      </w:tr>
      <w:tr>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Milestone 4 (Reporting &amp; Advanced Features)</w:t>
            </w:r>
          </w:p>
        </w:tc>
        <w:tc>
          <w:tcPr>
            <w:tcW w:type="dxa" w:w="2016"/>
            <w:shd w:fill="F1F5F9"/>
            <w:tcMar>
              <w:top w:w="100" w:type="dxa"/>
              <w:bottom w:w="100" w:type="dxa"/>
              <w:left w:w="150" w:type="dxa"/>
              <w:right w:w="150" w:type="dxa"/>
            </w:tcMar>
            <w:vAlign w:val="center"/>
          </w:tcPr>
          <w:p>
            <w:pPr>
              <w:spacing w:after="0"/>
              <w:jc w:val="left"/>
            </w:pPr>
            <w:r>
              <w:rPr>
                <w:rFonts w:ascii="Calibri" w:hAnsi="Calibri"/>
                <w:color w:val="1E293B"/>
                <w:sz w:val="19"/>
              </w:rPr>
              <w:t>Rohith</w:t>
            </w:r>
          </w:p>
        </w:tc>
        <w:tc>
          <w:tcPr>
            <w:tcW w:type="dxa" w:w="5328"/>
            <w:shd w:fill="F1F5F9"/>
            <w:tcMar>
              <w:top w:w="100" w:type="dxa"/>
              <w:bottom w:w="100" w:type="dxa"/>
              <w:left w:w="150" w:type="dxa"/>
              <w:right w:w="150" w:type="dxa"/>
            </w:tcMar>
            <w:vAlign w:val="center"/>
          </w:tcPr>
          <w:p>
            <w:pPr>
              <w:spacing w:after="0"/>
              <w:jc w:val="left"/>
            </w:pPr>
            <w:r>
              <w:rPr>
                <w:rFonts w:ascii="Calibri" w:hAnsi="Calibri"/>
                <w:color w:val="1E293B"/>
                <w:sz w:val="19"/>
              </w:rPr>
              <w:t>Implemented the Smart Scanner OCR feature for automated receipt document scanning, multi-modal extraction, and category matching.</w:t>
            </w:r>
          </w:p>
        </w:tc>
      </w:tr>
      <w:tr>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Milestone 4 (Reporting &amp; Advanced Features)</w:t>
            </w:r>
          </w:p>
        </w:tc>
        <w:tc>
          <w:tcPr>
            <w:tcW w:type="dxa" w:w="2016"/>
            <w:shd w:fill="FFFFFF"/>
            <w:tcMar>
              <w:top w:w="100" w:type="dxa"/>
              <w:bottom w:w="100" w:type="dxa"/>
              <w:left w:w="150" w:type="dxa"/>
              <w:right w:w="150" w:type="dxa"/>
            </w:tcMar>
            <w:vAlign w:val="center"/>
          </w:tcPr>
          <w:p>
            <w:pPr>
              <w:spacing w:after="0"/>
              <w:jc w:val="left"/>
            </w:pPr>
            <w:r>
              <w:rPr>
                <w:rFonts w:ascii="Calibri" w:hAnsi="Calibri"/>
                <w:color w:val="1E293B"/>
                <w:sz w:val="19"/>
              </w:rPr>
              <w:t>Sujay (Team Leader)</w:t>
            </w:r>
          </w:p>
        </w:tc>
        <w:tc>
          <w:tcPr>
            <w:tcW w:type="dxa" w:w="5328"/>
            <w:shd w:fill="FFFFFF"/>
            <w:tcMar>
              <w:top w:w="100" w:type="dxa"/>
              <w:bottom w:w="100" w:type="dxa"/>
              <w:left w:w="150" w:type="dxa"/>
              <w:right w:w="150" w:type="dxa"/>
            </w:tcMar>
            <w:vAlign w:val="center"/>
          </w:tcPr>
          <w:p>
            <w:pPr>
              <w:spacing w:after="0"/>
              <w:jc w:val="left"/>
            </w:pPr>
            <w:r>
              <w:rPr>
                <w:rFonts w:ascii="Calibri" w:hAnsi="Calibri"/>
                <w:color w:val="1E293B"/>
                <w:sz w:val="19"/>
              </w:rPr>
              <w:t>Integrated Nodemailer SMTP notification service for OTP verification, report emailing, and scheduled quarterly tax due date reminder alerts.</w:t>
            </w:r>
          </w:p>
        </w:tc>
      </w:tr>
    </w:tbl>
    <w:p>
      <w:pPr>
        <w:spacing w:after="160"/>
      </w:pPr>
    </w:p>
    <w:p>
      <w:pPr>
        <w:keepNext/>
        <w:spacing w:before="360" w:after="160"/>
      </w:pPr>
      <w:r>
        <w:rPr>
          <w:rFonts w:ascii="Calibri" w:hAnsi="Calibri"/>
          <w:b/>
          <w:color w:val="1E3A8A"/>
          <w:sz w:val="36"/>
        </w:rPr>
        <w:t>15. Future Enhancements</w:t>
      </w:r>
    </w:p>
    <w:p>
      <w:pPr>
        <w:spacing w:after="120" w:line="276" w:lineRule="auto"/>
        <w:jc w:val="both"/>
      </w:pPr>
      <w:r>
        <w:rPr>
          <w:rFonts w:ascii="Calibri" w:hAnsi="Calibri"/>
          <w:b w:val="0"/>
          <w:i w:val="0"/>
          <w:color w:val="1E293B"/>
          <w:sz w:val="22"/>
        </w:rPr>
        <w:t>While TaxPal delivers a comprehensive personal finance and tax estimation suite, future roadmap iterations will introduce the following high-value enterprise features:</w:t>
      </w:r>
    </w:p>
    <w:p>
      <w:pPr>
        <w:pStyle w:val="ListBullet"/>
        <w:spacing w:after="80" w:line="276" w:lineRule="auto"/>
        <w:jc w:val="both"/>
      </w:pPr>
      <w:r>
        <w:rPr>
          <w:rFonts w:ascii="Calibri" w:hAnsi="Calibri"/>
          <w:b/>
          <w:color w:val="1E293B"/>
          <w:sz w:val="22"/>
        </w:rPr>
        <w:t xml:space="preserve">Direct Government Tax Portal Redirection &amp; Online Payment: </w:t>
      </w:r>
      <w:r>
        <w:rPr>
          <w:rFonts w:ascii="Calibri" w:hAnsi="Calibri"/>
          <w:color w:val="1E293B"/>
          <w:sz w:val="22"/>
        </w:rPr>
        <w:t>Integrate a direct tax payment gateway module that allows freelancers to click 'Pay Tax' from their quarterly tax estimate and be redirected automatically to the official tax portal of their respective country (e.g., Income Tax e-Filing portal for India, IRS Direct Pay / EFTPS for the United States, HMRC online services for the United Kingdom, CRA My Account for Canada, and ATO online services for Australia) with pre-populated challan details.</w:t>
      </w:r>
    </w:p>
    <w:p>
      <w:pPr>
        <w:pStyle w:val="ListBullet"/>
        <w:spacing w:after="80" w:line="276" w:lineRule="auto"/>
        <w:jc w:val="both"/>
      </w:pPr>
      <w:r>
        <w:rPr>
          <w:rFonts w:ascii="Calibri" w:hAnsi="Calibri"/>
          <w:b/>
          <w:color w:val="1E293B"/>
          <w:sz w:val="22"/>
        </w:rPr>
        <w:t xml:space="preserve">Open Banking &amp; Automated Bank Feed Sync: </w:t>
      </w:r>
      <w:r>
        <w:rPr>
          <w:rFonts w:ascii="Calibri" w:hAnsi="Calibri"/>
          <w:color w:val="1E293B"/>
          <w:sz w:val="22"/>
        </w:rPr>
        <w:t>Integrate Open Banking APIs (e.g., Plaid, Yodlee, Setu) to securely synchronize live transaction feeds directly from freelancer bank accounts and credit cards, eliminating manual logging.</w:t>
      </w:r>
    </w:p>
    <w:p>
      <w:pPr>
        <w:pStyle w:val="ListBullet"/>
        <w:spacing w:after="80" w:line="276" w:lineRule="auto"/>
        <w:jc w:val="both"/>
      </w:pPr>
      <w:r>
        <w:rPr>
          <w:rFonts w:ascii="Calibri" w:hAnsi="Calibri"/>
          <w:b/>
          <w:color w:val="1E293B"/>
          <w:sz w:val="22"/>
        </w:rPr>
        <w:t xml:space="preserve">Predictive Cash-Flow &amp; Tax Forecasting: </w:t>
      </w:r>
      <w:r>
        <w:rPr>
          <w:rFonts w:ascii="Calibri" w:hAnsi="Calibri"/>
          <w:color w:val="1E293B"/>
          <w:sz w:val="22"/>
        </w:rPr>
        <w:t>Incorporate Machine Learning models (ARIMA / LSTM) to forecast future cash flow, identify seasonal income dips, and recommend optimal quarterly tax reserve allocations.</w:t>
      </w:r>
    </w:p>
    <w:p>
      <w:pPr>
        <w:pStyle w:val="ListBullet"/>
        <w:spacing w:after="80" w:line="276" w:lineRule="auto"/>
        <w:jc w:val="both"/>
      </w:pPr>
      <w:r>
        <w:rPr>
          <w:rFonts w:ascii="Calibri" w:hAnsi="Calibri"/>
          <w:b/>
          <w:color w:val="1E293B"/>
          <w:sz w:val="22"/>
        </w:rPr>
        <w:t xml:space="preserve">Cross-Platform Mobile Applications: </w:t>
      </w:r>
      <w:r>
        <w:rPr>
          <w:rFonts w:ascii="Calibri" w:hAnsi="Calibri"/>
          <w:color w:val="1E293B"/>
          <w:sz w:val="22"/>
        </w:rPr>
        <w:t>Package the Angular client into native iOS and Android mobile applications using Capacitor / Ionic to enable instant on-the-go receipt photography and push notifications.</w:t>
      </w:r>
    </w:p>
    <w:p>
      <w:pPr>
        <w:pStyle w:val="ListBullet"/>
        <w:spacing w:after="80" w:line="276" w:lineRule="auto"/>
        <w:jc w:val="both"/>
      </w:pPr>
      <w:r>
        <w:rPr>
          <w:rFonts w:ascii="Calibri" w:hAnsi="Calibri"/>
          <w:b/>
          <w:color w:val="1E293B"/>
          <w:sz w:val="22"/>
        </w:rPr>
        <w:t xml:space="preserve">Multi-Currency Real-Time Conversion: </w:t>
      </w:r>
      <w:r>
        <w:rPr>
          <w:rFonts w:ascii="Calibri" w:hAnsi="Calibri"/>
          <w:color w:val="1E293B"/>
          <w:sz w:val="22"/>
        </w:rPr>
        <w:t>Integrate real-time foreign exchange (FX) rate APIs to automatically convert multi-currency client invoices (e.g., USD, EUR, GBP) into the user's primary tax reporting currency.</w:t>
      </w:r>
    </w:p>
    <w:p>
      <w:pPr>
        <w:keepNext/>
        <w:spacing w:before="360" w:after="160"/>
      </w:pPr>
      <w:r>
        <w:rPr>
          <w:rFonts w:ascii="Calibri" w:hAnsi="Calibri"/>
          <w:b/>
          <w:color w:val="1E3A8A"/>
          <w:sz w:val="36"/>
        </w:rPr>
        <w:t>16. Conclusion</w:t>
      </w:r>
    </w:p>
    <w:p>
      <w:pPr>
        <w:spacing w:after="120" w:line="276" w:lineRule="auto"/>
        <w:jc w:val="both"/>
      </w:pPr>
      <w:r>
        <w:rPr>
          <w:rFonts w:ascii="Calibri" w:hAnsi="Calibri"/>
          <w:b w:val="0"/>
          <w:i w:val="0"/>
          <w:color w:val="1E293B"/>
          <w:sz w:val="22"/>
        </w:rPr>
        <w:t>TaxPal successfully fulfills the crucial requirement for a unified, intelligent, and accessible personal finance and tax estimation platform tailored for the modern freelance workforce. By marrying intuitive expense tracking, dynamic budgeting discipline, multi-country tax calculations, automated financial reporting, AI-powered receipt scanning, and conversational assistance into a cohesive full-stack web application, TaxPal dramatically reduces the administrative complexity and anxiety associated with self-employment finances.</w:t>
      </w:r>
    </w:p>
    <w:p>
      <w:pPr>
        <w:spacing w:after="120" w:line="276" w:lineRule="auto"/>
        <w:jc w:val="both"/>
      </w:pPr>
      <w:r>
        <w:rPr>
          <w:rFonts w:ascii="Calibri" w:hAnsi="Calibri"/>
          <w:b w:val="0"/>
          <w:i w:val="0"/>
          <w:color w:val="1E293B"/>
          <w:sz w:val="22"/>
        </w:rPr>
        <w:t>Despite significant team restructuring challenges early in the development lifecycle, the team demonstrated remarkable dedication, technical agility, and engineering rigor—delivering all core project milestones and multiple advanced capabilities. The resulting application stands as an official, highly scalable, and production-ready software solution that empowers freelancers globally to take command of their financial futures.</w:t>
      </w:r>
    </w:p>
    <w:p>
      <w:pPr>
        <w:keepNext/>
        <w:spacing w:before="360" w:after="160"/>
      </w:pPr>
      <w:r>
        <w:rPr>
          <w:rFonts w:ascii="Calibri" w:hAnsi="Calibri"/>
          <w:b/>
          <w:color w:val="1E3A8A"/>
          <w:sz w:val="36"/>
        </w:rPr>
        <w:t>17. References</w:t>
      </w:r>
    </w:p>
    <w:p>
      <w:pPr>
        <w:spacing w:after="120" w:line="276" w:lineRule="auto"/>
        <w:jc w:val="both"/>
      </w:pPr>
      <w:r>
        <w:rPr>
          <w:rFonts w:ascii="Calibri" w:hAnsi="Calibri"/>
          <w:b w:val="0"/>
          <w:i w:val="0"/>
          <w:color w:val="1E293B"/>
          <w:sz w:val="22"/>
        </w:rPr>
        <w:t>All tax calculation algorithms, tax slabs, and statutory filing guidelines were researched and modeled directly from official national revenue authorities and technical documentation:</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3120"/>
        <w:gridCol w:w="3120"/>
        <w:gridCol w:w="3120"/>
      </w:tblGrid>
      <w:tr>
        <w:tc>
          <w:tcPr>
            <w:tcW w:type="dxa" w:w="2592"/>
            <w:shd w:fill="1E3A8A"/>
            <w:tcMar>
              <w:top w:w="140" w:type="dxa"/>
              <w:bottom w:w="140" w:type="dxa"/>
              <w:left w:w="150" w:type="dxa"/>
              <w:right w:w="150" w:type="dxa"/>
            </w:tcMar>
            <w:vAlign w:val="center"/>
          </w:tcPr>
          <w:p>
            <w:pPr>
              <w:spacing w:after="0"/>
              <w:jc w:val="left"/>
            </w:pPr>
            <w:r>
              <w:rPr>
                <w:rFonts w:ascii="Calibri" w:hAnsi="Calibri"/>
                <w:b/>
                <w:color w:val="FFFFFF"/>
                <w:sz w:val="20"/>
              </w:rPr>
              <w:t>Reference Source / Organization</w:t>
            </w:r>
          </w:p>
        </w:tc>
        <w:tc>
          <w:tcPr>
            <w:tcW w:type="dxa" w:w="2736"/>
            <w:shd w:fill="1E3A8A"/>
            <w:tcMar>
              <w:top w:w="140" w:type="dxa"/>
              <w:bottom w:w="140" w:type="dxa"/>
              <w:left w:w="150" w:type="dxa"/>
              <w:right w:w="150" w:type="dxa"/>
            </w:tcMar>
            <w:vAlign w:val="center"/>
          </w:tcPr>
          <w:p>
            <w:pPr>
              <w:spacing w:after="0"/>
              <w:jc w:val="left"/>
            </w:pPr>
            <w:r>
              <w:rPr>
                <w:rFonts w:ascii="Calibri" w:hAnsi="Calibri"/>
                <w:b/>
                <w:color w:val="FFFFFF"/>
                <w:sz w:val="20"/>
              </w:rPr>
              <w:t>Jurisdiction / Scope</w:t>
            </w:r>
          </w:p>
        </w:tc>
        <w:tc>
          <w:tcPr>
            <w:tcW w:type="dxa" w:w="4032"/>
            <w:shd w:fill="1E3A8A"/>
            <w:tcMar>
              <w:top w:w="140" w:type="dxa"/>
              <w:bottom w:w="140" w:type="dxa"/>
              <w:left w:w="150" w:type="dxa"/>
              <w:right w:w="150" w:type="dxa"/>
            </w:tcMar>
            <w:vAlign w:val="center"/>
          </w:tcPr>
          <w:p>
            <w:pPr>
              <w:spacing w:after="0"/>
              <w:jc w:val="left"/>
            </w:pPr>
            <w:r>
              <w:rPr>
                <w:rFonts w:ascii="Calibri" w:hAnsi="Calibri"/>
                <w:b/>
                <w:color w:val="FFFFFF"/>
                <w:sz w:val="20"/>
              </w:rPr>
              <w:t>Official Portal / Documentation Link</w:t>
            </w:r>
          </w:p>
        </w:tc>
      </w:tr>
      <w:tr>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Income Tax Department of India</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India (New Tax Regime Slabs &amp; Surcharge)</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https://www.incometax.gov.in</w:t>
            </w:r>
          </w:p>
        </w:tc>
      </w:tr>
      <w:tr>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Internal Revenue Service (IRS)</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United States (Federal Tax Brackets, Form 1040-ES)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https://www.irs.gov</w:t>
            </w:r>
          </w:p>
        </w:tc>
      </w:tr>
      <w:tr>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California Franchise Tax Board (FTB)</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USA (California State Income Tax)</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https://www.ftb.ca.gov</w:t>
            </w:r>
          </w:p>
        </w:tc>
      </w:tr>
      <w:tr>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New York State Dept. of Taxation &amp; Finance</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USA (New York State Personal Income Tax)</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https://www.tax.ny.gov</w:t>
            </w:r>
          </w:p>
        </w:tc>
      </w:tr>
      <w:tr>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HM Revenue &amp; Customs (HMRC)</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United Kingdom (Income Tax &amp; Scottish Rates)</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https://www.gov.uk/hmrc</w:t>
            </w:r>
          </w:p>
        </w:tc>
      </w:tr>
      <w:tr>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Canada Revenue Agency (CRA)</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Canada (Federal &amp; Provincial Tax Slabs)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https://www.canada.ca/en/revenue-agency.html</w:t>
            </w:r>
          </w:p>
        </w:tc>
      </w:tr>
      <w:tr>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Australian Taxation Office (ATO)</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Australia (Individual Resident Income Tax)</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https://www.ato.gov.au</w:t>
            </w:r>
          </w:p>
        </w:tc>
      </w:tr>
      <w:tr>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Federal Central Tax Office (BZSt)</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Germany (Einkommensteuertarif &amp; Splitting)</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https://www.bzst.de</w:t>
            </w:r>
          </w:p>
        </w:tc>
      </w:tr>
      <w:tr>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National Tax Agency (NTA)</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Japan (Income Tax &amp; Inhabitant Tax)</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https://www.nta.go.jp</w:t>
            </w:r>
          </w:p>
        </w:tc>
      </w:tr>
      <w:tr>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Inland Revenue Authority of Singapore (IRAS)</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Singapore (Resident Individual Tax Rates)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https://www.iras.gov.sg</w:t>
            </w:r>
          </w:p>
        </w:tc>
      </w:tr>
      <w:tr>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Federal Tax Administration (FTA)</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Switzerland (Direct Federal &amp; Cantonal Tax)</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https://www.estv.admin.ch</w:t>
            </w:r>
          </w:p>
        </w:tc>
      </w:tr>
      <w:tr>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Angular Official Documentation</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Frontend Framework (Standalone &amp; Signals)</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https://angular.dev</w:t>
            </w:r>
          </w:p>
        </w:tc>
      </w:tr>
      <w:tr>
        <w:tc>
          <w:tcPr>
            <w:tcW w:type="dxa" w:w="2592"/>
            <w:shd w:fill="FFFFFF"/>
            <w:tcMar>
              <w:top w:w="100" w:type="dxa"/>
              <w:bottom w:w="100" w:type="dxa"/>
              <w:left w:w="150" w:type="dxa"/>
              <w:right w:w="150" w:type="dxa"/>
            </w:tcMar>
            <w:vAlign w:val="center"/>
          </w:tcPr>
          <w:p>
            <w:pPr>
              <w:spacing w:after="0"/>
              <w:jc w:val="left"/>
            </w:pPr>
            <w:r>
              <w:rPr>
                <w:rFonts w:ascii="Calibri" w:hAnsi="Calibri"/>
                <w:color w:val="1E293B"/>
                <w:sz w:val="19"/>
              </w:rPr>
              <w:t>Node.js &amp; Express.js Documentation</w:t>
            </w:r>
          </w:p>
        </w:tc>
        <w:tc>
          <w:tcPr>
            <w:tcW w:type="dxa" w:w="2736"/>
            <w:shd w:fill="FFFFFF"/>
            <w:tcMar>
              <w:top w:w="100" w:type="dxa"/>
              <w:bottom w:w="100" w:type="dxa"/>
              <w:left w:w="150" w:type="dxa"/>
              <w:right w:w="150" w:type="dxa"/>
            </w:tcMar>
            <w:vAlign w:val="center"/>
          </w:tcPr>
          <w:p>
            <w:pPr>
              <w:spacing w:after="0"/>
              <w:jc w:val="left"/>
            </w:pPr>
            <w:r>
              <w:rPr>
                <w:rFonts w:ascii="Calibri" w:hAnsi="Calibri"/>
                <w:color w:val="1E293B"/>
                <w:sz w:val="19"/>
              </w:rPr>
              <w:t>Backend RESTful API &amp; Middleware</w:t>
            </w:r>
          </w:p>
        </w:tc>
        <w:tc>
          <w:tcPr>
            <w:tcW w:type="dxa" w:w="4032"/>
            <w:shd w:fill="FFFFFF"/>
            <w:tcMar>
              <w:top w:w="100" w:type="dxa"/>
              <w:bottom w:w="100" w:type="dxa"/>
              <w:left w:w="150" w:type="dxa"/>
              <w:right w:w="150" w:type="dxa"/>
            </w:tcMar>
            <w:vAlign w:val="center"/>
          </w:tcPr>
          <w:p>
            <w:pPr>
              <w:spacing w:after="0"/>
              <w:jc w:val="left"/>
            </w:pPr>
            <w:r>
              <w:rPr>
                <w:rFonts w:ascii="Calibri" w:hAnsi="Calibri"/>
                <w:color w:val="1E293B"/>
                <w:sz w:val="19"/>
              </w:rPr>
              <w:t>https://nodejs.org / https://expressjs.com</w:t>
            </w:r>
          </w:p>
        </w:tc>
      </w:tr>
      <w:tr>
        <w:tc>
          <w:tcPr>
            <w:tcW w:type="dxa" w:w="2592"/>
            <w:shd w:fill="F1F5F9"/>
            <w:tcMar>
              <w:top w:w="100" w:type="dxa"/>
              <w:bottom w:w="100" w:type="dxa"/>
              <w:left w:w="150" w:type="dxa"/>
              <w:right w:w="150" w:type="dxa"/>
            </w:tcMar>
            <w:vAlign w:val="center"/>
          </w:tcPr>
          <w:p>
            <w:pPr>
              <w:spacing w:after="0"/>
              <w:jc w:val="left"/>
            </w:pPr>
            <w:r>
              <w:rPr>
                <w:rFonts w:ascii="Calibri" w:hAnsi="Calibri"/>
                <w:color w:val="1E293B"/>
                <w:sz w:val="19"/>
              </w:rPr>
              <w:t>MongoDB &amp; Mongoose Documentation</w:t>
            </w:r>
          </w:p>
        </w:tc>
        <w:tc>
          <w:tcPr>
            <w:tcW w:type="dxa" w:w="2736"/>
            <w:shd w:fill="F1F5F9"/>
            <w:tcMar>
              <w:top w:w="100" w:type="dxa"/>
              <w:bottom w:w="100" w:type="dxa"/>
              <w:left w:w="150" w:type="dxa"/>
              <w:right w:w="150" w:type="dxa"/>
            </w:tcMar>
            <w:vAlign w:val="center"/>
          </w:tcPr>
          <w:p>
            <w:pPr>
              <w:spacing w:after="0"/>
              <w:jc w:val="left"/>
            </w:pPr>
            <w:r>
              <w:rPr>
                <w:rFonts w:ascii="Calibri" w:hAnsi="Calibri"/>
                <w:color w:val="1E293B"/>
                <w:sz w:val="19"/>
              </w:rPr>
              <w:t>Database Schema Modeling &amp; ODM</w:t>
            </w:r>
          </w:p>
        </w:tc>
        <w:tc>
          <w:tcPr>
            <w:tcW w:type="dxa" w:w="4032"/>
            <w:shd w:fill="F1F5F9"/>
            <w:tcMar>
              <w:top w:w="100" w:type="dxa"/>
              <w:bottom w:w="100" w:type="dxa"/>
              <w:left w:w="150" w:type="dxa"/>
              <w:right w:w="150" w:type="dxa"/>
            </w:tcMar>
            <w:vAlign w:val="center"/>
          </w:tcPr>
          <w:p>
            <w:pPr>
              <w:spacing w:after="0"/>
              <w:jc w:val="left"/>
            </w:pPr>
            <w:r>
              <w:rPr>
                <w:rFonts w:ascii="Calibri" w:hAnsi="Calibri"/>
                <w:color w:val="1E293B"/>
                <w:sz w:val="19"/>
              </w:rPr>
              <w:t>https://mongoosejs.com</w:t>
            </w:r>
          </w:p>
        </w:tc>
      </w:tr>
    </w:tbl>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