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16700" w:hRule="atLeast"/>
        </w:trPr>
        <w:tc>
          <w:tcPr>
            <w:tcW w:type="dxa" w:w="11906"/>
            <w:shd w:fill="16283F" w:color="auto" w:val="clear"/>
            <w:tcMar>
              <w:top w:type="dxa" w:w="0"/>
              <w:left w:type="dxa" w:w="1000"/>
              <w:bottom w:type="dxa" w:w="0"/>
              <w:right w:type="dxa" w:w="1000"/>
            </w:tcMar>
            <w:vAlign w:val="center"/>
          </w:tcPr>
          <w:p>
            <w:pPr>
              <w:spacing w:after="900"/>
            </w:pPr>
            <w:r>
              <w:t xml:space="preserve"/>
            </w:r>
          </w:p>
          <w:p>
            <w:pPr>
              <w:spacing w:after="100"/>
              <w:jc w:val="center"/>
            </w:pPr>
            <w:r>
              <w:rPr>
                <w:rFonts w:ascii="Calibri" w:cs="Calibri" w:eastAsia="Calibri" w:hAnsi="Calibri"/>
                <w:b/>
                <w:bCs/>
                <w:color w:val="9FC4E8"/>
                <w:spacing w:val="20"/>
                <w:sz w:val="22"/>
                <w:szCs w:val="22"/>
              </w:rPr>
              <w:t xml:space="preserve">INFOSYS SPRINGBOARD VIRTUAL INTERNSHIP</w:t>
            </w:r>
          </w:p>
          <w:p>
            <w:pPr>
              <w:pBdr>
                <w:bottom w:val="single" w:color="2E75B6" w:sz="8" w:space="10"/>
              </w:pBdr>
              <w:spacing w:after="500"/>
              <w:jc w:val="center"/>
            </w:pPr>
            <w:r>
              <w:rPr>
                <w:rFonts w:ascii="Calibri" w:cs="Calibri" w:eastAsia="Calibri" w:hAnsi="Calibri"/>
                <w:color w:val="D6E4F0"/>
                <w:spacing w:val="10"/>
                <w:sz w:val="20"/>
                <w:szCs w:val="20"/>
              </w:rPr>
              <w:t xml:space="preserve">FINAL DOCUMENTATION REPORT</w:t>
            </w:r>
          </w:p>
          <w:p>
            <w:pPr>
              <w:spacing w:after="60"/>
              <w:jc w:val="center"/>
            </w:pPr>
            <w:r>
              <w:rPr>
                <w:rFonts w:ascii="Calibri" w:cs="Calibri" w:eastAsia="Calibri" w:hAnsi="Calibri"/>
                <w:b/>
                <w:bCs/>
                <w:color w:val="FFFFFF"/>
                <w:sz w:val="60"/>
                <w:szCs w:val="60"/>
              </w:rPr>
              <w:t xml:space="preserve">MedTrack DV</w:t>
            </w:r>
          </w:p>
          <w:p>
            <w:pPr>
              <w:spacing w:after="700"/>
              <w:jc w:val="center"/>
            </w:pPr>
            <w:r>
              <w:rPr>
                <w:rFonts w:ascii="Calibri" w:cs="Calibri" w:eastAsia="Calibri" w:hAnsi="Calibri"/>
                <w:i/>
                <w:iCs/>
                <w:color w:val="EAF1F8"/>
                <w:sz w:val="30"/>
                <w:szCs w:val="30"/>
              </w:rPr>
              <w:t xml:space="preserve">Hospital Operations &amp; Patient Analytics Dashboard</w:t>
            </w:r>
          </w:p>
          <w:p>
            <w:pPr>
              <w:spacing w:after="900"/>
              <w:jc w:val="center"/>
            </w:pPr>
            <w:r>
              <w:rPr>
                <w:rFonts w:ascii="Calibri" w:cs="Calibri" w:eastAsia="Calibri" w:hAnsi="Calibri"/>
                <w:b/>
                <w:bCs/>
                <w:color w:val="FFFFFF"/>
                <w:sz w:val="26"/>
                <w:szCs w:val="26"/>
              </w:rPr>
              <w:t xml:space="preserve">Milestone 4  |  Testing and Delivery</w:t>
            </w:r>
          </w:p>
          <w:p>
            <w:pPr>
              <w:spacing w:after="700"/>
            </w:pPr>
            <w:r>
              <w:t xml:space="preserve"/>
            </w:r>
          </w:p>
          <w:p>
            <w:pPr>
              <w:spacing w:after="140"/>
              <w:jc w:val="center"/>
            </w:pPr>
            <w:r>
              <w:rPr>
                <w:rFonts w:ascii="Calibri" w:cs="Calibri" w:eastAsia="Calibri" w:hAnsi="Calibri"/>
                <w:b/>
                <w:bCs/>
                <w:color w:val="FFFFFF"/>
                <w:sz w:val="24"/>
                <w:szCs w:val="24"/>
              </w:rPr>
              <w:t xml:space="preserve">Student Name:  </w:t>
            </w:r>
            <w:r>
              <w:rPr>
                <w:rFonts w:ascii="Calibri" w:cs="Calibri" w:eastAsia="Calibri" w:hAnsi="Calibri"/>
                <w:color w:val="EAF1F8"/>
                <w:sz w:val="24"/>
                <w:szCs w:val="24"/>
              </w:rPr>
              <w:t xml:space="preserve">Aaditya Singh</w:t>
            </w:r>
          </w:p>
          <w:p>
            <w:pPr>
              <w:spacing w:after="140"/>
              <w:jc w:val="center"/>
            </w:pPr>
            <w:r>
              <w:rPr>
                <w:rFonts w:ascii="Calibri" w:cs="Calibri" w:eastAsia="Calibri" w:hAnsi="Calibri"/>
                <w:b/>
                <w:bCs/>
                <w:color w:val="FFFFFF"/>
                <w:sz w:val="24"/>
                <w:szCs w:val="24"/>
              </w:rPr>
              <w:t xml:space="preserve">Internship Program:  </w:t>
            </w:r>
            <w:r>
              <w:rPr>
                <w:rFonts w:ascii="Calibri" w:cs="Calibri" w:eastAsia="Calibri" w:hAnsi="Calibri"/>
                <w:color w:val="EAF1F8"/>
                <w:sz w:val="24"/>
                <w:szCs w:val="24"/>
              </w:rPr>
              <w:t xml:space="preserve">Infosys Springboard Virtual Internship</w:t>
            </w:r>
          </w:p>
          <w:p>
            <w:pPr>
              <w:spacing w:after="140"/>
              <w:jc w:val="center"/>
            </w:pPr>
            <w:r>
              <w:rPr>
                <w:rFonts w:ascii="Calibri" w:cs="Calibri" w:eastAsia="Calibri" w:hAnsi="Calibri"/>
                <w:b/>
                <w:bCs/>
                <w:color w:val="FFFFFF"/>
                <w:sz w:val="24"/>
                <w:szCs w:val="24"/>
              </w:rPr>
              <w:t xml:space="preserve">Project Milestone:  </w:t>
            </w:r>
            <w:r>
              <w:rPr>
                <w:rFonts w:ascii="Calibri" w:cs="Calibri" w:eastAsia="Calibri" w:hAnsi="Calibri"/>
                <w:color w:val="EAF1F8"/>
                <w:sz w:val="24"/>
                <w:szCs w:val="24"/>
              </w:rPr>
              <w:t xml:space="preserve">Milestone 4 – Testing and Delivery</w:t>
            </w:r>
          </w:p>
          <w:p>
            <w:pPr>
              <w:spacing w:after="140"/>
              <w:jc w:val="center"/>
            </w:pPr>
            <w:r>
              <w:rPr>
                <w:rFonts w:ascii="Calibri" w:cs="Calibri" w:eastAsia="Calibri" w:hAnsi="Calibri"/>
                <w:b/>
                <w:bCs/>
                <w:color w:val="FFFFFF"/>
                <w:sz w:val="24"/>
                <w:szCs w:val="24"/>
              </w:rPr>
              <w:t xml:space="preserve">Date of Submission:  </w:t>
            </w:r>
            <w:r>
              <w:rPr>
                <w:rFonts w:ascii="Calibri" w:cs="Calibri" w:eastAsia="Calibri" w:hAnsi="Calibri"/>
                <w:color w:val="EAF1F8"/>
                <w:sz w:val="24"/>
                <w:szCs w:val="24"/>
              </w:rPr>
              <w:t xml:space="preserve">September 2026</w:t>
            </w:r>
          </w:p>
        </w:tc>
      </w:tr>
    </w:tbl>
    <w:p>
      <w:pPr>
        <w:sectPr>
          <w:pgSz w:w="11906" w:h="16838" w:orient="portrait"/>
          <w:pgMar w:top="0" w:right="0" w:bottom="0" w:left="0" w:header="708" w:footer="708" w:gutter="0"/>
          <w:pgNumType/>
          <w:docGrid w:linePitch="360"/>
        </w:sectPr>
      </w:pPr>
    </w:p>
    <w:p>
      <w:pPr>
        <w:pStyle w:val="Heading1"/>
        <w:pBdr>
          <w:bottom w:val="single" w:color="2E75B6" w:sz="6" w:space="4"/>
        </w:pBdr>
        <w:spacing w:after="200" w:before="320"/>
      </w:pPr>
      <w:r>
        <w:rPr>
          <w:rFonts w:ascii="Calibri" w:cs="Calibri" w:eastAsia="Calibri" w:hAnsi="Calibri"/>
          <w:b/>
          <w:bCs/>
          <w:color w:val="16283F"/>
          <w:sz w:val="28"/>
          <w:szCs w:val="28"/>
        </w:rPr>
        <w:t xml:space="preserve">1.  Project Overview</w:t>
      </w:r>
    </w:p>
    <w:p>
      <w:pPr>
        <w:spacing w:after="160" w:line="276"/>
        <w:jc w:val="both"/>
      </w:pPr>
      <w:r>
        <w:rPr>
          <w:rFonts w:ascii="Calibri" w:cs="Calibri" w:eastAsia="Calibri" w:hAnsi="Calibri"/>
          <w:color w:val="222222"/>
          <w:sz w:val="22"/>
          <w:szCs w:val="22"/>
        </w:rPr>
        <w:t xml:space="preserve">The Hospital Operations &amp; Patient Analytics Dashboard, developed under the MedTrack DV project, is a Power BI–based analytical solution designed to consolidate and visualize hospital operational data. It transforms raw Hospital Management Information System (HMIS) records — spanning patient admissions, discharges, ward allocation, departmental activity, and disease patterns — into a unified, interactive reporting tool. Its primary purpose is to give hospital administrators, department heads, and clinical staff real-time visibility into patient flow, resource utilization, and departmental performance.</w:t>
      </w:r>
    </w:p>
    <w:p>
      <w:pPr>
        <w:spacing w:after="160" w:line="276"/>
        <w:jc w:val="both"/>
      </w:pPr>
      <w:r>
        <w:rPr>
          <w:rFonts w:ascii="Calibri" w:cs="Calibri" w:eastAsia="Calibri" w:hAnsi="Calibri"/>
          <w:color w:val="222222"/>
          <w:sz w:val="22"/>
          <w:szCs w:val="22"/>
        </w:rPr>
        <w:t xml:space="preserve">By centralizing key performance indicators such as admission volume, average length of stay, bed utilization, and readmission rate, the dashboard eliminates dependence on manual, spreadsheet-based reporting and shortens the time needed to identify operational bottlenecks. Hospital management can use it to monitor bed capacity in near real time, identify departments experiencing high patient load, plan staffing and resource allocation more effectively, and track quality-of-care indicators such as readmissions — shifting decision-making from a reactive, historical review process to a proactive, evidence-based one.</w:t>
      </w:r>
    </w:p>
    <w:p>
      <w:pPr>
        <w:pStyle w:val="Heading1"/>
        <w:pBdr>
          <w:bottom w:val="single" w:color="2E75B6" w:sz="6" w:space="4"/>
        </w:pBdr>
        <w:spacing w:after="200" w:before="320"/>
      </w:pPr>
      <w:r>
        <w:rPr>
          <w:rFonts w:ascii="Calibri" w:cs="Calibri" w:eastAsia="Calibri" w:hAnsi="Calibri"/>
          <w:b/>
          <w:bCs/>
          <w:color w:val="16283F"/>
          <w:sz w:val="28"/>
          <w:szCs w:val="28"/>
        </w:rPr>
        <w:t xml:space="preserve">2.  Dataset Source</w:t>
      </w:r>
    </w:p>
    <w:p>
      <w:pPr>
        <w:spacing w:after="160" w:line="276"/>
        <w:jc w:val="both"/>
      </w:pPr>
      <w:r>
        <w:rPr>
          <w:rFonts w:ascii="Calibri" w:cs="Calibri" w:eastAsia="Calibri" w:hAnsi="Calibri"/>
          <w:color w:val="222222"/>
          <w:sz w:val="22"/>
          <w:szCs w:val="22"/>
        </w:rPr>
        <w:t xml:space="preserve">The dashboard is built on the Hospital HMIS (Hospital Management Information System) Dataset, which serves as the single source of truth for all downstream KPI calculations and visualizations. The dataset comprises the following interconnected data domains:</w:t>
      </w:r>
    </w:p>
    <w:p>
      <w:pPr>
        <w:pStyle w:val="ListParagraph"/>
        <w:numPr>
          <w:ilvl w:val="0"/>
          <w:numId w:val="2"/>
        </w:numPr>
        <w:spacing w:after="100" w:line="276"/>
        <w:jc w:val="both"/>
      </w:pPr>
      <w:r>
        <w:rPr>
          <w:rFonts w:ascii="Calibri" w:cs="Calibri" w:eastAsia="Calibri" w:hAnsi="Calibri"/>
          <w:b/>
          <w:bCs/>
          <w:color w:val="16283F"/>
          <w:sz w:val="22"/>
          <w:szCs w:val="22"/>
        </w:rPr>
        <w:t xml:space="preserve">Patient data: </w:t>
      </w:r>
      <w:r>
        <w:rPr>
          <w:rFonts w:ascii="Calibri" w:cs="Calibri" w:eastAsia="Calibri" w:hAnsi="Calibri"/>
          <w:color w:val="222222"/>
          <w:sz w:val="22"/>
          <w:szCs w:val="22"/>
        </w:rPr>
        <w:t xml:space="preserve">demographic details including patient ID, age, gender, and contact information.</w:t>
      </w:r>
    </w:p>
    <w:p>
      <w:pPr>
        <w:pStyle w:val="ListParagraph"/>
        <w:numPr>
          <w:ilvl w:val="0"/>
          <w:numId w:val="2"/>
        </w:numPr>
        <w:spacing w:after="100" w:line="276"/>
        <w:jc w:val="both"/>
      </w:pPr>
      <w:r>
        <w:rPr>
          <w:rFonts w:ascii="Calibri" w:cs="Calibri" w:eastAsia="Calibri" w:hAnsi="Calibri"/>
          <w:b/>
          <w:bCs/>
          <w:color w:val="16283F"/>
          <w:sz w:val="22"/>
          <w:szCs w:val="22"/>
        </w:rPr>
        <w:t xml:space="preserve">Admission data: </w:t>
      </w:r>
      <w:r>
        <w:rPr>
          <w:rFonts w:ascii="Calibri" w:cs="Calibri" w:eastAsia="Calibri" w:hAnsi="Calibri"/>
          <w:color w:val="222222"/>
          <w:sz w:val="22"/>
          <w:szCs w:val="22"/>
        </w:rPr>
        <w:t xml:space="preserve">admission ID, admission date, admission type (Emergency, Elective, Referral), and attending department.</w:t>
      </w:r>
    </w:p>
    <w:p>
      <w:pPr>
        <w:pStyle w:val="ListParagraph"/>
        <w:numPr>
          <w:ilvl w:val="0"/>
          <w:numId w:val="2"/>
        </w:numPr>
        <w:spacing w:after="100" w:line="276"/>
        <w:jc w:val="both"/>
      </w:pPr>
      <w:r>
        <w:rPr>
          <w:rFonts w:ascii="Calibri" w:cs="Calibri" w:eastAsia="Calibri" w:hAnsi="Calibri"/>
          <w:b/>
          <w:bCs/>
          <w:color w:val="16283F"/>
          <w:sz w:val="22"/>
          <w:szCs w:val="22"/>
        </w:rPr>
        <w:t xml:space="preserve">Discharge data: </w:t>
      </w:r>
      <w:r>
        <w:rPr>
          <w:rFonts w:ascii="Calibri" w:cs="Calibri" w:eastAsia="Calibri" w:hAnsi="Calibri"/>
          <w:color w:val="222222"/>
          <w:sz w:val="22"/>
          <w:szCs w:val="22"/>
        </w:rPr>
        <w:t xml:space="preserve">discharge date, discharge status, and total duration of stay.</w:t>
      </w:r>
    </w:p>
    <w:p>
      <w:pPr>
        <w:pStyle w:val="ListParagraph"/>
        <w:numPr>
          <w:ilvl w:val="0"/>
          <w:numId w:val="2"/>
        </w:numPr>
        <w:spacing w:after="100" w:line="276"/>
        <w:jc w:val="both"/>
      </w:pPr>
      <w:r>
        <w:rPr>
          <w:rFonts w:ascii="Calibri" w:cs="Calibri" w:eastAsia="Calibri" w:hAnsi="Calibri"/>
          <w:b/>
          <w:bCs/>
          <w:color w:val="16283F"/>
          <w:sz w:val="22"/>
          <w:szCs w:val="22"/>
        </w:rPr>
        <w:t xml:space="preserve">Department data: </w:t>
      </w:r>
      <w:r>
        <w:rPr>
          <w:rFonts w:ascii="Calibri" w:cs="Calibri" w:eastAsia="Calibri" w:hAnsi="Calibri"/>
          <w:color w:val="222222"/>
          <w:sz w:val="22"/>
          <w:szCs w:val="22"/>
        </w:rPr>
        <w:t xml:space="preserve">department names, specializations, and associated staff and resource mapping.</w:t>
      </w:r>
    </w:p>
    <w:p>
      <w:pPr>
        <w:pStyle w:val="ListParagraph"/>
        <w:numPr>
          <w:ilvl w:val="0"/>
          <w:numId w:val="2"/>
        </w:numPr>
        <w:spacing w:after="100" w:line="276"/>
        <w:jc w:val="both"/>
      </w:pPr>
      <w:r>
        <w:rPr>
          <w:rFonts w:ascii="Calibri" w:cs="Calibri" w:eastAsia="Calibri" w:hAnsi="Calibri"/>
          <w:b/>
          <w:bCs/>
          <w:color w:val="16283F"/>
          <w:sz w:val="22"/>
          <w:szCs w:val="22"/>
        </w:rPr>
        <w:t xml:space="preserve">Ward and bed data: </w:t>
      </w:r>
      <w:r>
        <w:rPr>
          <w:rFonts w:ascii="Calibri" w:cs="Calibri" w:eastAsia="Calibri" w:hAnsi="Calibri"/>
          <w:color w:val="222222"/>
          <w:sz w:val="22"/>
          <w:szCs w:val="22"/>
        </w:rPr>
        <w:t xml:space="preserve">ward classification, bed capacity, and occupancy records.</w:t>
      </w:r>
    </w:p>
    <w:p>
      <w:pPr>
        <w:pStyle w:val="ListParagraph"/>
        <w:numPr>
          <w:ilvl w:val="0"/>
          <w:numId w:val="2"/>
        </w:numPr>
        <w:spacing w:after="100" w:line="276"/>
        <w:jc w:val="both"/>
      </w:pPr>
      <w:r>
        <w:rPr>
          <w:rFonts w:ascii="Calibri" w:cs="Calibri" w:eastAsia="Calibri" w:hAnsi="Calibri"/>
          <w:b/>
          <w:bCs/>
          <w:color w:val="16283F"/>
          <w:sz w:val="22"/>
          <w:szCs w:val="22"/>
        </w:rPr>
        <w:t xml:space="preserve">Disease/diagnosis data: </w:t>
      </w:r>
      <w:r>
        <w:rPr>
          <w:rFonts w:ascii="Calibri" w:cs="Calibri" w:eastAsia="Calibri" w:hAnsi="Calibri"/>
          <w:color w:val="222222"/>
          <w:sz w:val="22"/>
          <w:szCs w:val="22"/>
        </w:rPr>
        <w:t xml:space="preserve">primary and secondary diagnosis codes linked to each admission record.</w:t>
      </w:r>
    </w:p>
    <w:p>
      <w:pPr>
        <w:pStyle w:val="Heading1"/>
        <w:pBdr>
          <w:bottom w:val="single" w:color="2E75B6" w:sz="6" w:space="4"/>
        </w:pBdr>
        <w:spacing w:after="200" w:before="320"/>
      </w:pPr>
      <w:r>
        <w:rPr>
          <w:rFonts w:ascii="Calibri" w:cs="Calibri" w:eastAsia="Calibri" w:hAnsi="Calibri"/>
          <w:b/>
          <w:bCs/>
          <w:color w:val="16283F"/>
          <w:sz w:val="28"/>
          <w:szCs w:val="28"/>
        </w:rPr>
        <w:t xml:space="preserve">3.  Tools &amp; Technologies Used</w:t>
      </w:r>
    </w:p>
    <w:p>
      <w:pPr>
        <w:spacing w:after="200" w:line="276"/>
        <w:jc w:val="both"/>
      </w:pPr>
      <w:r>
        <w:rPr>
          <w:rFonts w:ascii="Calibri" w:cs="Calibri" w:eastAsia="Calibri" w:hAnsi="Calibri"/>
          <w:color w:val="222222"/>
          <w:sz w:val="22"/>
          <w:szCs w:val="22"/>
        </w:rPr>
        <w:t xml:space="preserve">The project was built using the following tools and technologies, each supporting a distinct stage of the workflow: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tblHeader/>
        </w:trPr>
        <w:tc>
          <w:tcPr>
            <w:tcW w:type="dxa" w:w="2200"/>
            <w:shd w:fill="1F3A5F"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Tool</w:t>
            </w:r>
          </w:p>
        </w:tc>
        <w:tc>
          <w:tcPr>
            <w:tcW w:type="dxa" w:w="7700"/>
            <w:shd w:fill="1F3A5F"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 in the Project</w:t>
            </w:r>
          </w:p>
        </w:tc>
      </w:tr>
      <w:tr>
        <w:tc>
          <w:tcPr>
            <w:tcW w:type="dxa" w:w="22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Python</w:t>
            </w:r>
          </w:p>
        </w:tc>
        <w:tc>
          <w:tcPr>
            <w:tcW w:type="dxa" w:w="77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Data extraction, preprocessing, and automation of cleaning scripts across multiple HMIS source files.</w:t>
            </w:r>
          </w:p>
        </w:tc>
      </w:tr>
      <w:tr>
        <w:tc>
          <w:tcPr>
            <w:tcW w:type="dxa" w:w="22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Pandas</w:t>
            </w:r>
          </w:p>
        </w:tc>
        <w:tc>
          <w:tcPr>
            <w:tcW w:type="dxa" w:w="77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Data wrangling — merging tables, handling missing values, and constructing the master dataset.</w:t>
            </w:r>
          </w:p>
        </w:tc>
      </w:tr>
      <w:tr>
        <w:tc>
          <w:tcPr>
            <w:tcW w:type="dxa" w:w="22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Power BI</w:t>
            </w:r>
          </w:p>
        </w:tc>
        <w:tc>
          <w:tcPr>
            <w:tcW w:type="dxa" w:w="77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Building the interactive dashboard, DAX-based KPI measures, and data visualizations.</w:t>
            </w:r>
          </w:p>
        </w:tc>
      </w:tr>
      <w:tr>
        <w:tc>
          <w:tcPr>
            <w:tcW w:type="dxa" w:w="22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GitHub</w:t>
            </w:r>
          </w:p>
        </w:tc>
        <w:tc>
          <w:tcPr>
            <w:tcW w:type="dxa" w:w="77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Version control for scripts, notebooks, and project documentation across all milestones.</w:t>
            </w:r>
          </w:p>
        </w:tc>
      </w:tr>
      <w:tr>
        <w:tc>
          <w:tcPr>
            <w:tcW w:type="dxa" w:w="22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Excel</w:t>
            </w:r>
          </w:p>
        </w:tc>
        <w:tc>
          <w:tcPr>
            <w:tcW w:type="dxa" w:w="77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Manual data inspection, quick validation checks, and preparation of supporting lookup tables.</w:t>
            </w:r>
          </w:p>
        </w:tc>
      </w:tr>
    </w:tbl>
    <w:p>
      <w:pPr>
        <w:pStyle w:val="Heading1"/>
        <w:pBdr>
          <w:bottom w:val="single" w:color="2E75B6" w:sz="6" w:space="4"/>
        </w:pBdr>
        <w:spacing w:after="200" w:before="320"/>
      </w:pPr>
      <w:r>
        <w:rPr>
          <w:rFonts w:ascii="Calibri" w:cs="Calibri" w:eastAsia="Calibri" w:hAnsi="Calibri"/>
          <w:b/>
          <w:bCs/>
          <w:color w:val="16283F"/>
          <w:sz w:val="28"/>
          <w:szCs w:val="28"/>
        </w:rPr>
        <w:t xml:space="preserve">4.  Data Preparation Process</w:t>
      </w:r>
    </w:p>
    <w:p>
      <w:pPr>
        <w:spacing w:after="200" w:line="276"/>
        <w:jc w:val="both"/>
      </w:pPr>
      <w:r>
        <w:rPr>
          <w:rFonts w:ascii="Calibri" w:cs="Calibri" w:eastAsia="Calibri" w:hAnsi="Calibri"/>
          <w:color w:val="222222"/>
          <w:sz w:val="22"/>
          <w:szCs w:val="22"/>
        </w:rPr>
        <w:t xml:space="preserve">Data preparation followed a structured pipeline to ensure the final dataset feeding the dashboard was accurate, consistent, and analysis-ready:</w:t>
      </w:r>
    </w:p>
    <w:p>
      <w:pPr>
        <w:pStyle w:val="ListParagraph"/>
        <w:numPr>
          <w:ilvl w:val="0"/>
          <w:numId w:val="2"/>
        </w:numPr>
        <w:spacing w:after="100" w:line="276"/>
        <w:jc w:val="both"/>
      </w:pPr>
      <w:r>
        <w:rPr>
          <w:rFonts w:ascii="Calibri" w:cs="Calibri" w:eastAsia="Calibri" w:hAnsi="Calibri"/>
          <w:b/>
          <w:bCs/>
          <w:color w:val="16283F"/>
          <w:sz w:val="22"/>
          <w:szCs w:val="22"/>
        </w:rPr>
        <w:t xml:space="preserve">Data Collection: </w:t>
      </w:r>
      <w:r>
        <w:rPr>
          <w:rFonts w:ascii="Calibri" w:cs="Calibri" w:eastAsia="Calibri" w:hAnsi="Calibri"/>
          <w:color w:val="222222"/>
          <w:sz w:val="22"/>
          <w:szCs w:val="22"/>
        </w:rPr>
        <w:t xml:space="preserve">raw HMIS extracts — patient, admission, discharge, department, ward/bed, and disease files — were gathered in CSV/Excel format from the provided dataset sources.</w:t>
      </w:r>
    </w:p>
    <w:p>
      <w:pPr>
        <w:pStyle w:val="ListParagraph"/>
        <w:numPr>
          <w:ilvl w:val="0"/>
          <w:numId w:val="2"/>
        </w:numPr>
        <w:spacing w:after="100" w:line="276"/>
        <w:jc w:val="both"/>
      </w:pPr>
      <w:r>
        <w:rPr>
          <w:rFonts w:ascii="Calibri" w:cs="Calibri" w:eastAsia="Calibri" w:hAnsi="Calibri"/>
          <w:b/>
          <w:bCs/>
          <w:color w:val="16283F"/>
          <w:sz w:val="22"/>
          <w:szCs w:val="22"/>
        </w:rPr>
        <w:t xml:space="preserve">Data Cleaning: </w:t>
      </w:r>
      <w:r>
        <w:rPr>
          <w:rFonts w:ascii="Calibri" w:cs="Calibri" w:eastAsia="Calibri" w:hAnsi="Calibri"/>
          <w:color w:val="222222"/>
          <w:sz w:val="22"/>
          <w:szCs w:val="22"/>
        </w:rPr>
        <w:t xml:space="preserve">column names were standardized, inconsistent date formats corrected, duplicate patient and admission entries removed, and categorical fields (e.g., department names, admission types) normalized.</w:t>
      </w:r>
    </w:p>
    <w:p>
      <w:pPr>
        <w:pStyle w:val="ListParagraph"/>
        <w:numPr>
          <w:ilvl w:val="0"/>
          <w:numId w:val="2"/>
        </w:numPr>
        <w:spacing w:after="100" w:line="276"/>
        <w:jc w:val="both"/>
      </w:pPr>
      <w:r>
        <w:rPr>
          <w:rFonts w:ascii="Calibri" w:cs="Calibri" w:eastAsia="Calibri" w:hAnsi="Calibri"/>
          <w:b/>
          <w:bCs/>
          <w:color w:val="16283F"/>
          <w:sz w:val="22"/>
          <w:szCs w:val="22"/>
        </w:rPr>
        <w:t xml:space="preserve">Handling Missing Values: </w:t>
      </w:r>
      <w:r>
        <w:rPr>
          <w:rFonts w:ascii="Calibri" w:cs="Calibri" w:eastAsia="Calibri" w:hAnsi="Calibri"/>
          <w:color w:val="222222"/>
          <w:sz w:val="22"/>
          <w:szCs w:val="22"/>
        </w:rPr>
        <w:t xml:space="preserve">missing numerical fields such as age or length of stay were imputed using median/mode strategies where appropriate; records with missing critical identifiers (e.g., patient ID) were removed after validation.</w:t>
      </w:r>
    </w:p>
    <w:p>
      <w:pPr>
        <w:pStyle w:val="ListParagraph"/>
        <w:numPr>
          <w:ilvl w:val="0"/>
          <w:numId w:val="2"/>
        </w:numPr>
        <w:spacing w:after="100" w:line="276"/>
        <w:jc w:val="both"/>
      </w:pPr>
      <w:r>
        <w:rPr>
          <w:rFonts w:ascii="Calibri" w:cs="Calibri" w:eastAsia="Calibri" w:hAnsi="Calibri"/>
          <w:b/>
          <w:bCs/>
          <w:color w:val="16283F"/>
          <w:sz w:val="22"/>
          <w:szCs w:val="22"/>
        </w:rPr>
        <w:t xml:space="preserve">Dataset Merging: </w:t>
      </w:r>
      <w:r>
        <w:rPr>
          <w:rFonts w:ascii="Calibri" w:cs="Calibri" w:eastAsia="Calibri" w:hAnsi="Calibri"/>
          <w:color w:val="222222"/>
          <w:sz w:val="22"/>
          <w:szCs w:val="22"/>
        </w:rPr>
        <w:t xml:space="preserve">individual datasets — patient, admission, discharge, department, ward, and disease — were merged using common keys such as Patient ID and Admission ID to build relational linkages.</w:t>
      </w:r>
    </w:p>
    <w:p>
      <w:pPr>
        <w:pStyle w:val="ListParagraph"/>
        <w:numPr>
          <w:ilvl w:val="0"/>
          <w:numId w:val="2"/>
        </w:numPr>
        <w:spacing w:after="100" w:line="276"/>
        <w:jc w:val="both"/>
      </w:pPr>
      <w:r>
        <w:rPr>
          <w:rFonts w:ascii="Calibri" w:cs="Calibri" w:eastAsia="Calibri" w:hAnsi="Calibri"/>
          <w:b/>
          <w:bCs/>
          <w:color w:val="16283F"/>
          <w:sz w:val="22"/>
          <w:szCs w:val="22"/>
        </w:rPr>
        <w:t xml:space="preserve">Master Dataset Creation: </w:t>
      </w:r>
      <w:r>
        <w:rPr>
          <w:rFonts w:ascii="Calibri" w:cs="Calibri" w:eastAsia="Calibri" w:hAnsi="Calibri"/>
          <w:color w:val="222222"/>
          <w:sz w:val="22"/>
          <w:szCs w:val="22"/>
        </w:rPr>
        <w:t xml:space="preserve">a consolidated master dataset was generated in Python/Pandas, serving as the single input for KPI computation and Power BI data modeling.</w:t>
      </w:r>
    </w:p>
    <w:p>
      <w:pPr>
        <w:pStyle w:val="Heading1"/>
        <w:pBdr>
          <w:bottom w:val="single" w:color="2E75B6" w:sz="6" w:space="4"/>
        </w:pBdr>
        <w:spacing w:after="200" w:before="320"/>
      </w:pPr>
      <w:r>
        <w:rPr>
          <w:rFonts w:ascii="Calibri" w:cs="Calibri" w:eastAsia="Calibri" w:hAnsi="Calibri"/>
          <w:b/>
          <w:bCs/>
          <w:color w:val="16283F"/>
          <w:sz w:val="28"/>
          <w:szCs w:val="28"/>
        </w:rPr>
        <w:t xml:space="preserve">5.  KPI Definitions</w:t>
      </w:r>
    </w:p>
    <w:p>
      <w:pPr>
        <w:spacing w:after="200" w:line="276"/>
        <w:jc w:val="both"/>
      </w:pPr>
      <w:r>
        <w:rPr>
          <w:rFonts w:ascii="Calibri" w:cs="Calibri" w:eastAsia="Calibri" w:hAnsi="Calibri"/>
          <w:color w:val="222222"/>
          <w:sz w:val="22"/>
          <w:szCs w:val="22"/>
        </w:rPr>
        <w:t xml:space="preserve">The following key performance indicators form the analytical core of the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shd w:fill="1F3A5F"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KPI</w:t>
            </w:r>
          </w:p>
        </w:tc>
        <w:tc>
          <w:tcPr>
            <w:tcW w:type="dxa" w:w="7300"/>
            <w:shd w:fill="1F3A5F"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Definition &amp; Relevance</w:t>
            </w:r>
          </w:p>
        </w:tc>
      </w:tr>
      <w:tr>
        <w:tc>
          <w:tcPr>
            <w:tcW w:type="dxa" w:w="26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Total Admissions</w:t>
            </w:r>
          </w:p>
        </w:tc>
        <w:tc>
          <w:tcPr>
            <w:tcW w:type="dxa" w:w="73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Total number of patient admission records recorded within the selected time period; reflects overall hospital patient inflow.</w:t>
            </w:r>
          </w:p>
        </w:tc>
      </w:tr>
      <w:tr>
        <w:tc>
          <w:tcPr>
            <w:tcW w:type="dxa" w:w="26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Average Length of Stay</w:t>
            </w:r>
          </w:p>
        </w:tc>
        <w:tc>
          <w:tcPr>
            <w:tcW w:type="dxa" w:w="73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Average number of days between admission and discharge, calculated as total patient-days ÷ total discharges; indicates clinical and bed-turnover efficiency.</w:t>
            </w:r>
          </w:p>
        </w:tc>
      </w:tr>
      <w:tr>
        <w:tc>
          <w:tcPr>
            <w:tcW w:type="dxa" w:w="26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Average Patient Age</w:t>
            </w:r>
          </w:p>
        </w:tc>
        <w:tc>
          <w:tcPr>
            <w:tcW w:type="dxa" w:w="73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Mean age of all admitted patients; supports demographic-based resource and care planning.</w:t>
            </w:r>
          </w:p>
        </w:tc>
      </w:tr>
      <w:tr>
        <w:tc>
          <w:tcPr>
            <w:tcW w:type="dxa" w:w="26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Discharge Count</w:t>
            </w:r>
          </w:p>
        </w:tc>
        <w:tc>
          <w:tcPr>
            <w:tcW w:type="dxa" w:w="73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Total number of patients discharged within the selected period; used alongside admissions to track net patient flow.</w:t>
            </w:r>
          </w:p>
        </w:tc>
      </w:tr>
      <w:tr>
        <w:tc>
          <w:tcPr>
            <w:tcW w:type="dxa" w:w="26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Bed Utilization Rate</w:t>
            </w:r>
          </w:p>
        </w:tc>
        <w:tc>
          <w:tcPr>
            <w:tcW w:type="dxa" w:w="73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Percentage of available bed-days occupied, calculated as (occupied bed-days ÷ total available bed-days) × 100; measures capacity efficiency.</w:t>
            </w:r>
          </w:p>
        </w:tc>
      </w:tr>
      <w:tr>
        <w:tc>
          <w:tcPr>
            <w:tcW w:type="dxa" w:w="26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Admission Type Distribution</w:t>
            </w:r>
          </w:p>
        </w:tc>
        <w:tc>
          <w:tcPr>
            <w:tcW w:type="dxa" w:w="73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Proportional breakdown of admissions by category — Emergency, Elective, Referral; supports staffing and resource-planning decisions.</w:t>
            </w:r>
          </w:p>
        </w:tc>
      </w:tr>
      <w:tr>
        <w:tc>
          <w:tcPr>
            <w:tcW w:type="dxa" w:w="26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Readmission Rate</w:t>
            </w:r>
          </w:p>
        </w:tc>
        <w:tc>
          <w:tcPr>
            <w:tcW w:type="dxa" w:w="73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Percentage of discharged patients readmitted within a defined window (e.g., 30 days), calculated as (readmitted patients ÷ total discharges) × 100; indicates care quality and discharge-planning effectiveness.</w:t>
            </w:r>
          </w:p>
        </w:tc>
      </w:tr>
    </w:tbl>
    <w:p>
      <w:pPr>
        <w:pStyle w:val="Heading1"/>
        <w:pBdr>
          <w:bottom w:val="single" w:color="2E75B6" w:sz="6" w:space="4"/>
        </w:pBdr>
        <w:spacing w:after="200" w:before="320"/>
      </w:pPr>
      <w:r>
        <w:rPr>
          <w:rFonts w:ascii="Calibri" w:cs="Calibri" w:eastAsia="Calibri" w:hAnsi="Calibri"/>
          <w:b/>
          <w:bCs/>
          <w:color w:val="16283F"/>
          <w:sz w:val="28"/>
          <w:szCs w:val="28"/>
        </w:rPr>
        <w:t xml:space="preserve">6.  Dashboard Development</w:t>
      </w:r>
    </w:p>
    <w:p>
      <w:pPr>
        <w:spacing w:after="200" w:line="276"/>
        <w:jc w:val="both"/>
      </w:pPr>
      <w:r>
        <w:rPr>
          <w:rFonts w:ascii="Calibri" w:cs="Calibri" w:eastAsia="Calibri" w:hAnsi="Calibri"/>
          <w:color w:val="222222"/>
          <w:sz w:val="22"/>
          <w:szCs w:val="22"/>
        </w:rPr>
        <w:t xml:space="preserve">The dashboard is organized into four purpose-built pages, each addressing a distinct operational lens: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500"/>
      </w:tblGrid>
      <w:tr>
        <w:trPr>
          <w:tblHeader/>
        </w:trPr>
        <w:tc>
          <w:tcPr>
            <w:tcW w:type="dxa" w:w="1600"/>
            <w:shd w:fill="1F3A5F"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Page</w:t>
            </w:r>
          </w:p>
        </w:tc>
        <w:tc>
          <w:tcPr>
            <w:tcW w:type="dxa" w:w="3800"/>
            <w:shd w:fill="1F3A5F"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c>
          <w:tcPr>
            <w:tcW w:type="dxa" w:w="4500"/>
            <w:shd w:fill="1F3A5F"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Key Visualizations</w:t>
            </w:r>
          </w:p>
        </w:tc>
      </w:tr>
      <w:tr>
        <w:tc>
          <w:tcPr>
            <w:tcW w:type="dxa" w:w="16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A. Hospital Overview</w:t>
            </w:r>
          </w:p>
        </w:tc>
        <w:tc>
          <w:tcPr>
            <w:tcW w:type="dxa" w:w="38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Provides an at-a-glance snapshot of overall hospital performance for administrators.</w:t>
            </w:r>
          </w:p>
        </w:tc>
        <w:tc>
          <w:tcPr>
            <w:tcW w:type="dxa" w:w="45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KPI summary cards (Total Admissions, Discharges, ALOS, Bed Utilization Rate), admissions trend line, department-wise admission comparison bar chart.</w:t>
            </w:r>
          </w:p>
        </w:tc>
      </w:tr>
      <w:tr>
        <w:tc>
          <w:tcPr>
            <w:tcW w:type="dxa" w:w="16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B. Patient Flow</w:t>
            </w:r>
          </w:p>
        </w:tc>
        <w:tc>
          <w:tcPr>
            <w:tcW w:type="dxa" w:w="38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Tracks how patients move through the hospital over time, from admission to discharge.</w:t>
            </w:r>
          </w:p>
        </w:tc>
        <w:tc>
          <w:tcPr>
            <w:tcW w:type="dxa" w:w="45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Admission vs. discharge trend line, admission type distribution donut chart, length-of-stay distribution histogram.</w:t>
            </w:r>
          </w:p>
        </w:tc>
      </w:tr>
      <w:tr>
        <w:tc>
          <w:tcPr>
            <w:tcW w:type="dxa" w:w="16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C. Department Analysis</w:t>
            </w:r>
          </w:p>
        </w:tc>
        <w:tc>
          <w:tcPr>
            <w:tcW w:type="dxa" w:w="38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Compares patient load, efficiency, and case mix across departments.</w:t>
            </w:r>
          </w:p>
        </w:tc>
        <w:tc>
          <w:tcPr>
            <w:tcW w:type="dxa" w:w="4500"/>
            <w:shd w:fill="FFFFFF"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Department-wise admissions and ALOS bar charts, top diagnoses by department table, department contribution matrix.</w:t>
            </w:r>
          </w:p>
        </w:tc>
      </w:tr>
      <w:tr>
        <w:tc>
          <w:tcPr>
            <w:tcW w:type="dxa" w:w="16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D. Resource Utilization</w:t>
            </w:r>
          </w:p>
        </w:tc>
        <w:tc>
          <w:tcPr>
            <w:tcW w:type="dxa" w:w="38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Monitors bed and ward-level capacity to support operational planning.</w:t>
            </w:r>
          </w:p>
        </w:tc>
        <w:tc>
          <w:tcPr>
            <w:tcW w:type="dxa" w:w="4500"/>
            <w:shd w:fill="EAF1F8" w:color="auto" w:val="clear"/>
            <w:tcMar>
              <w:top w:type="dxa" w:w="100"/>
              <w:left w:type="dxa" w:w="120"/>
              <w:bottom w:type="dxa" w:w="100"/>
              <w:right w:type="dxa" w:w="120"/>
            </w:tcMar>
            <w:vAlign w:val="center"/>
          </w:tcPr>
          <w:p>
            <w:pPr>
              <w:spacing w:line="264"/>
            </w:pPr>
            <w:r>
              <w:rPr>
                <w:rFonts w:ascii="Calibri" w:cs="Calibri" w:eastAsia="Calibri" w:hAnsi="Calibri"/>
                <w:color w:val="222222"/>
                <w:sz w:val="20"/>
                <w:szCs w:val="20"/>
              </w:rPr>
              <w:t xml:space="preserve">Bed utilization rate by ward/department bar chart, ward occupancy heat map, ICU vs. general ward comparison.</w:t>
            </w:r>
          </w:p>
        </w:tc>
      </w:tr>
    </w:tbl>
    <w:p>
      <w:pPr>
        <w:pStyle w:val="Heading1"/>
        <w:pBdr>
          <w:bottom w:val="single" w:color="2E75B6" w:sz="6" w:space="4"/>
        </w:pBdr>
        <w:spacing w:after="200" w:before="320"/>
      </w:pPr>
      <w:r>
        <w:rPr>
          <w:rFonts w:ascii="Calibri" w:cs="Calibri" w:eastAsia="Calibri" w:hAnsi="Calibri"/>
          <w:b/>
          <w:bCs/>
          <w:color w:val="16283F"/>
          <w:sz w:val="28"/>
          <w:szCs w:val="28"/>
        </w:rPr>
        <w:t xml:space="preserve">7.  Testing &amp; Validation</w:t>
      </w:r>
    </w:p>
    <w:p>
      <w:pPr>
        <w:spacing w:after="200" w:line="276"/>
        <w:jc w:val="both"/>
      </w:pPr>
      <w:r>
        <w:rPr>
          <w:rFonts w:ascii="Calibri" w:cs="Calibri" w:eastAsia="Calibri" w:hAnsi="Calibri"/>
          <w:color w:val="222222"/>
          <w:sz w:val="22"/>
          <w:szCs w:val="22"/>
        </w:rPr>
        <w:t xml:space="preserve">Before delivery, the dashboard underwent structured testing to confirm accuracy, stability, and usability:</w:t>
      </w:r>
    </w:p>
    <w:p>
      <w:pPr>
        <w:pStyle w:val="ListParagraph"/>
        <w:numPr>
          <w:ilvl w:val="0"/>
          <w:numId w:val="2"/>
        </w:numPr>
        <w:spacing w:after="100" w:line="276"/>
        <w:jc w:val="both"/>
      </w:pPr>
      <w:r>
        <w:rPr>
          <w:rFonts w:ascii="Calibri" w:cs="Calibri" w:eastAsia="Calibri" w:hAnsi="Calibri"/>
          <w:b/>
          <w:bCs/>
          <w:color w:val="16283F"/>
          <w:sz w:val="22"/>
          <w:szCs w:val="22"/>
        </w:rPr>
        <w:t xml:space="preserve">Filter Testing: </w:t>
      </w:r>
      <w:r>
        <w:rPr>
          <w:rFonts w:ascii="Calibri" w:cs="Calibri" w:eastAsia="Calibri" w:hAnsi="Calibri"/>
          <w:color w:val="222222"/>
          <w:sz w:val="22"/>
          <w:szCs w:val="22"/>
        </w:rPr>
        <w:t xml:space="preserve">verified that slicers (date range, department, ward, admission type) correctly and consistently filtered all visuals on each page without breaking cross-page interactions.</w:t>
      </w:r>
    </w:p>
    <w:p>
      <w:pPr>
        <w:pStyle w:val="ListParagraph"/>
        <w:numPr>
          <w:ilvl w:val="0"/>
          <w:numId w:val="2"/>
        </w:numPr>
        <w:spacing w:after="100" w:line="276"/>
        <w:jc w:val="both"/>
      </w:pPr>
      <w:r>
        <w:rPr>
          <w:rFonts w:ascii="Calibri" w:cs="Calibri" w:eastAsia="Calibri" w:hAnsi="Calibri"/>
          <w:b/>
          <w:bCs/>
          <w:color w:val="16283F"/>
          <w:sz w:val="22"/>
          <w:szCs w:val="22"/>
        </w:rPr>
        <w:t xml:space="preserve">KPI Validation: </w:t>
      </w:r>
      <w:r>
        <w:rPr>
          <w:rFonts w:ascii="Calibri" w:cs="Calibri" w:eastAsia="Calibri" w:hAnsi="Calibri"/>
          <w:color w:val="222222"/>
          <w:sz w:val="22"/>
          <w:szCs w:val="22"/>
        </w:rPr>
        <w:t xml:space="preserve">cross-checked Power BI DAX measure outputs against manual calculations performed in Python/Pandas and Excel on sample subsets to confirm accuracy.</w:t>
      </w:r>
    </w:p>
    <w:p>
      <w:pPr>
        <w:pStyle w:val="ListParagraph"/>
        <w:numPr>
          <w:ilvl w:val="0"/>
          <w:numId w:val="2"/>
        </w:numPr>
        <w:spacing w:after="100" w:line="276"/>
        <w:jc w:val="both"/>
      </w:pPr>
      <w:r>
        <w:rPr>
          <w:rFonts w:ascii="Calibri" w:cs="Calibri" w:eastAsia="Calibri" w:hAnsi="Calibri"/>
          <w:b/>
          <w:bCs/>
          <w:color w:val="16283F"/>
          <w:sz w:val="22"/>
          <w:szCs w:val="22"/>
        </w:rPr>
        <w:t xml:space="preserve">Navigation Testing: </w:t>
      </w:r>
      <w:r>
        <w:rPr>
          <w:rFonts w:ascii="Calibri" w:cs="Calibri" w:eastAsia="Calibri" w:hAnsi="Calibri"/>
          <w:color w:val="222222"/>
          <w:sz w:val="22"/>
          <w:szCs w:val="22"/>
        </w:rPr>
        <w:t xml:space="preserve">confirmed that page-navigation buttons and bookmarks correctly transitioned users between the four dashboard pages without errors.</w:t>
      </w:r>
    </w:p>
    <w:p>
      <w:pPr>
        <w:pStyle w:val="ListParagraph"/>
        <w:numPr>
          <w:ilvl w:val="0"/>
          <w:numId w:val="2"/>
        </w:numPr>
        <w:spacing w:after="100" w:line="276"/>
        <w:jc w:val="both"/>
      </w:pPr>
      <w:r>
        <w:rPr>
          <w:rFonts w:ascii="Calibri" w:cs="Calibri" w:eastAsia="Calibri" w:hAnsi="Calibri"/>
          <w:b/>
          <w:bCs/>
          <w:color w:val="16283F"/>
          <w:sz w:val="22"/>
          <w:szCs w:val="22"/>
        </w:rPr>
        <w:t xml:space="preserve">Dashboard Interaction Testing: </w:t>
      </w:r>
      <w:r>
        <w:rPr>
          <w:rFonts w:ascii="Calibri" w:cs="Calibri" w:eastAsia="Calibri" w:hAnsi="Calibri"/>
          <w:color w:val="222222"/>
          <w:sz w:val="22"/>
          <w:szCs w:val="22"/>
        </w:rPr>
        <w:t xml:space="preserve">tested cross-filtering, drill-through, and tooltip behavior across visuals to ensure consistent and intuitive interaction.</w:t>
      </w:r>
    </w:p>
    <w:p>
      <w:pPr>
        <w:pStyle w:val="ListParagraph"/>
        <w:numPr>
          <w:ilvl w:val="0"/>
          <w:numId w:val="2"/>
        </w:numPr>
        <w:spacing w:after="100" w:line="276"/>
        <w:jc w:val="both"/>
      </w:pPr>
      <w:r>
        <w:rPr>
          <w:rFonts w:ascii="Calibri" w:cs="Calibri" w:eastAsia="Calibri" w:hAnsi="Calibri"/>
          <w:b/>
          <w:bCs/>
          <w:color w:val="16283F"/>
          <w:sz w:val="22"/>
          <w:szCs w:val="22"/>
        </w:rPr>
        <w:t xml:space="preserve">Resource Utilization Validation: </w:t>
      </w:r>
      <w:r>
        <w:rPr>
          <w:rFonts w:ascii="Calibri" w:cs="Calibri" w:eastAsia="Calibri" w:hAnsi="Calibri"/>
          <w:color w:val="222222"/>
          <w:sz w:val="22"/>
          <w:szCs w:val="22"/>
        </w:rPr>
        <w:t xml:space="preserve">verified bed utilization and occupancy figures against raw ward/bed data to rule out double-counting or mismatched date ranges.</w:t>
      </w:r>
    </w:p>
    <w:p>
      <w:pPr>
        <w:pStyle w:val="Heading1"/>
        <w:pBdr>
          <w:bottom w:val="single" w:color="2E75B6" w:sz="6" w:space="4"/>
        </w:pBdr>
        <w:spacing w:after="200" w:before="320"/>
      </w:pPr>
      <w:r>
        <w:rPr>
          <w:rFonts w:ascii="Calibri" w:cs="Calibri" w:eastAsia="Calibri" w:hAnsi="Calibri"/>
          <w:b/>
          <w:bCs/>
          <w:color w:val="16283F"/>
          <w:sz w:val="28"/>
          <w:szCs w:val="28"/>
        </w:rPr>
        <w:t xml:space="preserve">8.  Key Insights</w:t>
      </w:r>
    </w:p>
    <w:p>
      <w:pPr>
        <w:spacing w:after="200" w:line="276"/>
        <w:jc w:val="both"/>
      </w:pPr>
      <w:r>
        <w:rPr>
          <w:rFonts w:ascii="Calibri" w:cs="Calibri" w:eastAsia="Calibri" w:hAnsi="Calibri"/>
          <w:color w:val="222222"/>
          <w:sz w:val="22"/>
          <w:szCs w:val="22"/>
        </w:rPr>
        <w:t xml:space="preserve">Analysis of the master dataset through the dashboard surfaced several actionable operational insights:</w:t>
      </w:r>
    </w:p>
    <w:p>
      <w:pPr>
        <w:pStyle w:val="ListParagraph"/>
        <w:numPr>
          <w:ilvl w:val="0"/>
          <w:numId w:val="2"/>
        </w:numPr>
        <w:spacing w:after="100" w:line="276"/>
        <w:jc w:val="both"/>
      </w:pPr>
      <w:r>
        <w:rPr>
          <w:rFonts w:ascii="Calibri" w:cs="Calibri" w:eastAsia="Calibri" w:hAnsi="Calibri"/>
          <w:color w:val="222222"/>
          <w:sz w:val="22"/>
          <w:szCs w:val="22"/>
        </w:rPr>
        <w:t xml:space="preserve">Departments such as General Medicine and Cardiology recorded the highest admission volumes, indicating consistently high patient load in these specialties.</w:t>
      </w:r>
    </w:p>
    <w:p>
      <w:pPr>
        <w:pStyle w:val="ListParagraph"/>
        <w:numPr>
          <w:ilvl w:val="0"/>
          <w:numId w:val="2"/>
        </w:numPr>
        <w:spacing w:after="100" w:line="276"/>
        <w:jc w:val="both"/>
      </w:pPr>
      <w:r>
        <w:rPr>
          <w:rFonts w:ascii="Calibri" w:cs="Calibri" w:eastAsia="Calibri" w:hAnsi="Calibri"/>
          <w:color w:val="222222"/>
          <w:sz w:val="22"/>
          <w:szCs w:val="22"/>
        </w:rPr>
        <w:t xml:space="preserve">ICU admissions show a notably higher Average Length of Stay compared to general wards, reflecting the intensity and complexity of critical care.</w:t>
      </w:r>
    </w:p>
    <w:p>
      <w:pPr>
        <w:pStyle w:val="ListParagraph"/>
        <w:numPr>
          <w:ilvl w:val="0"/>
          <w:numId w:val="2"/>
        </w:numPr>
        <w:spacing w:after="100" w:line="276"/>
        <w:jc w:val="both"/>
      </w:pPr>
      <w:r>
        <w:rPr>
          <w:rFonts w:ascii="Calibri" w:cs="Calibri" w:eastAsia="Calibri" w:hAnsi="Calibri"/>
          <w:color w:val="222222"/>
          <w:sz w:val="22"/>
          <w:szCs w:val="22"/>
        </w:rPr>
        <w:t xml:space="preserve">Admission volumes exhibit seasonal variation, with noticeable peaks that align with respiratory and weather-related illness patterns.</w:t>
      </w:r>
    </w:p>
    <w:p>
      <w:pPr>
        <w:pStyle w:val="ListParagraph"/>
        <w:numPr>
          <w:ilvl w:val="0"/>
          <w:numId w:val="2"/>
        </w:numPr>
        <w:spacing w:after="100" w:line="276"/>
        <w:jc w:val="both"/>
      </w:pPr>
      <w:r>
        <w:rPr>
          <w:rFonts w:ascii="Calibri" w:cs="Calibri" w:eastAsia="Calibri" w:hAnsi="Calibri"/>
          <w:color w:val="222222"/>
          <w:sz w:val="22"/>
          <w:szCs w:val="22"/>
        </w:rPr>
        <w:t xml:space="preserve">Emergency admissions form the largest share of the Admission Type Distribution, underscoring the need for robust emergency-department capacity planning.</w:t>
      </w:r>
    </w:p>
    <w:p>
      <w:pPr>
        <w:pStyle w:val="ListParagraph"/>
        <w:numPr>
          <w:ilvl w:val="0"/>
          <w:numId w:val="2"/>
        </w:numPr>
        <w:spacing w:after="100" w:line="276"/>
        <w:jc w:val="both"/>
      </w:pPr>
      <w:r>
        <w:rPr>
          <w:rFonts w:ascii="Calibri" w:cs="Calibri" w:eastAsia="Calibri" w:hAnsi="Calibri"/>
          <w:color w:val="222222"/>
          <w:sz w:val="22"/>
          <w:szCs w:val="22"/>
        </w:rPr>
        <w:t xml:space="preserve">Bed Utilization Rates are highest in the ICU and select specialty wards, suggesting these areas may approach capacity constraints during peak periods.</w:t>
      </w:r>
    </w:p>
    <w:p>
      <w:pPr>
        <w:pStyle w:val="ListParagraph"/>
        <w:numPr>
          <w:ilvl w:val="0"/>
          <w:numId w:val="2"/>
        </w:numPr>
        <w:spacing w:after="100" w:line="276"/>
        <w:jc w:val="both"/>
      </w:pPr>
      <w:r>
        <w:rPr>
          <w:rFonts w:ascii="Calibri" w:cs="Calibri" w:eastAsia="Calibri" w:hAnsi="Calibri"/>
          <w:color w:val="222222"/>
          <w:sz w:val="22"/>
          <w:szCs w:val="22"/>
        </w:rPr>
        <w:t xml:space="preserve">The overall Readmission Rate is relatively low but is more concentrated among elderly patients with chronic conditions, pointing to an opportunity for improved discharge planning.</w:t>
      </w:r>
    </w:p>
    <w:p>
      <w:pPr>
        <w:pStyle w:val="Heading1"/>
        <w:pBdr>
          <w:bottom w:val="single" w:color="2E75B6" w:sz="6" w:space="4"/>
        </w:pBdr>
        <w:spacing w:after="200" w:before="320"/>
      </w:pPr>
      <w:r>
        <w:rPr>
          <w:rFonts w:ascii="Calibri" w:cs="Calibri" w:eastAsia="Calibri" w:hAnsi="Calibri"/>
          <w:b/>
          <w:bCs/>
          <w:color w:val="16283F"/>
          <w:sz w:val="28"/>
          <w:szCs w:val="28"/>
        </w:rPr>
        <w:t xml:space="preserve">9.  Challenges Faced</w:t>
      </w:r>
    </w:p>
    <w:p>
      <w:pPr>
        <w:pStyle w:val="ListParagraph"/>
        <w:numPr>
          <w:ilvl w:val="0"/>
          <w:numId w:val="2"/>
        </w:numPr>
        <w:spacing w:after="100" w:line="276"/>
        <w:jc w:val="both"/>
      </w:pPr>
      <w:r>
        <w:rPr>
          <w:rFonts w:ascii="Calibri" w:cs="Calibri" w:eastAsia="Calibri" w:hAnsi="Calibri"/>
          <w:b/>
          <w:bCs/>
          <w:color w:val="16283F"/>
          <w:sz w:val="22"/>
          <w:szCs w:val="22"/>
        </w:rPr>
        <w:t xml:space="preserve">Data Cleaning: </w:t>
      </w:r>
      <w:r>
        <w:rPr>
          <w:rFonts w:ascii="Calibri" w:cs="Calibri" w:eastAsia="Calibri" w:hAnsi="Calibri"/>
          <w:color w:val="222222"/>
          <w:sz w:val="22"/>
          <w:szCs w:val="22"/>
        </w:rPr>
        <w:t xml:space="preserve">source files contained inconsistent date formats, duplicate patient/admission entries, and missing values, requiring extensive preprocessing before reliable merging.</w:t>
      </w:r>
    </w:p>
    <w:p>
      <w:pPr>
        <w:pStyle w:val="ListParagraph"/>
        <w:numPr>
          <w:ilvl w:val="0"/>
          <w:numId w:val="2"/>
        </w:numPr>
        <w:spacing w:after="100" w:line="276"/>
        <w:jc w:val="both"/>
      </w:pPr>
      <w:r>
        <w:rPr>
          <w:rFonts w:ascii="Calibri" w:cs="Calibri" w:eastAsia="Calibri" w:hAnsi="Calibri"/>
          <w:b/>
          <w:bCs/>
          <w:color w:val="16283F"/>
          <w:sz w:val="22"/>
          <w:szCs w:val="22"/>
        </w:rPr>
        <w:t xml:space="preserve">KPI Validation: </w:t>
      </w:r>
      <w:r>
        <w:rPr>
          <w:rFonts w:ascii="Calibri" w:cs="Calibri" w:eastAsia="Calibri" w:hAnsi="Calibri"/>
          <w:color w:val="222222"/>
          <w:sz w:val="22"/>
          <w:szCs w:val="22"/>
        </w:rPr>
        <w:t xml:space="preserve">reconciling calculated KPIs — particularly Length of Stay and Bed Utilization — against raw records required iterative checks due to differing assumptions around partial-day admissions.</w:t>
      </w:r>
    </w:p>
    <w:p>
      <w:pPr>
        <w:pStyle w:val="ListParagraph"/>
        <w:numPr>
          <w:ilvl w:val="0"/>
          <w:numId w:val="2"/>
        </w:numPr>
        <w:spacing w:after="100" w:line="276"/>
        <w:jc w:val="both"/>
      </w:pPr>
      <w:r>
        <w:rPr>
          <w:rFonts w:ascii="Calibri" w:cs="Calibri" w:eastAsia="Calibri" w:hAnsi="Calibri"/>
          <w:b/>
          <w:bCs/>
          <w:color w:val="16283F"/>
          <w:sz w:val="22"/>
          <w:szCs w:val="22"/>
        </w:rPr>
        <w:t xml:space="preserve">Dashboard Design Consistency: </w:t>
      </w:r>
      <w:r>
        <w:rPr>
          <w:rFonts w:ascii="Calibri" w:cs="Calibri" w:eastAsia="Calibri" w:hAnsi="Calibri"/>
          <w:color w:val="222222"/>
          <w:sz w:val="22"/>
          <w:szCs w:val="22"/>
        </w:rPr>
        <w:t xml:space="preserve">maintaining a uniform color palette, font hierarchy, and layout structure across four dashboard pages while keeping each page informative and uncluttered.</w:t>
      </w:r>
    </w:p>
    <w:p>
      <w:pPr>
        <w:pStyle w:val="ListParagraph"/>
        <w:numPr>
          <w:ilvl w:val="0"/>
          <w:numId w:val="2"/>
        </w:numPr>
        <w:spacing w:after="100" w:line="276"/>
        <w:jc w:val="both"/>
      </w:pPr>
      <w:r>
        <w:rPr>
          <w:rFonts w:ascii="Calibri" w:cs="Calibri" w:eastAsia="Calibri" w:hAnsi="Calibri"/>
          <w:b/>
          <w:bCs/>
          <w:color w:val="16283F"/>
          <w:sz w:val="22"/>
          <w:szCs w:val="22"/>
        </w:rPr>
        <w:t xml:space="preserve">Visualization Optimization: </w:t>
      </w:r>
      <w:r>
        <w:rPr>
          <w:rFonts w:ascii="Calibri" w:cs="Calibri" w:eastAsia="Calibri" w:hAnsi="Calibri"/>
          <w:color w:val="222222"/>
          <w:sz w:val="22"/>
          <w:szCs w:val="22"/>
        </w:rPr>
        <w:t xml:space="preserve">large data volumes initially caused slow report load times; DAX measures and visual counts were optimized to improve interactivity and rendering performance.</w:t>
      </w:r>
    </w:p>
    <w:p>
      <w:pPr>
        <w:pStyle w:val="Heading1"/>
        <w:pBdr>
          <w:bottom w:val="single" w:color="2E75B6" w:sz="6" w:space="4"/>
        </w:pBdr>
        <w:spacing w:after="200" w:before="320"/>
      </w:pPr>
      <w:r>
        <w:rPr>
          <w:rFonts w:ascii="Calibri" w:cs="Calibri" w:eastAsia="Calibri" w:hAnsi="Calibri"/>
          <w:b/>
          <w:bCs/>
          <w:color w:val="16283F"/>
          <w:sz w:val="28"/>
          <w:szCs w:val="28"/>
        </w:rPr>
        <w:t xml:space="preserve">10.  Conclusion</w:t>
      </w:r>
    </w:p>
    <w:p>
      <w:pPr>
        <w:spacing w:after="160" w:line="276"/>
        <w:jc w:val="both"/>
      </w:pPr>
      <w:r>
        <w:rPr>
          <w:rFonts w:ascii="Calibri" w:cs="Calibri" w:eastAsia="Calibri" w:hAnsi="Calibri"/>
          <w:color w:val="222222"/>
          <w:sz w:val="22"/>
          <w:szCs w:val="22"/>
        </w:rPr>
        <w:t xml:space="preserve">The MedTrack DV Hospital Operations &amp; Patient Analytics Dashboard successfully consolidates fragmented HMIS data into a single, interactive Power BI solution spanning four dashboard pages — Hospital Overview, Patient Flow, Department Analysis, and Resource Utilization. Through structured data preparation, well-defined KPIs, and rigorous testing, the dashboard gives hospital management a reliable, real-time view of admissions, patient flow, departmental performance, and bed utilization.</w:t>
      </w:r>
    </w:p>
    <w:p>
      <w:pPr>
        <w:spacing w:after="160" w:line="276"/>
        <w:jc w:val="both"/>
      </w:pPr>
      <w:r>
        <w:rPr>
          <w:rFonts w:ascii="Calibri" w:cs="Calibri" w:eastAsia="Calibri" w:hAnsi="Calibri"/>
          <w:color w:val="222222"/>
          <w:sz w:val="22"/>
          <w:szCs w:val="22"/>
        </w:rPr>
        <w:t xml:space="preserve">This significantly improves operational monitoring by replacing manual, retrospective reporting with proactive, data-driven decision-making, enabling faster identification of capacity constraints and more informed resource planning. Future enhancements could include predictive analytics for forecasting admission trends, integration of real-time data feeds, incorporation of patient-satisfaction metrics, and a mobile-optimized version of the dashboard for on-the-go access by hospital administrators.</w:t>
      </w:r>
    </w:p>
    <w:p>
      <w:pPr>
        <w:pStyle w:val="Heading1"/>
        <w:pBdr>
          <w:bottom w:val="single" w:color="2E75B6" w:sz="6" w:space="4"/>
        </w:pBdr>
        <w:spacing w:after="200" w:before="320"/>
      </w:pPr>
      <w:r>
        <w:rPr>
          <w:rFonts w:ascii="Calibri" w:cs="Calibri" w:eastAsia="Calibri" w:hAnsi="Calibri"/>
          <w:b/>
          <w:bCs/>
          <w:color w:val="16283F"/>
          <w:sz w:val="28"/>
          <w:szCs w:val="28"/>
        </w:rPr>
        <w:t xml:space="preserve">11.  References</w:t>
      </w:r>
    </w:p>
    <w:p>
      <w:pPr>
        <w:pStyle w:val="ListParagraph"/>
        <w:numPr>
          <w:ilvl w:val="0"/>
          <w:numId w:val="2"/>
        </w:numPr>
        <w:spacing w:after="100" w:line="276"/>
        <w:jc w:val="both"/>
      </w:pPr>
      <w:r>
        <w:rPr>
          <w:rFonts w:ascii="Calibri" w:cs="Calibri" w:eastAsia="Calibri" w:hAnsi="Calibri"/>
          <w:color w:val="222222"/>
          <w:sz w:val="22"/>
          <w:szCs w:val="22"/>
        </w:rPr>
        <w:t xml:space="preserve">Hospital HMIS (Hospital Management Information System) Dataset — project dataset, Infosys Springboard Virtual Internship.</w:t>
      </w:r>
    </w:p>
    <w:p>
      <w:pPr>
        <w:pStyle w:val="ListParagraph"/>
        <w:numPr>
          <w:ilvl w:val="0"/>
          <w:numId w:val="2"/>
        </w:numPr>
        <w:spacing w:after="100" w:line="276"/>
        <w:jc w:val="both"/>
      </w:pPr>
      <w:r>
        <w:rPr>
          <w:rFonts w:ascii="Calibri" w:cs="Calibri" w:eastAsia="Calibri" w:hAnsi="Calibri"/>
          <w:color w:val="222222"/>
          <w:sz w:val="22"/>
          <w:szCs w:val="22"/>
        </w:rPr>
        <w:t xml:space="preserve">Microsoft Power BI Documentation. Available at: https://learn.microsoft.com/power-bi/</w:t>
      </w:r>
    </w:p>
    <w:p>
      <w:pPr>
        <w:pStyle w:val="ListParagraph"/>
        <w:numPr>
          <w:ilvl w:val="0"/>
          <w:numId w:val="2"/>
        </w:numPr>
        <w:spacing w:after="100" w:line="276"/>
        <w:jc w:val="both"/>
      </w:pPr>
      <w:r>
        <w:rPr>
          <w:rFonts w:ascii="Calibri" w:cs="Calibri" w:eastAsia="Calibri" w:hAnsi="Calibri"/>
          <w:color w:val="222222"/>
          <w:sz w:val="22"/>
          <w:szCs w:val="22"/>
        </w:rPr>
        <w:t xml:space="preserve">Python Software Foundation. Python Documentation. Available at: https://docs.python.org/3/</w:t>
      </w:r>
    </w:p>
    <w:p>
      <w:pPr>
        <w:pStyle w:val="ListParagraph"/>
        <w:numPr>
          <w:ilvl w:val="0"/>
          <w:numId w:val="2"/>
        </w:numPr>
        <w:spacing w:after="100" w:line="276"/>
        <w:jc w:val="both"/>
      </w:pPr>
      <w:r>
        <w:rPr>
          <w:rFonts w:ascii="Calibri" w:cs="Calibri" w:eastAsia="Calibri" w:hAnsi="Calibri"/>
          <w:color w:val="222222"/>
          <w:sz w:val="22"/>
          <w:szCs w:val="22"/>
        </w:rPr>
        <w:t xml:space="preserve">Pandas Development Team. Pandas Documentation. Available at: https://pandas.pydata.org/docs/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666666"/>
        <w:sz w:val="16"/>
        <w:szCs w:val="16"/>
      </w:rPr>
      <w:t xml:space="preserve">MedTrack DV – Final Documentation Report</w:t>
    </w:r>
    <w:r>
      <w:rPr>
        <w:rFonts w:ascii="Calibri" w:cs="Calibri" w:eastAsia="Calibri" w:hAnsi="Calibri"/>
        <w:color w:val="666666"/>
        <w:sz w:val="16"/>
        <w:szCs w:val="16"/>
      </w:rPr>
      <w:t xml:space="preserve">	Milestone 4: Testing and Delivery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2026-09-01T04:58:46.691Z</dcterms:created>
  <dcterms:modified xsi:type="dcterms:W3CDTF">2026-09-01T04:58:46.691Z</dcterms:modified>
</cp:coreProperties>
</file>

<file path=docProps/custom.xml><?xml version="1.0" encoding="utf-8"?>
<Properties xmlns="http://schemas.openxmlformats.org/officeDocument/2006/custom-properties" xmlns:vt="http://schemas.openxmlformats.org/officeDocument/2006/docPropsVTypes"/>
</file>