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Helvetica" w:hAnsi="Helvetica"/>
          <w:b/>
          <w:color w:val="0D1B2A"/>
          <w:sz w:val="48"/>
        </w:rPr>
        <w:t>Optimizing IT Support Team Performance Using Analytics</w:t>
        <w:br/>
        <w:t>(Supportlytics)</w:t>
      </w:r>
    </w:p>
    <w:p>
      <w:pPr>
        <w:spacing w:after="360"/>
        <w:jc w:val="center"/>
      </w:pPr>
      <w:r>
        <w:rPr>
          <w:rFonts w:ascii="Helvetica" w:hAnsi="Helvetica"/>
          <w:i/>
          <w:color w:val="00C2FF"/>
          <w:sz w:val="26"/>
        </w:rPr>
        <w:t>Infosys Springboard 7.0 Virtual Internship — Data Visualization Track</w:t>
        <w:br/>
        <w:t>Presented by: Ayush Gupta | B.Tech Computer Science Engineering</w:t>
      </w:r>
    </w:p>
    <w:tbl>
      <w:tblPr>
        <w:tblW w:type="auto" w:w="0"/>
        <w:jc w:val="center"/>
        <w:tblLook w:firstColumn="1" w:firstRow="1" w:lastColumn="0" w:lastRow="0" w:noHBand="0" w:noVBand="1" w:val="04A0"/>
      </w:tblPr>
      <w:tblGrid>
        <w:gridCol w:w="4680"/>
        <w:gridCol w:w="4680"/>
      </w:tblGrid>
      <w:tr>
        <w:trPr>
          <w:cantSplit/>
        </w:trPr>
        <w:tc>
          <w:tcPr>
            <w:tcW w:type="dxa" w:w="3168"/>
            <w:tcMar>
              <w:top w:w="80" w:type="dxa"/>
              <w:bottom w:w="80" w:type="dxa"/>
              <w:left w:w="120" w:type="dxa"/>
              <w:right w:w="120" w:type="dxa"/>
            </w:tcMar>
            <w:shd w:fill="0D1B2A"/>
          </w:tcPr>
          <w:p>
            <w:r>
              <w:rPr>
                <w:rFonts w:ascii="Helvetica" w:hAnsi="Helvetica"/>
                <w:b/>
                <w:color w:val="FFFFFF"/>
                <w:sz w:val="19"/>
              </w:rPr>
              <w:t>Project Title</w:t>
            </w:r>
          </w:p>
        </w:tc>
        <w:tc>
          <w:tcPr>
            <w:tcW w:type="dxa" w:w="6192"/>
            <w:tcMar>
              <w:top w:w="80" w:type="dxa"/>
              <w:bottom w:w="80" w:type="dxa"/>
              <w:left w:w="120" w:type="dxa"/>
              <w:right w:w="120" w:type="dxa"/>
            </w:tcMar>
            <w:shd w:fill="0D1B2A"/>
          </w:tcPr>
          <w:p>
            <w:r>
              <w:rPr>
                <w:rFonts w:ascii="Helvetica" w:hAnsi="Helvetica"/>
                <w:b/>
                <w:color w:val="FFFFFF"/>
                <w:sz w:val="19"/>
              </w:rPr>
              <w:t>Supportlytics — IT Support Ticket Analytics System</w:t>
            </w:r>
          </w:p>
        </w:tc>
      </w:tr>
      <w:tr>
        <w:trPr>
          <w:cantSplit/>
        </w:trPr>
        <w:tc>
          <w:tcPr>
            <w:tcW w:type="dxa" w:w="3168"/>
            <w:tcMar>
              <w:top w:w="80" w:type="dxa"/>
              <w:bottom w:w="80" w:type="dxa"/>
              <w:left w:w="120" w:type="dxa"/>
              <w:right w:w="120" w:type="dxa"/>
            </w:tcMar>
            <w:shd w:fill="F9FAFC"/>
          </w:tcPr>
          <w:p>
            <w:r>
              <w:rPr>
                <w:rFonts w:ascii="Helvetica" w:hAnsi="Helvetica"/>
                <w:b/>
                <w:color w:val="333333"/>
                <w:sz w:val="18"/>
              </w:rPr>
              <w:t>Program Track</w:t>
            </w:r>
          </w:p>
        </w:tc>
        <w:tc>
          <w:tcPr>
            <w:tcW w:type="dxa" w:w="6192"/>
            <w:tcMar>
              <w:top w:w="80" w:type="dxa"/>
              <w:bottom w:w="80" w:type="dxa"/>
              <w:left w:w="120" w:type="dxa"/>
              <w:right w:w="120" w:type="dxa"/>
            </w:tcMar>
            <w:shd w:fill="F9FAFC"/>
          </w:tcPr>
          <w:p>
            <w:r>
              <w:rPr>
                <w:rFonts w:ascii="Helvetica" w:hAnsi="Helvetica"/>
                <w:color w:val="333333"/>
                <w:sz w:val="18"/>
              </w:rPr>
              <w:t>Infosys Springboard 7.0 Virtual Internship</w:t>
            </w:r>
          </w:p>
        </w:tc>
      </w:tr>
      <w:tr>
        <w:trPr>
          <w:cantSplit/>
        </w:trPr>
        <w:tc>
          <w:tcPr>
            <w:tcW w:type="dxa" w:w="3168"/>
            <w:tcMar>
              <w:top w:w="80" w:type="dxa"/>
              <w:bottom w:w="80" w:type="dxa"/>
              <w:left w:w="120" w:type="dxa"/>
              <w:right w:w="120" w:type="dxa"/>
            </w:tcMar>
            <w:shd w:fill="FFFFFF"/>
          </w:tcPr>
          <w:p>
            <w:r>
              <w:rPr>
                <w:rFonts w:ascii="Helvetica" w:hAnsi="Helvetica"/>
                <w:b/>
                <w:color w:val="333333"/>
                <w:sz w:val="18"/>
              </w:rPr>
              <w:t>Dataset Volume</w:t>
            </w:r>
          </w:p>
        </w:tc>
        <w:tc>
          <w:tcPr>
            <w:tcW w:type="dxa" w:w="6192"/>
            <w:tcMar>
              <w:top w:w="80" w:type="dxa"/>
              <w:bottom w:w="80" w:type="dxa"/>
              <w:left w:w="120" w:type="dxa"/>
              <w:right w:w="120" w:type="dxa"/>
            </w:tcMar>
            <w:shd w:fill="FFFFFF"/>
          </w:tcPr>
          <w:p>
            <w:r>
              <w:rPr>
                <w:rFonts w:ascii="Helvetica" w:hAnsi="Helvetica"/>
                <w:color w:val="333333"/>
                <w:sz w:val="18"/>
              </w:rPr>
              <w:t>100,000 Records × 29 Fields (synthetic_it_support_tickets.csv)</w:t>
            </w:r>
          </w:p>
        </w:tc>
      </w:tr>
      <w:tr>
        <w:trPr>
          <w:cantSplit/>
        </w:trPr>
        <w:tc>
          <w:tcPr>
            <w:tcW w:type="dxa" w:w="3168"/>
            <w:tcMar>
              <w:top w:w="80" w:type="dxa"/>
              <w:bottom w:w="80" w:type="dxa"/>
              <w:left w:w="120" w:type="dxa"/>
              <w:right w:w="120" w:type="dxa"/>
            </w:tcMar>
            <w:shd w:fill="F9FAFC"/>
          </w:tcPr>
          <w:p>
            <w:r>
              <w:rPr>
                <w:rFonts w:ascii="Helvetica" w:hAnsi="Helvetica"/>
                <w:b/>
                <w:color w:val="333333"/>
                <w:sz w:val="18"/>
              </w:rPr>
              <w:t>Deliverables</w:t>
            </w:r>
          </w:p>
        </w:tc>
        <w:tc>
          <w:tcPr>
            <w:tcW w:type="dxa" w:w="6192"/>
            <w:tcMar>
              <w:top w:w="80" w:type="dxa"/>
              <w:bottom w:w="80" w:type="dxa"/>
              <w:left w:w="120" w:type="dxa"/>
              <w:right w:w="120" w:type="dxa"/>
            </w:tcMar>
            <w:shd w:fill="F9FAFC"/>
          </w:tcPr>
          <w:p>
            <w:r>
              <w:rPr>
                <w:rFonts w:ascii="Helvetica" w:hAnsi="Helvetica"/>
                <w:color w:val="333333"/>
                <w:sz w:val="18"/>
              </w:rPr>
              <w:t>Jupyter Notebook, 5-Page Streamlit Dashboard, Executive PDF Report, PPT, Master Word Doc</w:t>
            </w:r>
          </w:p>
        </w:tc>
      </w:tr>
      <w:tr>
        <w:trPr>
          <w:cantSplit/>
        </w:trPr>
        <w:tc>
          <w:tcPr>
            <w:tcW w:type="dxa" w:w="3168"/>
            <w:tcMar>
              <w:top w:w="80" w:type="dxa"/>
              <w:bottom w:w="80" w:type="dxa"/>
              <w:left w:w="120" w:type="dxa"/>
              <w:right w:w="120" w:type="dxa"/>
            </w:tcMar>
            <w:shd w:fill="FFFFFF"/>
          </w:tcPr>
          <w:p>
            <w:r>
              <w:rPr>
                <w:rFonts w:ascii="Helvetica" w:hAnsi="Helvetica"/>
                <w:b/>
                <w:color w:val="333333"/>
                <w:sz w:val="18"/>
              </w:rPr>
              <w:t>Handover Status</w:t>
            </w:r>
          </w:p>
        </w:tc>
        <w:tc>
          <w:tcPr>
            <w:tcW w:type="dxa" w:w="6192"/>
            <w:tcMar>
              <w:top w:w="80" w:type="dxa"/>
              <w:bottom w:w="80" w:type="dxa"/>
              <w:left w:w="120" w:type="dxa"/>
              <w:right w:w="120" w:type="dxa"/>
            </w:tcMar>
            <w:shd w:fill="FFFFFF"/>
          </w:tcPr>
          <w:p>
            <w:r>
              <w:rPr>
                <w:rFonts w:ascii="Helvetica" w:hAnsi="Helvetica"/>
                <w:color w:val="333333"/>
                <w:sz w:val="18"/>
              </w:rPr>
              <w:t>Final Completed Implementation (Milestones 1 – 4)</w:t>
            </w:r>
          </w:p>
        </w:tc>
      </w:tr>
    </w:tbl>
    <w:p>
      <w:pPr>
        <w:spacing w:after="200"/>
      </w:pPr>
    </w:p>
    <w:p>
      <w:pPr>
        <w:spacing w:before="320" w:after="120"/>
      </w:pPr>
      <w:r>
        <w:rPr>
          <w:rFonts w:ascii="Helvetica" w:hAnsi="Helvetica"/>
          <w:b/>
          <w:color w:val="0D1B2A"/>
          <w:sz w:val="32"/>
        </w:rPr>
        <w:t>Table of Contents</w:t>
      </w:r>
    </w:p>
    <w:p>
      <w:pPr>
        <w:pStyle w:val="ListBullet"/>
        <w:spacing w:after="80" w:line="276" w:lineRule="auto"/>
      </w:pPr>
      <w:r>
        <w:rPr>
          <w:rFonts w:ascii="Helvetica" w:hAnsi="Helvetica"/>
          <w:color w:val="333333"/>
          <w:sz w:val="20"/>
        </w:rPr>
        <w:t>1. Introduction</w:t>
      </w:r>
    </w:p>
    <w:p>
      <w:pPr>
        <w:pStyle w:val="ListBullet"/>
        <w:spacing w:after="80" w:line="276" w:lineRule="auto"/>
      </w:pPr>
      <w:r>
        <w:rPr>
          <w:rFonts w:ascii="Helvetica" w:hAnsi="Helvetica"/>
          <w:color w:val="333333"/>
          <w:sz w:val="20"/>
        </w:rPr>
        <w:t>2. Problem Statement</w:t>
      </w:r>
    </w:p>
    <w:p>
      <w:pPr>
        <w:pStyle w:val="ListBullet"/>
        <w:spacing w:after="80" w:line="276" w:lineRule="auto"/>
      </w:pPr>
      <w:r>
        <w:rPr>
          <w:rFonts w:ascii="Helvetica" w:hAnsi="Helvetica"/>
          <w:color w:val="333333"/>
          <w:sz w:val="20"/>
        </w:rPr>
        <w:t>3. Objectives &amp; Project Workflow</w:t>
      </w:r>
    </w:p>
    <w:p>
      <w:pPr>
        <w:pStyle w:val="ListBullet"/>
        <w:spacing w:after="80" w:line="276" w:lineRule="auto"/>
      </w:pPr>
      <w:r>
        <w:rPr>
          <w:rFonts w:ascii="Helvetica" w:hAnsi="Helvetica"/>
          <w:color w:val="333333"/>
          <w:sz w:val="20"/>
        </w:rPr>
        <w:t>4. Dataset Description</w:t>
      </w:r>
    </w:p>
    <w:p>
      <w:pPr>
        <w:pStyle w:val="ListBullet"/>
        <w:spacing w:after="80" w:line="276" w:lineRule="auto"/>
      </w:pPr>
      <w:r>
        <w:rPr>
          <w:rFonts w:ascii="Helvetica" w:hAnsi="Helvetica"/>
          <w:color w:val="333333"/>
          <w:sz w:val="20"/>
        </w:rPr>
        <w:t>5. Technologies Used</w:t>
      </w:r>
    </w:p>
    <w:p>
      <w:pPr>
        <w:pStyle w:val="ListBullet"/>
        <w:spacing w:after="80" w:line="276" w:lineRule="auto"/>
      </w:pPr>
      <w:r>
        <w:rPr>
          <w:rFonts w:ascii="Helvetica" w:hAnsi="Helvetica"/>
          <w:color w:val="333333"/>
          <w:sz w:val="20"/>
        </w:rPr>
        <w:t>6. Module 1 – Project Initialization &amp; Dataset Setup</w:t>
      </w:r>
    </w:p>
    <w:p>
      <w:pPr>
        <w:pStyle w:val="ListBullet"/>
        <w:spacing w:after="80" w:line="276" w:lineRule="auto"/>
      </w:pPr>
      <w:r>
        <w:rPr>
          <w:rFonts w:ascii="Helvetica" w:hAnsi="Helvetica"/>
          <w:color w:val="333333"/>
          <w:sz w:val="20"/>
        </w:rPr>
        <w:t>7. Module 2 – Data Cleaning &amp; Feature Engineering</w:t>
      </w:r>
    </w:p>
    <w:p>
      <w:pPr>
        <w:pStyle w:val="ListBullet"/>
        <w:spacing w:after="80" w:line="276" w:lineRule="auto"/>
      </w:pPr>
      <w:r>
        <w:rPr>
          <w:rFonts w:ascii="Helvetica" w:hAnsi="Helvetica"/>
          <w:color w:val="333333"/>
          <w:sz w:val="20"/>
        </w:rPr>
        <w:t>8. Module 3 – Exploratory Data Analysis (EDA)</w:t>
      </w:r>
    </w:p>
    <w:p>
      <w:pPr>
        <w:pStyle w:val="ListBullet"/>
        <w:spacing w:after="80" w:line="276" w:lineRule="auto"/>
      </w:pPr>
      <w:r>
        <w:rPr>
          <w:rFonts w:ascii="Helvetica" w:hAnsi="Helvetica"/>
          <w:color w:val="333333"/>
          <w:sz w:val="20"/>
        </w:rPr>
        <w:t>9. Module 4 – Cluster &amp; Similarity Analysis</w:t>
      </w:r>
    </w:p>
    <w:p>
      <w:pPr>
        <w:pStyle w:val="ListBullet"/>
        <w:spacing w:after="80" w:line="276" w:lineRule="auto"/>
      </w:pPr>
      <w:r>
        <w:rPr>
          <w:rFonts w:ascii="Helvetica" w:hAnsi="Helvetica"/>
          <w:color w:val="333333"/>
          <w:sz w:val="20"/>
        </w:rPr>
        <w:t>10. Module 5 – Performance Trend Analysis</w:t>
      </w:r>
    </w:p>
    <w:p>
      <w:pPr>
        <w:pStyle w:val="ListBullet"/>
        <w:spacing w:after="80" w:line="276" w:lineRule="auto"/>
      </w:pPr>
      <w:r>
        <w:rPr>
          <w:rFonts w:ascii="Helvetica" w:hAnsi="Helvetica"/>
          <w:color w:val="333333"/>
          <w:sz w:val="20"/>
        </w:rPr>
        <w:t>11. Module 6 – Geographic &amp; Category-Level Insights</w:t>
      </w:r>
    </w:p>
    <w:p>
      <w:pPr>
        <w:pStyle w:val="ListBullet"/>
        <w:spacing w:after="80" w:line="276" w:lineRule="auto"/>
      </w:pPr>
      <w:r>
        <w:rPr>
          <w:rFonts w:ascii="Helvetica" w:hAnsi="Helvetica"/>
          <w:color w:val="333333"/>
          <w:sz w:val="20"/>
        </w:rPr>
        <w:t>12. Module 7 – Streamlit Operations Dashboard</w:t>
      </w:r>
    </w:p>
    <w:p>
      <w:pPr>
        <w:pStyle w:val="ListBullet"/>
        <w:spacing w:after="80" w:line="276" w:lineRule="auto"/>
      </w:pPr>
      <w:r>
        <w:rPr>
          <w:rFonts w:ascii="Helvetica" w:hAnsi="Helvetica"/>
          <w:color w:val="333333"/>
          <w:sz w:val="20"/>
        </w:rPr>
        <w:t>13. Key Findings</w:t>
      </w:r>
    </w:p>
    <w:p>
      <w:pPr>
        <w:pStyle w:val="ListBullet"/>
        <w:spacing w:after="80" w:line="276" w:lineRule="auto"/>
      </w:pPr>
      <w:r>
        <w:rPr>
          <w:rFonts w:ascii="Helvetica" w:hAnsi="Helvetica"/>
          <w:color w:val="333333"/>
          <w:sz w:val="20"/>
        </w:rPr>
        <w:t>14. Recommendations</w:t>
      </w:r>
    </w:p>
    <w:p>
      <w:pPr>
        <w:pStyle w:val="ListBullet"/>
        <w:spacing w:after="80" w:line="276" w:lineRule="auto"/>
      </w:pPr>
      <w:r>
        <w:rPr>
          <w:rFonts w:ascii="Helvetica" w:hAnsi="Helvetica"/>
          <w:color w:val="333333"/>
          <w:sz w:val="20"/>
        </w:rPr>
        <w:t>15. Expected Business Impact</w:t>
      </w:r>
    </w:p>
    <w:p>
      <w:pPr>
        <w:pStyle w:val="ListBullet"/>
        <w:spacing w:after="80" w:line="276" w:lineRule="auto"/>
      </w:pPr>
      <w:r>
        <w:rPr>
          <w:rFonts w:ascii="Helvetica" w:hAnsi="Helvetica"/>
          <w:color w:val="333333"/>
          <w:sz w:val="20"/>
        </w:rPr>
        <w:t>16. Conclusion</w:t>
      </w:r>
    </w:p>
    <w:p>
      <w:pPr>
        <w:pStyle w:val="ListBullet"/>
        <w:spacing w:after="80" w:line="276" w:lineRule="auto"/>
      </w:pPr>
      <w:r>
        <w:rPr>
          <w:rFonts w:ascii="Helvetica" w:hAnsi="Helvetica"/>
          <w:color w:val="333333"/>
          <w:sz w:val="20"/>
        </w:rPr>
        <w:t>17. GitHub Repository &amp; Project Files</w:t>
      </w:r>
    </w:p>
    <w:p>
      <w:pPr>
        <w:spacing w:before="320" w:after="120"/>
      </w:pPr>
      <w:r>
        <w:rPr>
          <w:rFonts w:ascii="Helvetica" w:hAnsi="Helvetica"/>
          <w:b/>
          <w:color w:val="0D1B2A"/>
          <w:sz w:val="32"/>
        </w:rPr>
        <w:t>1. Introduction</w:t>
      </w:r>
    </w:p>
    <w:p>
      <w:pPr>
        <w:spacing w:after="120" w:line="276" w:lineRule="auto"/>
      </w:pPr>
      <w:r>
        <w:rPr>
          <w:rFonts w:ascii="Helvetica" w:hAnsi="Helvetica"/>
          <w:color w:val="333333"/>
          <w:sz w:val="20"/>
        </w:rPr>
        <w:t>Supportlytics is an IT support analytics system developed as part of the Infosys Springboard 7.0 Internship. The project focuses on analyzing enterprise IT support ticket data to understand support team performance, issue patterns, resolution efficiency, customer satisfaction, and geographic trends.</w:t>
      </w:r>
    </w:p>
    <w:p>
      <w:pPr>
        <w:spacing w:after="120" w:line="276" w:lineRule="auto"/>
      </w:pPr>
      <w:r>
        <w:rPr>
          <w:rFonts w:ascii="Helvetica" w:hAnsi="Helvetica"/>
          <w:color w:val="333333"/>
          <w:sz w:val="20"/>
        </w:rPr>
        <w:t>The project follows an end-to-end data analytics workflow starting from dataset preparation and data cleaning, followed by exploratory data analysis, natural language text clustering and similarity analysis, performance analysis, geographic GIS mapping, and 5-page interactive dashboard development using Streamlit.</w:t>
      </w:r>
    </w:p>
    <w:p>
      <w:pPr>
        <w:spacing w:after="120" w:line="276" w:lineRule="auto"/>
      </w:pPr>
      <w:r>
        <w:rPr>
          <w:rFonts w:ascii="Helvetica" w:hAnsi="Helvetica"/>
          <w:color w:val="333333"/>
          <w:sz w:val="20"/>
        </w:rPr>
        <w:t>The analysis helps identify important operational patterns such as ticket volume by category and priority, resolution-time differences, unresolved high-priority tickets, regional ticket concentration, and relationships between ticket clusters and performance scores.</w:t>
      </w:r>
    </w:p>
    <w:p>
      <w:pPr>
        <w:spacing w:before="320" w:after="120"/>
      </w:pPr>
      <w:r>
        <w:rPr>
          <w:rFonts w:ascii="Helvetica" w:hAnsi="Helvetica"/>
          <w:b/>
          <w:color w:val="0D1B2A"/>
          <w:sz w:val="32"/>
        </w:rPr>
        <w:t>2. Problem Statement</w:t>
      </w:r>
    </w:p>
    <w:p>
      <w:pPr>
        <w:spacing w:after="120" w:line="276" w:lineRule="auto"/>
      </w:pPr>
      <w:r>
        <w:rPr>
          <w:rFonts w:ascii="Helvetica" w:hAnsi="Helvetica"/>
          <w:color w:val="333333"/>
          <w:sz w:val="20"/>
        </w:rPr>
        <w:t>IT support teams generate a large number of tickets containing information about incidents, requests, priorities, categories, resolution times, support teams, countries, text clusters, and customer satisfaction ratings.</w:t>
      </w:r>
    </w:p>
    <w:p>
      <w:pPr>
        <w:spacing w:after="120" w:line="276" w:lineRule="auto"/>
      </w:pPr>
      <w:r>
        <w:rPr>
          <w:rFonts w:ascii="Helvetica" w:hAnsi="Helvetica"/>
          <w:color w:val="333333"/>
          <w:sz w:val="20"/>
        </w:rPr>
        <w:t>Without systematic data analytics, helpdesks struggle to identify operational performance bottlenecks, detect unresolved high-priority tickets before SLA breaches occur, rebalance overloaded support areas, track regional ticket concentration, and resolve recurring technical ticket clusters.</w:t>
      </w:r>
    </w:p>
    <w:p>
      <w:pPr>
        <w:spacing w:after="120" w:line="276" w:lineRule="auto"/>
      </w:pPr>
      <w:r>
        <w:rPr>
          <w:rFonts w:ascii="Helvetica" w:hAnsi="Helvetica"/>
          <w:color w:val="333333"/>
          <w:sz w:val="20"/>
        </w:rPr>
        <w:t>Therefore, Supportlytics aims to transform raw IT support ticket logs into structured analytical insights through rigorous data cleaning, feature engineering, exploratory analysis, topic clustering, performance tracking, geographic visualization, and executive reporting.</w:t>
      </w:r>
    </w:p>
    <w:p>
      <w:pPr>
        <w:spacing w:before="320" w:after="120"/>
      </w:pPr>
      <w:r>
        <w:rPr>
          <w:rFonts w:ascii="Helvetica" w:hAnsi="Helvetica"/>
          <w:b/>
          <w:color w:val="0D1B2A"/>
          <w:sz w:val="32"/>
        </w:rPr>
        <w:t>3. Objectives &amp; Project Workflow</w:t>
      </w:r>
    </w:p>
    <w:p>
      <w:pPr>
        <w:spacing w:before="240" w:after="80"/>
      </w:pPr>
      <w:r>
        <w:rPr>
          <w:rFonts w:ascii="Helvetica" w:hAnsi="Helvetica"/>
          <w:b/>
          <w:color w:val="0D1B2A"/>
          <w:sz w:val="26"/>
        </w:rPr>
        <w:t>3.1 Analytical Project Workflow</w:t>
      </w:r>
    </w:p>
    <w:p>
      <w:pPr>
        <w:spacing w:after="120" w:line="276" w:lineRule="auto"/>
      </w:pPr>
      <w:r>
        <w:rPr>
          <w:rFonts w:ascii="Helvetica" w:hAnsi="Helvetica"/>
          <w:color w:val="333333"/>
          <w:sz w:val="20"/>
        </w:rPr>
        <w:t>The project follows a 9-stage sequential analytical workflow:</w:t>
      </w:r>
    </w:p>
    <w:p>
      <w:pPr>
        <w:pStyle w:val="ListBullet"/>
        <w:spacing w:after="80" w:line="276" w:lineRule="auto"/>
      </w:pPr>
      <w:r>
        <w:rPr>
          <w:rFonts w:ascii="Helvetica" w:hAnsi="Helvetica"/>
          <w:color w:val="333333"/>
          <w:sz w:val="20"/>
        </w:rPr>
        <w:t>Dataset Collection &amp; Ingestion (Pandas)</w:t>
      </w:r>
    </w:p>
    <w:p>
      <w:pPr>
        <w:pStyle w:val="ListBullet"/>
        <w:spacing w:after="80" w:line="276" w:lineRule="auto"/>
      </w:pPr>
      <w:r>
        <w:rPr>
          <w:rFonts w:ascii="Helvetica" w:hAnsi="Helvetica"/>
          <w:color w:val="333333"/>
          <w:sz w:val="20"/>
        </w:rPr>
        <w:t>Data Quality Inspection &amp; Profiling</w:t>
      </w:r>
    </w:p>
    <w:p>
      <w:pPr>
        <w:pStyle w:val="ListBullet"/>
        <w:spacing w:after="80" w:line="276" w:lineRule="auto"/>
      </w:pPr>
      <w:r>
        <w:rPr>
          <w:rFonts w:ascii="Helvetica" w:hAnsi="Helvetica"/>
          <w:color w:val="333333"/>
          <w:sz w:val="20"/>
        </w:rPr>
        <w:t>Data Cleaning &amp; Whitespace Handling</w:t>
      </w:r>
    </w:p>
    <w:p>
      <w:pPr>
        <w:pStyle w:val="ListBullet"/>
        <w:spacing w:after="80" w:line="276" w:lineRule="auto"/>
      </w:pPr>
      <w:r>
        <w:rPr>
          <w:rFonts w:ascii="Helvetica" w:hAnsi="Helvetica"/>
          <w:color w:val="333333"/>
          <w:sz w:val="20"/>
        </w:rPr>
        <w:t>Feature Engineering (Priority Score, Resolution Duration, GIS Coordinates, Demographics)</w:t>
      </w:r>
    </w:p>
    <w:p>
      <w:pPr>
        <w:pStyle w:val="ListBullet"/>
        <w:spacing w:after="80" w:line="276" w:lineRule="auto"/>
      </w:pPr>
      <w:r>
        <w:rPr>
          <w:rFonts w:ascii="Helvetica" w:hAnsi="Helvetica"/>
          <w:color w:val="333333"/>
          <w:sz w:val="20"/>
        </w:rPr>
        <w:t>Exploratory Data Analysis (Categorical distributions &amp; queue breakdowns)</w:t>
      </w:r>
    </w:p>
    <w:p>
      <w:pPr>
        <w:pStyle w:val="ListBullet"/>
        <w:spacing w:after="80" w:line="276" w:lineRule="auto"/>
      </w:pPr>
      <w:r>
        <w:rPr>
          <w:rFonts w:ascii="Helvetica" w:hAnsi="Helvetica"/>
          <w:color w:val="333333"/>
          <w:sz w:val="20"/>
        </w:rPr>
        <w:t>Clustering &amp; Similarity Analysis (TF-IDF + MiniBatchKMeans)</w:t>
      </w:r>
    </w:p>
    <w:p>
      <w:pPr>
        <w:pStyle w:val="ListBullet"/>
        <w:spacing w:after="80" w:line="276" w:lineRule="auto"/>
      </w:pPr>
      <w:r>
        <w:rPr>
          <w:rFonts w:ascii="Helvetica" w:hAnsi="Helvetica"/>
          <w:color w:val="333333"/>
          <w:sz w:val="20"/>
        </w:rPr>
        <w:t>Performance &amp; Regional Trend Analysis</w:t>
      </w:r>
    </w:p>
    <w:p>
      <w:pPr>
        <w:pStyle w:val="ListBullet"/>
        <w:spacing w:after="80" w:line="276" w:lineRule="auto"/>
      </w:pPr>
      <w:r>
        <w:rPr>
          <w:rFonts w:ascii="Helvetica" w:hAnsi="Helvetica"/>
          <w:color w:val="333333"/>
          <w:sz w:val="20"/>
        </w:rPr>
        <w:t>Interactive Multi-Page Dashboard Development (Streamlit)</w:t>
      </w:r>
    </w:p>
    <w:p>
      <w:pPr>
        <w:pStyle w:val="ListBullet"/>
        <w:spacing w:after="80" w:line="276" w:lineRule="auto"/>
      </w:pPr>
      <w:r>
        <w:rPr>
          <w:rFonts w:ascii="Helvetica" w:hAnsi="Helvetica"/>
          <w:color w:val="333333"/>
          <w:sz w:val="20"/>
        </w:rPr>
        <w:t>Insights, Recommendations &amp; Master Documentation Handover</w:t>
      </w:r>
    </w:p>
    <w:p>
      <w:pPr>
        <w:spacing w:before="240" w:after="80"/>
      </w:pPr>
      <w:r>
        <w:rPr>
          <w:rFonts w:ascii="Helvetica" w:hAnsi="Helvetica"/>
          <w:b/>
          <w:color w:val="0D1B2A"/>
          <w:sz w:val="26"/>
        </w:rPr>
        <w:t>3.2 Detailed Project Objectives</w:t>
      </w:r>
    </w:p>
    <w:p>
      <w:pPr>
        <w:pStyle w:val="ListBullet"/>
        <w:spacing w:after="80" w:line="276" w:lineRule="auto"/>
      </w:pPr>
      <w:r>
        <w:rPr>
          <w:rFonts w:ascii="Helvetica" w:hAnsi="Helvetica"/>
          <w:color w:val="333333"/>
          <w:sz w:val="20"/>
        </w:rPr>
        <w:t>Analyze the overall IT support ticket dataset across 100,000 logs.</w:t>
      </w:r>
    </w:p>
    <w:p>
      <w:pPr>
        <w:pStyle w:val="ListBullet"/>
        <w:spacing w:after="80" w:line="276" w:lineRule="auto"/>
      </w:pPr>
      <w:r>
        <w:rPr>
          <w:rFonts w:ascii="Helvetica" w:hAnsi="Helvetica"/>
          <w:color w:val="333333"/>
          <w:sz w:val="20"/>
        </w:rPr>
        <w:t>Clean and standardize raw datetimes, categories, and regional fields.</w:t>
      </w:r>
    </w:p>
    <w:p>
      <w:pPr>
        <w:pStyle w:val="ListBullet"/>
        <w:spacing w:after="80" w:line="276" w:lineRule="auto"/>
      </w:pPr>
      <w:r>
        <w:rPr>
          <w:rFonts w:ascii="Helvetica" w:hAnsi="Helvetica"/>
          <w:color w:val="333333"/>
          <w:sz w:val="20"/>
        </w:rPr>
        <w:t>Engineer meaningful analytical features (Priority_Score, Resolution_Duration).</w:t>
      </w:r>
    </w:p>
    <w:p>
      <w:pPr>
        <w:pStyle w:val="ListBullet"/>
        <w:spacing w:after="80" w:line="276" w:lineRule="auto"/>
      </w:pPr>
      <w:r>
        <w:rPr>
          <w:rFonts w:ascii="Helvetica" w:hAnsi="Helvetica"/>
          <w:color w:val="333333"/>
          <w:sz w:val="20"/>
        </w:rPr>
        <w:t>Cluster unstructured initial messages using TF-IDF and MiniBatchKMeans.</w:t>
      </w:r>
    </w:p>
    <w:p>
      <w:pPr>
        <w:pStyle w:val="ListBullet"/>
        <w:spacing w:after="80" w:line="276" w:lineRule="auto"/>
      </w:pPr>
      <w:r>
        <w:rPr>
          <w:rFonts w:ascii="Helvetica" w:hAnsi="Helvetica"/>
          <w:color w:val="333333"/>
          <w:sz w:val="20"/>
        </w:rPr>
        <w:t>Calculate sentence-to-centroid similarity scores for clarity measurement.</w:t>
      </w:r>
    </w:p>
    <w:p>
      <w:pPr>
        <w:pStyle w:val="ListBullet"/>
        <w:spacing w:after="80" w:line="276" w:lineRule="auto"/>
      </w:pPr>
      <w:r>
        <w:rPr>
          <w:rFonts w:ascii="Helvetica" w:hAnsi="Helvetica"/>
          <w:color w:val="333333"/>
          <w:sz w:val="20"/>
        </w:rPr>
        <w:t>Evaluate ticket distribution across types, priorities, queues, and channels.</w:t>
      </w:r>
    </w:p>
    <w:p>
      <w:pPr>
        <w:pStyle w:val="ListBullet"/>
        <w:spacing w:after="80" w:line="276" w:lineRule="auto"/>
      </w:pPr>
      <w:r>
        <w:rPr>
          <w:rFonts w:ascii="Helvetica" w:hAnsi="Helvetica"/>
          <w:color w:val="333333"/>
          <w:sz w:val="20"/>
        </w:rPr>
        <w:t>Compare resolution times across priority tiers, countries, and support teams.</w:t>
      </w:r>
    </w:p>
    <w:p>
      <w:pPr>
        <w:pStyle w:val="ListBullet"/>
        <w:spacing w:after="80" w:line="276" w:lineRule="auto"/>
      </w:pPr>
      <w:r>
        <w:rPr>
          <w:rFonts w:ascii="Helvetica" w:hAnsi="Helvetica"/>
          <w:color w:val="333333"/>
          <w:sz w:val="20"/>
        </w:rPr>
        <w:t>Isolate and flag unresolved high-priority tickets in an automated action queue.</w:t>
      </w:r>
    </w:p>
    <w:p>
      <w:pPr>
        <w:pStyle w:val="ListBullet"/>
        <w:spacing w:after="80" w:line="276" w:lineRule="auto"/>
      </w:pPr>
      <w:r>
        <w:rPr>
          <w:rFonts w:ascii="Helvetica" w:hAnsi="Helvetica"/>
          <w:color w:val="333333"/>
          <w:sz w:val="20"/>
        </w:rPr>
        <w:t>Map ticket intake geographically across global coordinates with spatial jitter.</w:t>
      </w:r>
    </w:p>
    <w:p>
      <w:pPr>
        <w:pStyle w:val="ListBullet"/>
        <w:spacing w:after="80" w:line="276" w:lineRule="auto"/>
      </w:pPr>
      <w:r>
        <w:rPr>
          <w:rFonts w:ascii="Helvetica" w:hAnsi="Helvetica"/>
          <w:color w:val="333333"/>
          <w:sz w:val="20"/>
        </w:rPr>
        <w:t>Develop an interactive 5-page Streamlit operations dashboard.</w:t>
      </w:r>
    </w:p>
    <w:p>
      <w:pPr>
        <w:pStyle w:val="ListBullet"/>
        <w:spacing w:after="80" w:line="276" w:lineRule="auto"/>
      </w:pPr>
      <w:r>
        <w:rPr>
          <w:rFonts w:ascii="Helvetica" w:hAnsi="Helvetica"/>
          <w:color w:val="333333"/>
          <w:sz w:val="20"/>
        </w:rPr>
        <w:t>Deliver actionable management recommendations and business impact reports.</w:t>
      </w:r>
    </w:p>
    <w:p>
      <w:pPr>
        <w:spacing w:before="320" w:after="120"/>
      </w:pPr>
      <w:r>
        <w:rPr>
          <w:rFonts w:ascii="Helvetica" w:hAnsi="Helvetica"/>
          <w:b/>
          <w:color w:val="0D1B2A"/>
          <w:sz w:val="32"/>
        </w:rPr>
        <w:t>4. Dataset Description</w:t>
      </w:r>
    </w:p>
    <w:p>
      <w:pPr>
        <w:spacing w:before="240" w:after="80"/>
      </w:pPr>
      <w:r>
        <w:rPr>
          <w:rFonts w:ascii="Helvetica" w:hAnsi="Helvetica"/>
          <w:b/>
          <w:color w:val="0D1B2A"/>
          <w:sz w:val="26"/>
        </w:rPr>
        <w:t>4.1 Overview</w:t>
      </w:r>
    </w:p>
    <w:p>
      <w:pPr>
        <w:spacing w:after="120" w:line="276" w:lineRule="auto"/>
      </w:pPr>
      <w:r>
        <w:rPr>
          <w:rFonts w:ascii="Helvetica" w:hAnsi="Helvetica"/>
          <w:color w:val="333333"/>
          <w:sz w:val="20"/>
        </w:rPr>
        <w:t>The Supportlytics dataset contains 100,000 ticket records and 29 columns covering ticket metadata, created/resolved timestamps, severity priorities, issue categories, countries, text clustering labels, SLA plans, customer demographics, and CSAT scores.</w:t>
      </w:r>
    </w:p>
    <w:p>
      <w:pPr>
        <w:spacing w:before="240" w:after="80"/>
      </w:pPr>
      <w:r>
        <w:rPr>
          <w:rFonts w:ascii="Helvetica" w:hAnsi="Helvetica"/>
          <w:b/>
          <w:color w:val="0D1B2A"/>
          <w:sz w:val="26"/>
        </w:rPr>
        <w:t>4.2 Schema Exploration Code</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after="0"/>
            </w:pPr>
            <w:r>
              <w:rPr>
                <w:rFonts w:ascii="Consolas" w:hAnsi="Consolas"/>
                <w:color w:val="1E3246"/>
                <w:sz w:val="18"/>
              </w:rPr>
              <w:t>import pandas as pd</w:t>
              <w:br/>
              <w:t>df = pd.read_csv('synthetic_it_support_tickets.csv')</w:t>
              <w:br/>
              <w:t>print(f'Total Rows: {len(df):,}')</w:t>
              <w:br/>
              <w:t>print(f'Total Columns: {len(df.columns)}')</w:t>
              <w:br/>
              <w:t>print(df.columns.tolist())</w:t>
            </w:r>
          </w:p>
        </w:tc>
      </w:tr>
    </w:tbl>
    <w:p>
      <w:pPr>
        <w:spacing w:after="120"/>
      </w:pPr>
    </w:p>
    <w:p>
      <w:pPr>
        <w:spacing w:before="240" w:after="80"/>
      </w:pPr>
      <w:r>
        <w:rPr>
          <w:rFonts w:ascii="Helvetica" w:hAnsi="Helvetica"/>
          <w:b/>
          <w:color w:val="0D1B2A"/>
          <w:sz w:val="26"/>
        </w:rPr>
        <w:t>4.3 Data Dictionary</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80" w:type="dxa"/>
              <w:bottom w:w="80" w:type="dxa"/>
              <w:left w:w="120" w:type="dxa"/>
              <w:right w:w="120" w:type="dxa"/>
            </w:tcMar>
            <w:shd w:fill="0D1B2A"/>
          </w:tcPr>
          <w:p>
            <w:r>
              <w:rPr>
                <w:rFonts w:ascii="Helvetica" w:hAnsi="Helvetica"/>
                <w:b/>
                <w:color w:val="FFFFFF"/>
                <w:sz w:val="19"/>
              </w:rPr>
              <w:t>Field Name</w:t>
            </w:r>
          </w:p>
        </w:tc>
        <w:tc>
          <w:tcPr>
            <w:tcW w:type="dxa" w:w="1728"/>
            <w:tcMar>
              <w:top w:w="80" w:type="dxa"/>
              <w:bottom w:w="80" w:type="dxa"/>
              <w:left w:w="120" w:type="dxa"/>
              <w:right w:w="120" w:type="dxa"/>
            </w:tcMar>
            <w:shd w:fill="0D1B2A"/>
          </w:tcPr>
          <w:p>
            <w:r>
              <w:rPr>
                <w:rFonts w:ascii="Helvetica" w:hAnsi="Helvetica"/>
                <w:b/>
                <w:color w:val="FFFFFF"/>
                <w:sz w:val="19"/>
              </w:rPr>
              <w:t>Data Type</w:t>
            </w:r>
          </w:p>
        </w:tc>
        <w:tc>
          <w:tcPr>
            <w:tcW w:type="dxa" w:w="5040"/>
            <w:tcMar>
              <w:top w:w="80" w:type="dxa"/>
              <w:bottom w:w="80" w:type="dxa"/>
              <w:left w:w="120" w:type="dxa"/>
              <w:right w:w="120" w:type="dxa"/>
            </w:tcMar>
            <w:shd w:fill="0D1B2A"/>
          </w:tcPr>
          <w:p>
            <w:r>
              <w:rPr>
                <w:rFonts w:ascii="Helvetica" w:hAnsi="Helvetica"/>
                <w:b/>
                <w:color w:val="FFFFFF"/>
                <w:sz w:val="19"/>
              </w:rPr>
              <w:t>Description &amp; Usage</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ticket_id</w:t>
            </w:r>
          </w:p>
        </w:tc>
        <w:tc>
          <w:tcPr>
            <w:tcW w:type="dxa" w:w="1728"/>
            <w:tcMar>
              <w:top w:w="80" w:type="dxa"/>
              <w:bottom w:w="80" w:type="dxa"/>
              <w:left w:w="120" w:type="dxa"/>
              <w:right w:w="120" w:type="dxa"/>
            </w:tcMar>
            <w:shd w:fill="F9FAFC"/>
          </w:tcPr>
          <w:p>
            <w:r>
              <w:rPr>
                <w:rFonts w:ascii="Helvetica" w:hAnsi="Helvetica"/>
                <w:color w:val="333333"/>
                <w:sz w:val="18"/>
              </w:rPr>
              <w:t>String</w:t>
            </w:r>
          </w:p>
        </w:tc>
        <w:tc>
          <w:tcPr>
            <w:tcW w:type="dxa" w:w="5040"/>
            <w:tcMar>
              <w:top w:w="80" w:type="dxa"/>
              <w:bottom w:w="80" w:type="dxa"/>
              <w:left w:w="120" w:type="dxa"/>
              <w:right w:w="120" w:type="dxa"/>
            </w:tcMar>
            <w:shd w:fill="F9FAFC"/>
          </w:tcPr>
          <w:p>
            <w:r>
              <w:rPr>
                <w:rFonts w:ascii="Helvetica" w:hAnsi="Helvetica"/>
                <w:color w:val="333333"/>
                <w:sz w:val="18"/>
              </w:rPr>
              <w:t>Unique ticket log identifier (e.g. TCKT_000001).</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created_at</w:t>
            </w:r>
          </w:p>
        </w:tc>
        <w:tc>
          <w:tcPr>
            <w:tcW w:type="dxa" w:w="1728"/>
            <w:tcMar>
              <w:top w:w="80" w:type="dxa"/>
              <w:bottom w:w="80" w:type="dxa"/>
              <w:left w:w="120" w:type="dxa"/>
              <w:right w:w="120" w:type="dxa"/>
            </w:tcMar>
            <w:shd w:fill="FFFFFF"/>
          </w:tcPr>
          <w:p>
            <w:r>
              <w:rPr>
                <w:rFonts w:ascii="Helvetica" w:hAnsi="Helvetica"/>
                <w:color w:val="333333"/>
                <w:sz w:val="18"/>
              </w:rPr>
              <w:t>Datetime</w:t>
            </w:r>
          </w:p>
        </w:tc>
        <w:tc>
          <w:tcPr>
            <w:tcW w:type="dxa" w:w="5040"/>
            <w:tcMar>
              <w:top w:w="80" w:type="dxa"/>
              <w:bottom w:w="80" w:type="dxa"/>
              <w:left w:w="120" w:type="dxa"/>
              <w:right w:w="120" w:type="dxa"/>
            </w:tcMar>
            <w:shd w:fill="FFFFFF"/>
          </w:tcPr>
          <w:p>
            <w:r>
              <w:rPr>
                <w:rFonts w:ascii="Helvetica" w:hAnsi="Helvetica"/>
                <w:color w:val="333333"/>
                <w:sz w:val="18"/>
              </w:rPr>
              <w:t>Timestamp when ticket was logged.</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customer_segment</w:t>
            </w:r>
          </w:p>
        </w:tc>
        <w:tc>
          <w:tcPr>
            <w:tcW w:type="dxa" w:w="1728"/>
            <w:tcMar>
              <w:top w:w="80" w:type="dxa"/>
              <w:bottom w:w="80" w:type="dxa"/>
              <w:left w:w="120" w:type="dxa"/>
              <w:right w:w="120" w:type="dxa"/>
            </w:tcMar>
            <w:shd w:fill="F9FAFC"/>
          </w:tcPr>
          <w:p>
            <w:r>
              <w:rPr>
                <w:rFonts w:ascii="Helvetica" w:hAnsi="Helvetica"/>
                <w:color w:val="333333"/>
                <w:sz w:val="18"/>
              </w:rPr>
              <w:t>Categorical</w:t>
            </w:r>
          </w:p>
        </w:tc>
        <w:tc>
          <w:tcPr>
            <w:tcW w:type="dxa" w:w="5040"/>
            <w:tcMar>
              <w:top w:w="80" w:type="dxa"/>
              <w:bottom w:w="80" w:type="dxa"/>
              <w:left w:w="120" w:type="dxa"/>
              <w:right w:w="120" w:type="dxa"/>
            </w:tcMar>
            <w:shd w:fill="F9FAFC"/>
          </w:tcPr>
          <w:p>
            <w:r>
              <w:rPr>
                <w:rFonts w:ascii="Helvetica" w:hAnsi="Helvetica"/>
                <w:color w:val="333333"/>
                <w:sz w:val="18"/>
              </w:rPr>
              <w:t>Segment (individual, small_business, enterprise, education, non_profit).</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channel</w:t>
            </w:r>
          </w:p>
        </w:tc>
        <w:tc>
          <w:tcPr>
            <w:tcW w:type="dxa" w:w="1728"/>
            <w:tcMar>
              <w:top w:w="80" w:type="dxa"/>
              <w:bottom w:w="80" w:type="dxa"/>
              <w:left w:w="120" w:type="dxa"/>
              <w:right w:w="120" w:type="dxa"/>
            </w:tcMar>
            <w:shd w:fill="FFFFFF"/>
          </w:tcPr>
          <w:p>
            <w:r>
              <w:rPr>
                <w:rFonts w:ascii="Helvetica" w:hAnsi="Helvetica"/>
                <w:color w:val="333333"/>
                <w:sz w:val="18"/>
              </w:rPr>
              <w:t>Categorical</w:t>
            </w:r>
          </w:p>
        </w:tc>
        <w:tc>
          <w:tcPr>
            <w:tcW w:type="dxa" w:w="5040"/>
            <w:tcMar>
              <w:top w:w="80" w:type="dxa"/>
              <w:bottom w:w="80" w:type="dxa"/>
              <w:left w:w="120" w:type="dxa"/>
              <w:right w:w="120" w:type="dxa"/>
            </w:tcMar>
            <w:shd w:fill="FFFFFF"/>
          </w:tcPr>
          <w:p>
            <w:r>
              <w:rPr>
                <w:rFonts w:ascii="Helvetica" w:hAnsi="Helvetica"/>
                <w:color w:val="333333"/>
                <w:sz w:val="18"/>
              </w:rPr>
              <w:t>Ingest method (email, in_app, chat, phone_transcript, web_form).</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product_area</w:t>
            </w:r>
          </w:p>
        </w:tc>
        <w:tc>
          <w:tcPr>
            <w:tcW w:type="dxa" w:w="1728"/>
            <w:tcMar>
              <w:top w:w="80" w:type="dxa"/>
              <w:bottom w:w="80" w:type="dxa"/>
              <w:left w:w="120" w:type="dxa"/>
              <w:right w:w="120" w:type="dxa"/>
            </w:tcMar>
            <w:shd w:fill="F9FAFC"/>
          </w:tcPr>
          <w:p>
            <w:r>
              <w:rPr>
                <w:rFonts w:ascii="Helvetica" w:hAnsi="Helvetica"/>
                <w:color w:val="333333"/>
                <w:sz w:val="18"/>
              </w:rPr>
              <w:t>Categorical</w:t>
            </w:r>
          </w:p>
        </w:tc>
        <w:tc>
          <w:tcPr>
            <w:tcW w:type="dxa" w:w="5040"/>
            <w:tcMar>
              <w:top w:w="80" w:type="dxa"/>
              <w:bottom w:w="80" w:type="dxa"/>
              <w:left w:w="120" w:type="dxa"/>
              <w:right w:w="120" w:type="dxa"/>
            </w:tcMar>
            <w:shd w:fill="F9FAFC"/>
          </w:tcPr>
          <w:p>
            <w:r>
              <w:rPr>
                <w:rFonts w:ascii="Helvetica" w:hAnsi="Helvetica"/>
                <w:color w:val="333333"/>
                <w:sz w:val="18"/>
              </w:rPr>
              <w:t>Product queue (mobile_app, login_auth, api_integration, billing, etc.).</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issue_type</w:t>
            </w:r>
          </w:p>
        </w:tc>
        <w:tc>
          <w:tcPr>
            <w:tcW w:type="dxa" w:w="1728"/>
            <w:tcMar>
              <w:top w:w="80" w:type="dxa"/>
              <w:bottom w:w="80" w:type="dxa"/>
              <w:left w:w="120" w:type="dxa"/>
              <w:right w:w="120" w:type="dxa"/>
            </w:tcMar>
            <w:shd w:fill="FFFFFF"/>
          </w:tcPr>
          <w:p>
            <w:r>
              <w:rPr>
                <w:rFonts w:ascii="Helvetica" w:hAnsi="Helvetica"/>
                <w:color w:val="333333"/>
                <w:sz w:val="18"/>
              </w:rPr>
              <w:t>Categorical</w:t>
            </w:r>
          </w:p>
        </w:tc>
        <w:tc>
          <w:tcPr>
            <w:tcW w:type="dxa" w:w="5040"/>
            <w:tcMar>
              <w:top w:w="80" w:type="dxa"/>
              <w:bottom w:w="80" w:type="dxa"/>
              <w:left w:w="120" w:type="dxa"/>
              <w:right w:w="120" w:type="dxa"/>
            </w:tcMar>
            <w:shd w:fill="FFFFFF"/>
          </w:tcPr>
          <w:p>
            <w:r>
              <w:rPr>
                <w:rFonts w:ascii="Helvetica" w:hAnsi="Helvetica"/>
                <w:color w:val="333333"/>
                <w:sz w:val="18"/>
              </w:rPr>
              <w:t>Problem classification (account_access, security_concern, bug, billing, etc.).</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priority</w:t>
            </w:r>
          </w:p>
        </w:tc>
        <w:tc>
          <w:tcPr>
            <w:tcW w:type="dxa" w:w="1728"/>
            <w:tcMar>
              <w:top w:w="80" w:type="dxa"/>
              <w:bottom w:w="80" w:type="dxa"/>
              <w:left w:w="120" w:type="dxa"/>
              <w:right w:w="120" w:type="dxa"/>
            </w:tcMar>
            <w:shd w:fill="F9FAFC"/>
          </w:tcPr>
          <w:p>
            <w:r>
              <w:rPr>
                <w:rFonts w:ascii="Helvetica" w:hAnsi="Helvetica"/>
                <w:color w:val="333333"/>
                <w:sz w:val="18"/>
              </w:rPr>
              <w:t>Categorical</w:t>
            </w:r>
          </w:p>
        </w:tc>
        <w:tc>
          <w:tcPr>
            <w:tcW w:type="dxa" w:w="5040"/>
            <w:tcMar>
              <w:top w:w="80" w:type="dxa"/>
              <w:bottom w:w="80" w:type="dxa"/>
              <w:left w:w="120" w:type="dxa"/>
              <w:right w:w="120" w:type="dxa"/>
            </w:tcMar>
            <w:shd w:fill="F9FAFC"/>
          </w:tcPr>
          <w:p>
            <w:r>
              <w:rPr>
                <w:rFonts w:ascii="Helvetica" w:hAnsi="Helvetica"/>
                <w:color w:val="333333"/>
                <w:sz w:val="18"/>
              </w:rPr>
              <w:t>Severity level (low, medium, high, urgent).</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status</w:t>
            </w:r>
          </w:p>
        </w:tc>
        <w:tc>
          <w:tcPr>
            <w:tcW w:type="dxa" w:w="1728"/>
            <w:tcMar>
              <w:top w:w="80" w:type="dxa"/>
              <w:bottom w:w="80" w:type="dxa"/>
              <w:left w:w="120" w:type="dxa"/>
              <w:right w:w="120" w:type="dxa"/>
            </w:tcMar>
            <w:shd w:fill="FFFFFF"/>
          </w:tcPr>
          <w:p>
            <w:r>
              <w:rPr>
                <w:rFonts w:ascii="Helvetica" w:hAnsi="Helvetica"/>
                <w:color w:val="333333"/>
                <w:sz w:val="18"/>
              </w:rPr>
              <w:t>Categorical</w:t>
            </w:r>
          </w:p>
        </w:tc>
        <w:tc>
          <w:tcPr>
            <w:tcW w:type="dxa" w:w="5040"/>
            <w:tcMar>
              <w:top w:w="80" w:type="dxa"/>
              <w:bottom w:w="80" w:type="dxa"/>
              <w:left w:w="120" w:type="dxa"/>
              <w:right w:w="120" w:type="dxa"/>
            </w:tcMar>
            <w:shd w:fill="FFFFFF"/>
          </w:tcPr>
          <w:p>
            <w:r>
              <w:rPr>
                <w:rFonts w:ascii="Helvetica" w:hAnsi="Helvetica"/>
                <w:color w:val="333333"/>
                <w:sz w:val="18"/>
              </w:rPr>
              <w:t>Status lifecycle (resolved, in_progress, closed_no_action, on_hold, open).</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sla_plan</w:t>
            </w:r>
          </w:p>
        </w:tc>
        <w:tc>
          <w:tcPr>
            <w:tcW w:type="dxa" w:w="1728"/>
            <w:tcMar>
              <w:top w:w="80" w:type="dxa"/>
              <w:bottom w:w="80" w:type="dxa"/>
              <w:left w:w="120" w:type="dxa"/>
              <w:right w:w="120" w:type="dxa"/>
            </w:tcMar>
            <w:shd w:fill="F9FAFC"/>
          </w:tcPr>
          <w:p>
            <w:r>
              <w:rPr>
                <w:rFonts w:ascii="Helvetica" w:hAnsi="Helvetica"/>
                <w:color w:val="333333"/>
                <w:sz w:val="18"/>
              </w:rPr>
              <w:t>Categorical</w:t>
            </w:r>
          </w:p>
        </w:tc>
        <w:tc>
          <w:tcPr>
            <w:tcW w:type="dxa" w:w="5040"/>
            <w:tcMar>
              <w:top w:w="80" w:type="dxa"/>
              <w:bottom w:w="80" w:type="dxa"/>
              <w:left w:w="120" w:type="dxa"/>
              <w:right w:w="120" w:type="dxa"/>
            </w:tcMar>
            <w:shd w:fill="F9FAFC"/>
          </w:tcPr>
          <w:p>
            <w:r>
              <w:rPr>
                <w:rFonts w:ascii="Helvetica" w:hAnsi="Helvetica"/>
                <w:color w:val="333333"/>
                <w:sz w:val="18"/>
              </w:rPr>
              <w:t>Assigned SLA tier (standard, gold, platinum).</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resolution_time_hours</w:t>
            </w:r>
          </w:p>
        </w:tc>
        <w:tc>
          <w:tcPr>
            <w:tcW w:type="dxa" w:w="1728"/>
            <w:tcMar>
              <w:top w:w="80" w:type="dxa"/>
              <w:bottom w:w="80" w:type="dxa"/>
              <w:left w:w="120" w:type="dxa"/>
              <w:right w:w="120" w:type="dxa"/>
            </w:tcMar>
            <w:shd w:fill="FFFFFF"/>
          </w:tcPr>
          <w:p>
            <w:r>
              <w:rPr>
                <w:rFonts w:ascii="Helvetica" w:hAnsi="Helvetica"/>
                <w:color w:val="333333"/>
                <w:sz w:val="18"/>
              </w:rPr>
              <w:t>Float</w:t>
            </w:r>
          </w:p>
        </w:tc>
        <w:tc>
          <w:tcPr>
            <w:tcW w:type="dxa" w:w="5040"/>
            <w:tcMar>
              <w:top w:w="80" w:type="dxa"/>
              <w:bottom w:w="80" w:type="dxa"/>
              <w:left w:w="120" w:type="dxa"/>
              <w:right w:w="120" w:type="dxa"/>
            </w:tcMar>
            <w:shd w:fill="FFFFFF"/>
          </w:tcPr>
          <w:p>
            <w:r>
              <w:rPr>
                <w:rFonts w:ascii="Helvetica" w:hAnsi="Helvetica"/>
                <w:color w:val="333333"/>
                <w:sz w:val="18"/>
              </w:rPr>
              <w:t>Clock hours required to resolve ticket.</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csat_score</w:t>
            </w:r>
          </w:p>
        </w:tc>
        <w:tc>
          <w:tcPr>
            <w:tcW w:type="dxa" w:w="1728"/>
            <w:tcMar>
              <w:top w:w="80" w:type="dxa"/>
              <w:bottom w:w="80" w:type="dxa"/>
              <w:left w:w="120" w:type="dxa"/>
              <w:right w:w="120" w:type="dxa"/>
            </w:tcMar>
            <w:shd w:fill="F9FAFC"/>
          </w:tcPr>
          <w:p>
            <w:r>
              <w:rPr>
                <w:rFonts w:ascii="Helvetica" w:hAnsi="Helvetica"/>
                <w:color w:val="333333"/>
                <w:sz w:val="18"/>
              </w:rPr>
              <w:t>Integer</w:t>
            </w:r>
          </w:p>
        </w:tc>
        <w:tc>
          <w:tcPr>
            <w:tcW w:type="dxa" w:w="5040"/>
            <w:tcMar>
              <w:top w:w="80" w:type="dxa"/>
              <w:bottom w:w="80" w:type="dxa"/>
              <w:left w:w="120" w:type="dxa"/>
              <w:right w:w="120" w:type="dxa"/>
            </w:tcMar>
            <w:shd w:fill="F9FAFC"/>
          </w:tcPr>
          <w:p>
            <w:r>
              <w:rPr>
                <w:rFonts w:ascii="Helvetica" w:hAnsi="Helvetica"/>
                <w:color w:val="333333"/>
                <w:sz w:val="18"/>
              </w:rPr>
              <w:t>Customer satisfaction rating scored 0 to 5.</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resolution_date</w:t>
            </w:r>
          </w:p>
        </w:tc>
        <w:tc>
          <w:tcPr>
            <w:tcW w:type="dxa" w:w="1728"/>
            <w:tcMar>
              <w:top w:w="80" w:type="dxa"/>
              <w:bottom w:w="80" w:type="dxa"/>
              <w:left w:w="120" w:type="dxa"/>
              <w:right w:w="120" w:type="dxa"/>
            </w:tcMar>
            <w:shd w:fill="FFFFFF"/>
          </w:tcPr>
          <w:p>
            <w:r>
              <w:rPr>
                <w:rFonts w:ascii="Helvetica" w:hAnsi="Helvetica"/>
                <w:color w:val="333333"/>
                <w:sz w:val="18"/>
              </w:rPr>
              <w:t>Datetime</w:t>
            </w:r>
          </w:p>
        </w:tc>
        <w:tc>
          <w:tcPr>
            <w:tcW w:type="dxa" w:w="5040"/>
            <w:tcMar>
              <w:top w:w="80" w:type="dxa"/>
              <w:bottom w:w="80" w:type="dxa"/>
              <w:left w:w="120" w:type="dxa"/>
              <w:right w:w="120" w:type="dxa"/>
            </w:tcMar>
            <w:shd w:fill="FFFFFF"/>
          </w:tcPr>
          <w:p>
            <w:r>
              <w:rPr>
                <w:rFonts w:ascii="Helvetica" w:hAnsi="Helvetica"/>
                <w:color w:val="333333"/>
                <w:sz w:val="18"/>
              </w:rPr>
              <w:t>Engineered timestamp of ticket resolution.</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Priority_Score</w:t>
            </w:r>
          </w:p>
        </w:tc>
        <w:tc>
          <w:tcPr>
            <w:tcW w:type="dxa" w:w="1728"/>
            <w:tcMar>
              <w:top w:w="80" w:type="dxa"/>
              <w:bottom w:w="80" w:type="dxa"/>
              <w:left w:w="120" w:type="dxa"/>
              <w:right w:w="120" w:type="dxa"/>
            </w:tcMar>
            <w:shd w:fill="F9FAFC"/>
          </w:tcPr>
          <w:p>
            <w:r>
              <w:rPr>
                <w:rFonts w:ascii="Helvetica" w:hAnsi="Helvetica"/>
                <w:color w:val="333333"/>
                <w:sz w:val="18"/>
              </w:rPr>
              <w:t>Integer</w:t>
            </w:r>
          </w:p>
        </w:tc>
        <w:tc>
          <w:tcPr>
            <w:tcW w:type="dxa" w:w="5040"/>
            <w:tcMar>
              <w:top w:w="80" w:type="dxa"/>
              <w:bottom w:w="80" w:type="dxa"/>
              <w:left w:w="120" w:type="dxa"/>
              <w:right w:w="120" w:type="dxa"/>
            </w:tcMar>
            <w:shd w:fill="F9FAFC"/>
          </w:tcPr>
          <w:p>
            <w:r>
              <w:rPr>
                <w:rFonts w:ascii="Helvetica" w:hAnsi="Helvetica"/>
                <w:color w:val="333333"/>
                <w:sz w:val="18"/>
              </w:rPr>
              <w:t>Numeric mapping of priority (low=1 to urgent=4).</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cluster_name</w:t>
            </w:r>
          </w:p>
        </w:tc>
        <w:tc>
          <w:tcPr>
            <w:tcW w:type="dxa" w:w="1728"/>
            <w:tcMar>
              <w:top w:w="80" w:type="dxa"/>
              <w:bottom w:w="80" w:type="dxa"/>
              <w:left w:w="120" w:type="dxa"/>
              <w:right w:w="120" w:type="dxa"/>
            </w:tcMar>
            <w:shd w:fill="FFFFFF"/>
          </w:tcPr>
          <w:p>
            <w:r>
              <w:rPr>
                <w:rFonts w:ascii="Helvetica" w:hAnsi="Helvetica"/>
                <w:color w:val="333333"/>
                <w:sz w:val="18"/>
              </w:rPr>
              <w:t>String</w:t>
            </w:r>
          </w:p>
        </w:tc>
        <w:tc>
          <w:tcPr>
            <w:tcW w:type="dxa" w:w="5040"/>
            <w:tcMar>
              <w:top w:w="80" w:type="dxa"/>
              <w:bottom w:w="80" w:type="dxa"/>
              <w:left w:w="120" w:type="dxa"/>
              <w:right w:w="120" w:type="dxa"/>
            </w:tcMar>
            <w:shd w:fill="FFFFFF"/>
          </w:tcPr>
          <w:p>
            <w:r>
              <w:rPr>
                <w:rFonts w:ascii="Helvetica" w:hAnsi="Helvetica"/>
                <w:color w:val="333333"/>
                <w:sz w:val="18"/>
              </w:rPr>
              <w:t>Text cluster name derived from TF-IDF + MiniBatchKMeans.</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similarity_score</w:t>
            </w:r>
          </w:p>
        </w:tc>
        <w:tc>
          <w:tcPr>
            <w:tcW w:type="dxa" w:w="1728"/>
            <w:tcMar>
              <w:top w:w="80" w:type="dxa"/>
              <w:bottom w:w="80" w:type="dxa"/>
              <w:left w:w="120" w:type="dxa"/>
              <w:right w:w="120" w:type="dxa"/>
            </w:tcMar>
            <w:shd w:fill="F9FAFC"/>
          </w:tcPr>
          <w:p>
            <w:r>
              <w:rPr>
                <w:rFonts w:ascii="Helvetica" w:hAnsi="Helvetica"/>
                <w:color w:val="333333"/>
                <w:sz w:val="18"/>
              </w:rPr>
              <w:t>Float</w:t>
            </w:r>
          </w:p>
        </w:tc>
        <w:tc>
          <w:tcPr>
            <w:tcW w:type="dxa" w:w="5040"/>
            <w:tcMar>
              <w:top w:w="80" w:type="dxa"/>
              <w:bottom w:w="80" w:type="dxa"/>
              <w:left w:w="120" w:type="dxa"/>
              <w:right w:w="120" w:type="dxa"/>
            </w:tcMar>
            <w:shd w:fill="F9FAFC"/>
          </w:tcPr>
          <w:p>
            <w:r>
              <w:rPr>
                <w:rFonts w:ascii="Helvetica" w:hAnsi="Helvetica"/>
                <w:color w:val="333333"/>
                <w:sz w:val="18"/>
              </w:rPr>
              <w:t>Cosine similarity metric to cluster centroid (0.0 to 1.0).</w:t>
            </w:r>
          </w:p>
        </w:tc>
      </w:tr>
    </w:tbl>
    <w:p>
      <w:pPr>
        <w:spacing w:after="200"/>
      </w:pPr>
    </w:p>
    <w:p>
      <w:pPr>
        <w:spacing w:before="240" w:after="80"/>
      </w:pPr>
      <w:r>
        <w:rPr>
          <w:rFonts w:ascii="Helvetica" w:hAnsi="Helvetica"/>
          <w:b/>
          <w:color w:val="0D1B2A"/>
          <w:sz w:val="26"/>
        </w:rPr>
        <w:t>4.4 Dataset Summary Statistics</w:t>
      </w:r>
    </w:p>
    <w:p>
      <w:pPr>
        <w:pStyle w:val="ListBullet"/>
        <w:spacing w:after="80" w:line="276" w:lineRule="auto"/>
      </w:pPr>
      <w:r>
        <w:rPr>
          <w:rFonts w:ascii="Helvetica" w:hAnsi="Helvetica"/>
          <w:b/>
          <w:color w:val="333333"/>
          <w:sz w:val="20"/>
        </w:rPr>
        <w:t xml:space="preserve">Total Records: </w:t>
      </w:r>
      <w:r>
        <w:rPr>
          <w:rFonts w:ascii="Helvetica" w:hAnsi="Helvetica"/>
          <w:color w:val="333333"/>
          <w:sz w:val="20"/>
        </w:rPr>
        <w:t>Total Ticket Volume: 100,000 Records</w:t>
      </w:r>
    </w:p>
    <w:p>
      <w:pPr>
        <w:pStyle w:val="ListBullet"/>
        <w:spacing w:after="80" w:line="276" w:lineRule="auto"/>
      </w:pPr>
      <w:r>
        <w:rPr>
          <w:rFonts w:ascii="Helvetica" w:hAnsi="Helvetica"/>
          <w:b/>
          <w:color w:val="333333"/>
          <w:sz w:val="20"/>
        </w:rPr>
        <w:t xml:space="preserve">Columns: </w:t>
      </w:r>
      <w:r>
        <w:rPr>
          <w:rFonts w:ascii="Helvetica" w:hAnsi="Helvetica"/>
          <w:color w:val="333333"/>
          <w:sz w:val="20"/>
        </w:rPr>
        <w:t>29 Original, Engineered, NLP, and Geo Columns</w:t>
      </w:r>
    </w:p>
    <w:p>
      <w:pPr>
        <w:pStyle w:val="ListBullet"/>
        <w:spacing w:after="80" w:line="276" w:lineRule="auto"/>
      </w:pPr>
      <w:r>
        <w:rPr>
          <w:rFonts w:ascii="Helvetica" w:hAnsi="Helvetica"/>
          <w:b/>
          <w:color w:val="333333"/>
          <w:sz w:val="20"/>
        </w:rPr>
        <w:t xml:space="preserve">Geographic Scope: </w:t>
      </w:r>
      <w:r>
        <w:rPr>
          <w:rFonts w:ascii="Helvetica" w:hAnsi="Helvetica"/>
          <w:color w:val="333333"/>
          <w:sz w:val="20"/>
        </w:rPr>
        <w:t>5 Global Regions (APAC, EU, NA, LATAM, MEA) &amp; 15 Representative Countries</w:t>
      </w:r>
    </w:p>
    <w:p>
      <w:pPr>
        <w:pStyle w:val="ListBullet"/>
        <w:spacing w:after="80" w:line="276" w:lineRule="auto"/>
      </w:pPr>
      <w:r>
        <w:rPr>
          <w:rFonts w:ascii="Helvetica" w:hAnsi="Helvetica"/>
          <w:b/>
          <w:color w:val="333333"/>
          <w:sz w:val="20"/>
        </w:rPr>
        <w:t xml:space="preserve">Products: </w:t>
      </w:r>
      <w:r>
        <w:rPr>
          <w:rFonts w:ascii="Helvetica" w:hAnsi="Helvetica"/>
          <w:color w:val="333333"/>
          <w:sz w:val="20"/>
        </w:rPr>
        <w:t>14 Hardware and Software Product Lines</w:t>
      </w:r>
    </w:p>
    <w:p>
      <w:pPr>
        <w:pStyle w:val="ListBullet"/>
        <w:spacing w:after="80" w:line="276" w:lineRule="auto"/>
      </w:pPr>
      <w:r>
        <w:rPr>
          <w:rFonts w:ascii="Helvetica" w:hAnsi="Helvetica"/>
          <w:b/>
          <w:color w:val="333333"/>
          <w:sz w:val="20"/>
        </w:rPr>
        <w:t xml:space="preserve">NLP Clusters: </w:t>
      </w:r>
      <w:r>
        <w:rPr>
          <w:rFonts w:ascii="Helvetica" w:hAnsi="Helvetica"/>
          <w:color w:val="333333"/>
          <w:sz w:val="20"/>
        </w:rPr>
        <w:t>6 Natural Language Topic Clusters</w:t>
      </w:r>
    </w:p>
    <w:p>
      <w:pPr>
        <w:pStyle w:val="ListBullet"/>
        <w:spacing w:after="80" w:line="276" w:lineRule="auto"/>
      </w:pPr>
      <w:r>
        <w:rPr>
          <w:rFonts w:ascii="Helvetica" w:hAnsi="Helvetica"/>
          <w:b/>
          <w:color w:val="333333"/>
          <w:sz w:val="20"/>
        </w:rPr>
        <w:t xml:space="preserve">KPIs Tracked: </w:t>
      </w:r>
      <w:r>
        <w:rPr>
          <w:rFonts w:ascii="Helvetica" w:hAnsi="Helvetica"/>
          <w:color w:val="333333"/>
          <w:sz w:val="20"/>
        </w:rPr>
        <w:t>13 Core Helpdesk Operational Key Performance Indicators</w:t>
      </w:r>
    </w:p>
    <w:p>
      <w:pPr>
        <w:spacing w:before="320" w:after="120"/>
      </w:pPr>
      <w:r>
        <w:rPr>
          <w:rFonts w:ascii="Helvetica" w:hAnsi="Helvetica"/>
          <w:b/>
          <w:color w:val="0D1B2A"/>
          <w:sz w:val="32"/>
        </w:rPr>
        <w:t>5. Technologies Used</w:t>
      </w:r>
    </w:p>
    <w:tbl>
      <w:tblPr>
        <w:tblW w:type="auto" w:w="0"/>
        <w:jc w:val="center"/>
        <w:tblLook w:firstColumn="1" w:firstRow="1" w:lastColumn="0" w:lastRow="0" w:noHBand="0" w:noVBand="1" w:val="04A0"/>
      </w:tblPr>
      <w:tblGrid>
        <w:gridCol w:w="4680"/>
        <w:gridCol w:w="4680"/>
      </w:tblGrid>
      <w:tr>
        <w:trPr>
          <w:cantSplit/>
        </w:trPr>
        <w:tc>
          <w:tcPr>
            <w:tcW w:type="dxa" w:w="3600"/>
            <w:tcMar>
              <w:top w:w="80" w:type="dxa"/>
              <w:bottom w:w="80" w:type="dxa"/>
              <w:left w:w="120" w:type="dxa"/>
              <w:right w:w="120" w:type="dxa"/>
            </w:tcMar>
            <w:shd w:fill="0D1B2A"/>
          </w:tcPr>
          <w:p>
            <w:r>
              <w:rPr>
                <w:rFonts w:ascii="Helvetica" w:hAnsi="Helvetica"/>
                <w:b/>
                <w:color w:val="FFFFFF"/>
                <w:sz w:val="19"/>
              </w:rPr>
              <w:t>Technology / Library</w:t>
            </w:r>
          </w:p>
        </w:tc>
        <w:tc>
          <w:tcPr>
            <w:tcW w:type="dxa" w:w="5760"/>
            <w:tcMar>
              <w:top w:w="80" w:type="dxa"/>
              <w:bottom w:w="80" w:type="dxa"/>
              <w:left w:w="120" w:type="dxa"/>
              <w:right w:w="120" w:type="dxa"/>
            </w:tcMar>
            <w:shd w:fill="0D1B2A"/>
          </w:tcPr>
          <w:p>
            <w:r>
              <w:rPr>
                <w:rFonts w:ascii="Helvetica" w:hAnsi="Helvetica"/>
                <w:b/>
                <w:color w:val="FFFFFF"/>
                <w:sz w:val="19"/>
              </w:rPr>
              <w:t>Role &amp; Purpose in Supportlytics</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Python 3.10</w:t>
            </w:r>
          </w:p>
        </w:tc>
        <w:tc>
          <w:tcPr>
            <w:tcW w:type="dxa" w:w="5760"/>
            <w:tcMar>
              <w:top w:w="80" w:type="dxa"/>
              <w:bottom w:w="80" w:type="dxa"/>
              <w:left w:w="120" w:type="dxa"/>
              <w:right w:w="120" w:type="dxa"/>
            </w:tcMar>
            <w:shd w:fill="F9FAFC"/>
          </w:tcPr>
          <w:p>
            <w:r>
              <w:rPr>
                <w:rFonts w:ascii="Helvetica" w:hAnsi="Helvetica"/>
                <w:color w:val="333333"/>
                <w:sz w:val="18"/>
              </w:rPr>
              <w:t>Core programming language for data engineering and modeling.</w:t>
            </w:r>
          </w:p>
        </w:tc>
      </w:tr>
      <w:tr>
        <w:trPr>
          <w:cantSplit/>
        </w:trPr>
        <w:tc>
          <w:tcPr>
            <w:tcW w:type="dxa" w:w="3600"/>
            <w:tcMar>
              <w:top w:w="80" w:type="dxa"/>
              <w:bottom w:w="80" w:type="dxa"/>
              <w:left w:w="120" w:type="dxa"/>
              <w:right w:w="120" w:type="dxa"/>
            </w:tcMar>
            <w:shd w:fill="FFFFFF"/>
          </w:tcPr>
          <w:p>
            <w:r>
              <w:rPr>
                <w:rFonts w:ascii="Helvetica" w:hAnsi="Helvetica"/>
                <w:color w:val="333333"/>
                <w:sz w:val="18"/>
              </w:rPr>
              <w:t>Pandas</w:t>
            </w:r>
          </w:p>
        </w:tc>
        <w:tc>
          <w:tcPr>
            <w:tcW w:type="dxa" w:w="5760"/>
            <w:tcMar>
              <w:top w:w="80" w:type="dxa"/>
              <w:bottom w:w="80" w:type="dxa"/>
              <w:left w:w="120" w:type="dxa"/>
              <w:right w:w="120" w:type="dxa"/>
            </w:tcMar>
            <w:shd w:fill="FFFFFF"/>
          </w:tcPr>
          <w:p>
            <w:r>
              <w:rPr>
                <w:rFonts w:ascii="Helvetica" w:hAnsi="Helvetica"/>
                <w:color w:val="333333"/>
                <w:sz w:val="18"/>
              </w:rPr>
              <w:t>Data manipulation, mixed datetime parsing, and aggregations.</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NumPy</w:t>
            </w:r>
          </w:p>
        </w:tc>
        <w:tc>
          <w:tcPr>
            <w:tcW w:type="dxa" w:w="5760"/>
            <w:tcMar>
              <w:top w:w="80" w:type="dxa"/>
              <w:bottom w:w="80" w:type="dxa"/>
              <w:left w:w="120" w:type="dxa"/>
              <w:right w:w="120" w:type="dxa"/>
            </w:tcMar>
            <w:shd w:fill="F9FAFC"/>
          </w:tcPr>
          <w:p>
            <w:r>
              <w:rPr>
                <w:rFonts w:ascii="Helvetica" w:hAnsi="Helvetica"/>
                <w:color w:val="333333"/>
                <w:sz w:val="18"/>
              </w:rPr>
              <w:t>Numerical computations, array indexing, and spatial jitter generation.</w:t>
            </w:r>
          </w:p>
        </w:tc>
      </w:tr>
      <w:tr>
        <w:trPr>
          <w:cantSplit/>
        </w:trPr>
        <w:tc>
          <w:tcPr>
            <w:tcW w:type="dxa" w:w="3600"/>
            <w:tcMar>
              <w:top w:w="80" w:type="dxa"/>
              <w:bottom w:w="80" w:type="dxa"/>
              <w:left w:w="120" w:type="dxa"/>
              <w:right w:w="120" w:type="dxa"/>
            </w:tcMar>
            <w:shd w:fill="FFFFFF"/>
          </w:tcPr>
          <w:p>
            <w:r>
              <w:rPr>
                <w:rFonts w:ascii="Helvetica" w:hAnsi="Helvetica"/>
                <w:color w:val="333333"/>
                <w:sz w:val="18"/>
              </w:rPr>
              <w:t>Matplotlib &amp; Seaborn</w:t>
            </w:r>
          </w:p>
        </w:tc>
        <w:tc>
          <w:tcPr>
            <w:tcW w:type="dxa" w:w="5760"/>
            <w:tcMar>
              <w:top w:w="80" w:type="dxa"/>
              <w:bottom w:w="80" w:type="dxa"/>
              <w:left w:w="120" w:type="dxa"/>
              <w:right w:w="120" w:type="dxa"/>
            </w:tcMar>
            <w:shd w:fill="FFFFFF"/>
          </w:tcPr>
          <w:p>
            <w:r>
              <w:rPr>
                <w:rFonts w:ascii="Helvetica" w:hAnsi="Helvetica"/>
                <w:color w:val="333333"/>
                <w:sz w:val="18"/>
              </w:rPr>
              <w:t>Static and dark-themed data visualization plotting.</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Scikit-Learn</w:t>
            </w:r>
          </w:p>
        </w:tc>
        <w:tc>
          <w:tcPr>
            <w:tcW w:type="dxa" w:w="5760"/>
            <w:tcMar>
              <w:top w:w="80" w:type="dxa"/>
              <w:bottom w:w="80" w:type="dxa"/>
              <w:left w:w="120" w:type="dxa"/>
              <w:right w:w="120" w:type="dxa"/>
            </w:tcMar>
            <w:shd w:fill="F9FAFC"/>
          </w:tcPr>
          <w:p>
            <w:r>
              <w:rPr>
                <w:rFonts w:ascii="Helvetica" w:hAnsi="Helvetica"/>
                <w:color w:val="333333"/>
                <w:sz w:val="18"/>
              </w:rPr>
              <w:t>TF-IDF text vectorization and MiniBatchKMeans clustering.</w:t>
            </w:r>
          </w:p>
        </w:tc>
      </w:tr>
      <w:tr>
        <w:trPr>
          <w:cantSplit/>
        </w:trPr>
        <w:tc>
          <w:tcPr>
            <w:tcW w:type="dxa" w:w="3600"/>
            <w:tcMar>
              <w:top w:w="80" w:type="dxa"/>
              <w:bottom w:w="80" w:type="dxa"/>
              <w:left w:w="120" w:type="dxa"/>
              <w:right w:w="120" w:type="dxa"/>
            </w:tcMar>
            <w:shd w:fill="FFFFFF"/>
          </w:tcPr>
          <w:p>
            <w:r>
              <w:rPr>
                <w:rFonts w:ascii="Helvetica" w:hAnsi="Helvetica"/>
                <w:color w:val="333333"/>
                <w:sz w:val="18"/>
              </w:rPr>
              <w:t>Streamlit</w:t>
            </w:r>
          </w:p>
        </w:tc>
        <w:tc>
          <w:tcPr>
            <w:tcW w:type="dxa" w:w="5760"/>
            <w:tcMar>
              <w:top w:w="80" w:type="dxa"/>
              <w:bottom w:w="80" w:type="dxa"/>
              <w:left w:w="120" w:type="dxa"/>
              <w:right w:w="120" w:type="dxa"/>
            </w:tcMar>
            <w:shd w:fill="FFFFFF"/>
          </w:tcPr>
          <w:p>
            <w:r>
              <w:rPr>
                <w:rFonts w:ascii="Helvetica" w:hAnsi="Helvetica"/>
                <w:color w:val="333333"/>
                <w:sz w:val="18"/>
              </w:rPr>
              <w:t>Interactive 5-page operations dashboard serving.</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ReportLab &amp; python-docx</w:t>
            </w:r>
          </w:p>
        </w:tc>
        <w:tc>
          <w:tcPr>
            <w:tcW w:type="dxa" w:w="5760"/>
            <w:tcMar>
              <w:top w:w="80" w:type="dxa"/>
              <w:bottom w:w="80" w:type="dxa"/>
              <w:left w:w="120" w:type="dxa"/>
              <w:right w:w="120" w:type="dxa"/>
            </w:tcMar>
            <w:shd w:fill="F9FAFC"/>
          </w:tcPr>
          <w:p>
            <w:r>
              <w:rPr>
                <w:rFonts w:ascii="Helvetica" w:hAnsi="Helvetica"/>
                <w:color w:val="333333"/>
                <w:sz w:val="18"/>
              </w:rPr>
              <w:t>Automated PDF and Word master document generation.</w:t>
            </w:r>
          </w:p>
        </w:tc>
      </w:tr>
      <w:tr>
        <w:trPr>
          <w:cantSplit/>
        </w:trPr>
        <w:tc>
          <w:tcPr>
            <w:tcW w:type="dxa" w:w="3600"/>
            <w:tcMar>
              <w:top w:w="80" w:type="dxa"/>
              <w:bottom w:w="80" w:type="dxa"/>
              <w:left w:w="120" w:type="dxa"/>
              <w:right w:w="120" w:type="dxa"/>
            </w:tcMar>
            <w:shd w:fill="FFFFFF"/>
          </w:tcPr>
          <w:p>
            <w:r>
              <w:rPr>
                <w:rFonts w:ascii="Helvetica" w:hAnsi="Helvetica"/>
                <w:color w:val="333333"/>
                <w:sz w:val="18"/>
              </w:rPr>
              <w:t>python-pptx</w:t>
            </w:r>
          </w:p>
        </w:tc>
        <w:tc>
          <w:tcPr>
            <w:tcW w:type="dxa" w:w="5760"/>
            <w:tcMar>
              <w:top w:w="80" w:type="dxa"/>
              <w:bottom w:w="80" w:type="dxa"/>
              <w:left w:w="120" w:type="dxa"/>
              <w:right w:w="120" w:type="dxa"/>
            </w:tcMar>
            <w:shd w:fill="FFFFFF"/>
          </w:tcPr>
          <w:p>
            <w:r>
              <w:rPr>
                <w:rFonts w:ascii="Helvetica" w:hAnsi="Helvetica"/>
                <w:color w:val="333333"/>
                <w:sz w:val="18"/>
              </w:rPr>
              <w:t>Automated executive PowerPoint presentation deck generation.</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GitHub</w:t>
            </w:r>
          </w:p>
        </w:tc>
        <w:tc>
          <w:tcPr>
            <w:tcW w:type="dxa" w:w="5760"/>
            <w:tcMar>
              <w:top w:w="80" w:type="dxa"/>
              <w:bottom w:w="80" w:type="dxa"/>
              <w:left w:w="120" w:type="dxa"/>
              <w:right w:w="120" w:type="dxa"/>
            </w:tcMar>
            <w:shd w:fill="F9FAFC"/>
          </w:tcPr>
          <w:p>
            <w:r>
              <w:rPr>
                <w:rFonts w:ascii="Helvetica" w:hAnsi="Helvetica"/>
                <w:color w:val="333333"/>
                <w:sz w:val="18"/>
              </w:rPr>
              <w:t>Project version control, artifact storage, and code sharing.</w:t>
            </w:r>
          </w:p>
        </w:tc>
      </w:tr>
    </w:tbl>
    <w:p>
      <w:pPr>
        <w:spacing w:after="200"/>
      </w:pPr>
    </w:p>
    <w:p>
      <w:pPr>
        <w:spacing w:before="320" w:after="120"/>
      </w:pPr>
      <w:r>
        <w:rPr>
          <w:rFonts w:ascii="Helvetica" w:hAnsi="Helvetica"/>
          <w:b/>
          <w:color w:val="0D1B2A"/>
          <w:sz w:val="32"/>
        </w:rPr>
        <w:t>6. Module 1 – Project Initialization &amp; Dataset Setup</w:t>
      </w:r>
    </w:p>
    <w:p>
      <w:pPr>
        <w:spacing w:before="240" w:after="80"/>
      </w:pPr>
      <w:r>
        <w:rPr>
          <w:rFonts w:ascii="Helvetica" w:hAnsi="Helvetica"/>
          <w:b/>
          <w:color w:val="0D1B2A"/>
          <w:sz w:val="26"/>
        </w:rPr>
        <w:t>6.1 Data Ingestion &amp; Setup Code</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after="0"/>
            </w:pPr>
            <w:r>
              <w:rPr>
                <w:rFonts w:ascii="Consolas" w:hAnsi="Consolas"/>
                <w:color w:val="1E3246"/>
                <w:sz w:val="18"/>
              </w:rPr>
              <w:t>import pandas as pd</w:t>
              <w:br/>
              <w:t>import numpy as np</w:t>
              <w:br/>
              <w:br/>
              <w:t>file_path = 'synthetic_it_support_tickets.csv'</w:t>
              <w:br/>
              <w:t>df = pd.read_csv(file_path)</w:t>
              <w:br/>
              <w:t>print(f'Ingested {len(df):,} records successfully.')</w:t>
              <w:br/>
              <w:t>df.info()</w:t>
            </w:r>
          </w:p>
        </w:tc>
      </w:tr>
    </w:tbl>
    <w:p>
      <w:pPr>
        <w:spacing w:after="120"/>
      </w:pPr>
    </w:p>
    <w:p>
      <w:pPr>
        <w:spacing w:before="240" w:after="80"/>
      </w:pPr>
      <w:r>
        <w:rPr>
          <w:rFonts w:ascii="Helvetica" w:hAnsi="Helvetica"/>
          <w:b/>
          <w:color w:val="0D1B2A"/>
          <w:sz w:val="26"/>
        </w:rPr>
        <w:t>6.2 Missing Values &amp; Quality Profiling</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after="0"/>
            </w:pPr>
            <w:r>
              <w:rPr>
                <w:rFonts w:ascii="Consolas" w:hAnsi="Consolas"/>
                <w:color w:val="1E3246"/>
                <w:sz w:val="18"/>
              </w:rPr>
              <w:t>missing = df.isna().sum()</w:t>
              <w:br/>
              <w:t>missing_pct = (missing / len(df)) * 100</w:t>
              <w:br/>
              <w:t>missing_df = pd.DataFrame({'Missing Count': missing, 'Percentage (%)': missing_pct})</w:t>
              <w:br/>
              <w:t>print(missing_df[missing_df['Missing Count'] &gt; 0])</w:t>
            </w:r>
          </w:p>
        </w:tc>
      </w:tr>
    </w:tbl>
    <w:p>
      <w:pPr>
        <w:spacing w:after="120"/>
      </w:pPr>
    </w:p>
    <w:p>
      <w:pPr>
        <w:spacing w:after="120" w:line="276" w:lineRule="auto"/>
      </w:pPr>
      <w:r>
        <w:rPr>
          <w:rFonts w:ascii="Helvetica" w:hAnsi="Helvetica"/>
          <w:color w:val="333333"/>
          <w:sz w:val="20"/>
        </w:rPr>
        <w:t>Findings: Missing values were present in resolution_summary (39.9%), resolution_time_hours (39.9%), and resolution_date (39.9%), corresponding to active open/in-progress tickets. Region missingness (20.0%) was imputed cleanly.</w:t>
      </w:r>
    </w:p>
    <w:p>
      <w:pPr>
        <w:spacing w:before="320" w:after="120"/>
      </w:pPr>
      <w:r>
        <w:rPr>
          <w:rFonts w:ascii="Helvetica" w:hAnsi="Helvetica"/>
          <w:b/>
          <w:color w:val="0D1B2A"/>
          <w:sz w:val="32"/>
        </w:rPr>
        <w:t>7. Module 2 – Data Cleaning &amp; Feature Engineering</w:t>
      </w:r>
    </w:p>
    <w:p>
      <w:pPr>
        <w:spacing w:before="240" w:after="80"/>
      </w:pPr>
      <w:r>
        <w:rPr>
          <w:rFonts w:ascii="Helvetica" w:hAnsi="Helvetica"/>
          <w:b/>
          <w:color w:val="0D1B2A"/>
          <w:sz w:val="26"/>
        </w:rPr>
        <w:t>7.1 Data Cleaning Rationale &amp; Implementation</w:t>
      </w:r>
    </w:p>
    <w:p>
      <w:pPr>
        <w:pStyle w:val="ListBullet"/>
        <w:spacing w:after="80" w:line="276" w:lineRule="auto"/>
      </w:pPr>
      <w:r>
        <w:rPr>
          <w:rFonts w:ascii="Helvetica" w:hAnsi="Helvetica"/>
          <w:b/>
          <w:color w:val="333333"/>
          <w:sz w:val="20"/>
        </w:rPr>
        <w:t>Mixed Datetime Parsing:</w:t>
      </w:r>
      <w:r>
        <w:rPr>
          <w:rFonts w:ascii="Helvetica" w:hAnsi="Helvetica"/>
          <w:color w:val="333333"/>
          <w:sz w:val="20"/>
        </w:rPr>
        <w:t xml:space="preserve"> Used pd.to_datetime(..., format='mixed', dayfirst=True) to parse mixed ISO and European date strings.</w:t>
      </w:r>
    </w:p>
    <w:p>
      <w:pPr>
        <w:pStyle w:val="ListBullet"/>
        <w:spacing w:after="80" w:line="276" w:lineRule="auto"/>
      </w:pPr>
      <w:r>
        <w:rPr>
          <w:rFonts w:ascii="Helvetica" w:hAnsi="Helvetica"/>
          <w:b/>
          <w:color w:val="333333"/>
          <w:sz w:val="20"/>
        </w:rPr>
        <w:t>Region Imputation:</w:t>
      </w:r>
      <w:r>
        <w:rPr>
          <w:rFonts w:ascii="Helvetica" w:hAnsi="Helvetica"/>
          <w:color w:val="333333"/>
          <w:sz w:val="20"/>
        </w:rPr>
        <w:t xml:space="preserve"> Cleaned invalid string assignments in region column.</w:t>
      </w:r>
    </w:p>
    <w:p>
      <w:pPr>
        <w:pStyle w:val="ListBullet"/>
        <w:spacing w:after="80" w:line="276" w:lineRule="auto"/>
      </w:pPr>
      <w:r>
        <w:rPr>
          <w:rFonts w:ascii="Helvetica" w:hAnsi="Helvetica"/>
          <w:b/>
          <w:color w:val="333333"/>
          <w:sz w:val="20"/>
        </w:rPr>
        <w:t>Pseudo-Null Verification:</w:t>
      </w:r>
      <w:r>
        <w:rPr>
          <w:rFonts w:ascii="Helvetica" w:hAnsi="Helvetica"/>
          <w:color w:val="333333"/>
          <w:sz w:val="20"/>
        </w:rPr>
        <w:t xml:space="preserve"> Verified initial_message and agent_first_reply; confirmed 0 whitespace or placeholder string errors.</w:t>
      </w:r>
    </w:p>
    <w:p>
      <w:pPr>
        <w:spacing w:before="240" w:after="80"/>
      </w:pPr>
      <w:r>
        <w:rPr>
          <w:rFonts w:ascii="Helvetica" w:hAnsi="Helvetica"/>
          <w:b/>
          <w:color w:val="0D1B2A"/>
          <w:sz w:val="26"/>
        </w:rPr>
        <w:t>7.2 Feature Engineering Formulations &amp; Code</w:t>
      </w:r>
    </w:p>
    <w:p>
      <w:pPr>
        <w:spacing w:after="120" w:line="276" w:lineRule="auto"/>
      </w:pPr>
      <w:r>
        <w:rPr>
          <w:rFonts w:ascii="Helvetica" w:hAnsi="Helvetica"/>
          <w:color w:val="333333"/>
          <w:sz w:val="20"/>
        </w:rPr>
        <w:t>Two primary operational features were created:</w:t>
      </w:r>
    </w:p>
    <w:p>
      <w:pPr>
        <w:spacing w:after="120" w:line="276" w:lineRule="auto"/>
      </w:pPr>
      <w:r>
        <w:rPr>
          <w:rFonts w:ascii="Helvetica" w:hAnsi="Helvetica"/>
          <w:b/>
          <w:color w:val="333333"/>
          <w:sz w:val="20"/>
        </w:rPr>
        <w:t xml:space="preserve">1. Resolution Duration: </w:t>
      </w:r>
      <w:r>
        <w:rPr>
          <w:rFonts w:ascii="Helvetica" w:hAnsi="Helvetica"/>
          <w:color w:val="333333"/>
          <w:sz w:val="20"/>
        </w:rPr>
        <w:t>Resolution_Duration = resolution_date - created_at</w:t>
      </w:r>
    </w:p>
    <w:p>
      <w:pPr>
        <w:spacing w:after="120" w:line="276" w:lineRule="auto"/>
      </w:pPr>
      <w:r>
        <w:rPr>
          <w:rFonts w:ascii="Helvetica" w:hAnsi="Helvetica"/>
          <w:b/>
          <w:color w:val="333333"/>
          <w:sz w:val="20"/>
        </w:rPr>
        <w:t xml:space="preserve">2. Priority Score: </w:t>
      </w:r>
      <w:r>
        <w:rPr>
          <w:rFonts w:ascii="Helvetica" w:hAnsi="Helvetica"/>
          <w:color w:val="333333"/>
          <w:sz w:val="20"/>
        </w:rPr>
        <w:t>Priority_Score = low: 1, medium: 2, high: 3, urgent: 4</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after="0"/>
            </w:pPr>
            <w:r>
              <w:rPr>
                <w:rFonts w:ascii="Consolas" w:hAnsi="Consolas"/>
                <w:color w:val="1E3246"/>
                <w:sz w:val="18"/>
              </w:rPr>
              <w:t># Feature Engineering Implementation</w:t>
              <w:br/>
              <w:t>priority_map = {'low': 1, 'medium': 2, 'high': 3, 'urgent': 4}</w:t>
              <w:br/>
              <w:t>df['Priority_Score'] = df['priority'].map(priority_map)</w:t>
              <w:br/>
              <w:t>df['created_at'] = pd.to_datetime(df['created_at'], format='mixed', dayfirst=True)</w:t>
              <w:br/>
              <w:t>df['resolution_date'] = pd.to_datetime(df['resolution_date'], format='mixed', dayfirst=True, errors='coerce')</w:t>
              <w:br/>
              <w:t>df['Resolution_Duration'] = df['resolution_date'] - df['created_at']</w:t>
            </w:r>
          </w:p>
        </w:tc>
      </w:tr>
    </w:tbl>
    <w:p>
      <w:pPr>
        <w:spacing w:after="120"/>
      </w:pPr>
    </w:p>
    <w:p>
      <w:pPr>
        <w:spacing w:before="320" w:after="120"/>
      </w:pPr>
      <w:r>
        <w:rPr>
          <w:rFonts w:ascii="Helvetica" w:hAnsi="Helvetica"/>
          <w:b/>
          <w:color w:val="0D1B2A"/>
          <w:sz w:val="32"/>
        </w:rPr>
        <w:t>8. Module 3 – Exploratory Data Analysis (EDA)</w:t>
      </w:r>
    </w:p>
    <w:p>
      <w:pPr>
        <w:spacing w:after="120" w:line="276" w:lineRule="auto"/>
      </w:pPr>
      <w:r>
        <w:rPr>
          <w:rFonts w:ascii="Helvetica" w:hAnsi="Helvetica"/>
          <w:color w:val="333333"/>
          <w:sz w:val="20"/>
        </w:rPr>
        <w:t>Exploratory visualization analyzed ticket distributions across issue types, priority levels, product areas, and channels.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after="0"/>
            </w:pPr>
            <w:r>
              <w:rPr>
                <w:rFonts w:ascii="Consolas" w:hAnsi="Consolas"/>
                <w:color w:val="1E3246"/>
                <w:sz w:val="18"/>
              </w:rPr>
              <w:t>import matplotlib.pyplot as plt</w:t>
              <w:br/>
              <w:t>import seaborn as sns</w:t>
              <w:br/>
              <w:br/>
              <w:t># Ticket Type Distribution Plot</w:t>
              <w:br/>
              <w:t>plt.figure(figsize=(8, 4))</w:t>
              <w:br/>
              <w:t>sns.countplot(data=df, x='issue_type', order=df['issue_type'].value_counts().index)</w:t>
              <w:br/>
              <w:t>plt.title('Ticket Type Distribution')</w:t>
              <w:br/>
              <w:t>plt.xticks(rotation=30, ha='right')</w:t>
              <w:br/>
              <w:t>plt.show()</w:t>
            </w:r>
          </w:p>
        </w:tc>
      </w:tr>
    </w:tbl>
    <w:p>
      <w:pPr>
        <w:spacing w:after="120"/>
      </w:pPr>
    </w:p>
    <w:p>
      <w:pPr>
        <w:spacing w:after="120" w:line="276" w:lineRule="auto"/>
      </w:pPr>
      <w:r>
        <w:rPr>
          <w:rFonts w:ascii="Helvetica" w:hAnsi="Helvetica"/>
          <w:color w:val="333333"/>
          <w:sz w:val="20"/>
        </w:rPr>
        <w:t>Key EDA Insight: Support volume is evenly spread across issue types (~12,400 tickets each). Low (39,735) and Medium (35,313) priorities form 75% of overall helpdesk load.</w:t>
      </w:r>
    </w:p>
    <w:p>
      <w:pPr>
        <w:spacing w:before="320" w:after="120"/>
      </w:pPr>
      <w:r>
        <w:rPr>
          <w:rFonts w:ascii="Helvetica" w:hAnsi="Helvetica"/>
          <w:b/>
          <w:color w:val="0D1B2A"/>
          <w:sz w:val="32"/>
        </w:rPr>
        <w:t>9. Module 4 – Cluster &amp; Similarity Analysis</w:t>
      </w:r>
    </w:p>
    <w:p>
      <w:pPr>
        <w:spacing w:after="120" w:line="276" w:lineRule="auto"/>
      </w:pPr>
      <w:r>
        <w:rPr>
          <w:rFonts w:ascii="Helvetica" w:hAnsi="Helvetica"/>
          <w:color w:val="333333"/>
          <w:sz w:val="20"/>
        </w:rPr>
        <w:t>Natural Language Processing (NLP) was applied to cluster initial customer messages and compute similarity scores to topic centroids.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after="0"/>
            </w:pPr>
            <w:r>
              <w:rPr>
                <w:rFonts w:ascii="Consolas" w:hAnsi="Consolas"/>
                <w:color w:val="1E3246"/>
                <w:sz w:val="18"/>
              </w:rPr>
              <w:t>from sklearn.feature_extraction.text import TfidfVectorizer</w:t>
              <w:br/>
              <w:t>from sklearn.cluster import MiniBatchKMeans</w:t>
              <w:br/>
              <w:br/>
              <w:t>vectorizer = TfidfVectorizer(max_features=100, stop_words='english')</w:t>
              <w:br/>
              <w:t>X = vectorizer.fit_transform(df['initial_message'].fillna(''))</w:t>
              <w:br/>
              <w:br/>
              <w:t>kmeans = MiniBatchKMeans(n_clusters=6, random_state=42, batch_size=2048)</w:t>
              <w:br/>
              <w:t>df['cluster_label'] = kmeans.fit_predict(X)</w:t>
              <w:br/>
              <w:br/>
              <w:t>distances = kmeans.transform(X)</w:t>
              <w:br/>
              <w:t>df['similarity_score'] = 1 / (1 + np.min(distances, axis=1))</w:t>
            </w:r>
          </w:p>
        </w:tc>
      </w:tr>
    </w:tbl>
    <w:p>
      <w:pPr>
        <w:spacing w:after="120"/>
      </w:pPr>
    </w:p>
    <w:p>
      <w:pPr>
        <w:spacing w:before="240" w:after="80"/>
      </w:pPr>
      <w:r>
        <w:rPr>
          <w:rFonts w:ascii="Helvetica" w:hAnsi="Helvetica"/>
          <w:b/>
          <w:color w:val="0D1B2A"/>
          <w:sz w:val="26"/>
        </w:rPr>
        <w:t>9.1 NLP Clusters Summary Table</w:t>
      </w:r>
    </w:p>
    <w:tbl>
      <w:tblPr>
        <w:tblW w:type="auto" w:w="0"/>
        <w:jc w:val="center"/>
        <w:tblLook w:firstColumn="1" w:firstRow="1" w:lastColumn="0" w:lastRow="0" w:noHBand="0" w:noVBand="1" w:val="04A0"/>
      </w:tblPr>
      <w:tblGrid>
        <w:gridCol w:w="3120"/>
        <w:gridCol w:w="3120"/>
        <w:gridCol w:w="3120"/>
      </w:tblGrid>
      <w:tr>
        <w:trPr>
          <w:cantSplit/>
        </w:trPr>
        <w:tc>
          <w:tcPr>
            <w:tcW w:type="dxa" w:w="1728"/>
            <w:tcMar>
              <w:top w:w="80" w:type="dxa"/>
              <w:bottom w:w="80" w:type="dxa"/>
              <w:left w:w="120" w:type="dxa"/>
              <w:right w:w="120" w:type="dxa"/>
            </w:tcMar>
            <w:shd w:fill="0D1B2A"/>
          </w:tcPr>
          <w:p>
            <w:r>
              <w:rPr>
                <w:rFonts w:ascii="Helvetica" w:hAnsi="Helvetica"/>
                <w:b/>
                <w:color w:val="FFFFFF"/>
                <w:sz w:val="19"/>
              </w:rPr>
              <w:t>Cluster ID</w:t>
            </w:r>
          </w:p>
        </w:tc>
        <w:tc>
          <w:tcPr>
            <w:tcW w:type="dxa" w:w="2880"/>
            <w:tcMar>
              <w:top w:w="80" w:type="dxa"/>
              <w:bottom w:w="80" w:type="dxa"/>
              <w:left w:w="120" w:type="dxa"/>
              <w:right w:w="120" w:type="dxa"/>
            </w:tcMar>
            <w:shd w:fill="0D1B2A"/>
          </w:tcPr>
          <w:p>
            <w:r>
              <w:rPr>
                <w:rFonts w:ascii="Helvetica" w:hAnsi="Helvetica"/>
                <w:b/>
                <w:color w:val="FFFFFF"/>
                <w:sz w:val="19"/>
              </w:rPr>
              <w:t>Topic Name</w:t>
            </w:r>
          </w:p>
        </w:tc>
        <w:tc>
          <w:tcPr>
            <w:tcW w:type="dxa" w:w="4752"/>
            <w:tcMar>
              <w:top w:w="80" w:type="dxa"/>
              <w:bottom w:w="80" w:type="dxa"/>
              <w:left w:w="120" w:type="dxa"/>
              <w:right w:w="120" w:type="dxa"/>
            </w:tcMar>
            <w:shd w:fill="0D1B2A"/>
          </w:tcPr>
          <w:p>
            <w:r>
              <w:rPr>
                <w:rFonts w:ascii="Helvetica" w:hAnsi="Helvetica"/>
                <w:b/>
                <w:color w:val="FFFFFF"/>
                <w:sz w:val="19"/>
              </w:rPr>
              <w:t>Primary Keywords &amp; Focus</w:t>
            </w:r>
          </w:p>
        </w:tc>
      </w:tr>
      <w:tr>
        <w:trPr>
          <w:cantSplit/>
        </w:trPr>
        <w:tc>
          <w:tcPr>
            <w:tcW w:type="dxa" w:w="1728"/>
            <w:tcMar>
              <w:top w:w="80" w:type="dxa"/>
              <w:bottom w:w="80" w:type="dxa"/>
              <w:left w:w="120" w:type="dxa"/>
              <w:right w:w="120" w:type="dxa"/>
            </w:tcMar>
            <w:shd w:fill="F9FAFC"/>
          </w:tcPr>
          <w:p>
            <w:r>
              <w:rPr>
                <w:rFonts w:ascii="Helvetica" w:hAnsi="Helvetica"/>
                <w:color w:val="333333"/>
                <w:sz w:val="18"/>
              </w:rPr>
              <w:t>Cluster 0</w:t>
            </w:r>
          </w:p>
        </w:tc>
        <w:tc>
          <w:tcPr>
            <w:tcW w:type="dxa" w:w="2880"/>
            <w:tcMar>
              <w:top w:w="80" w:type="dxa"/>
              <w:bottom w:w="80" w:type="dxa"/>
              <w:left w:w="120" w:type="dxa"/>
              <w:right w:w="120" w:type="dxa"/>
            </w:tcMar>
            <w:shd w:fill="F9FAFC"/>
          </w:tcPr>
          <w:p>
            <w:r>
              <w:rPr>
                <w:rFonts w:ascii="Helvetica" w:hAnsi="Helvetica"/>
                <w:color w:val="333333"/>
                <w:sz w:val="18"/>
              </w:rPr>
              <w:t>Password &amp; Auth Access</w:t>
            </w:r>
          </w:p>
        </w:tc>
        <w:tc>
          <w:tcPr>
            <w:tcW w:type="dxa" w:w="4752"/>
            <w:tcMar>
              <w:top w:w="80" w:type="dxa"/>
              <w:bottom w:w="80" w:type="dxa"/>
              <w:left w:w="120" w:type="dxa"/>
              <w:right w:w="120" w:type="dxa"/>
            </w:tcMar>
            <w:shd w:fill="F9FAFC"/>
          </w:tcPr>
          <w:p>
            <w:r>
              <w:rPr>
                <w:rFonts w:ascii="Helvetica" w:hAnsi="Helvetica"/>
                <w:color w:val="333333"/>
                <w:sz w:val="18"/>
              </w:rPr>
              <w:t>password, login, auth, reset, 2fa, credentials</w:t>
            </w:r>
          </w:p>
        </w:tc>
      </w:tr>
      <w:tr>
        <w:trPr>
          <w:cantSplit/>
        </w:trPr>
        <w:tc>
          <w:tcPr>
            <w:tcW w:type="dxa" w:w="1728"/>
            <w:tcMar>
              <w:top w:w="80" w:type="dxa"/>
              <w:bottom w:w="80" w:type="dxa"/>
              <w:left w:w="120" w:type="dxa"/>
              <w:right w:w="120" w:type="dxa"/>
            </w:tcMar>
            <w:shd w:fill="FFFFFF"/>
          </w:tcPr>
          <w:p>
            <w:r>
              <w:rPr>
                <w:rFonts w:ascii="Helvetica" w:hAnsi="Helvetica"/>
                <w:color w:val="333333"/>
                <w:sz w:val="18"/>
              </w:rPr>
              <w:t>Cluster 1</w:t>
            </w:r>
          </w:p>
        </w:tc>
        <w:tc>
          <w:tcPr>
            <w:tcW w:type="dxa" w:w="2880"/>
            <w:tcMar>
              <w:top w:w="80" w:type="dxa"/>
              <w:bottom w:w="80" w:type="dxa"/>
              <w:left w:w="120" w:type="dxa"/>
              <w:right w:w="120" w:type="dxa"/>
            </w:tcMar>
            <w:shd w:fill="FFFFFF"/>
          </w:tcPr>
          <w:p>
            <w:r>
              <w:rPr>
                <w:rFonts w:ascii="Helvetica" w:hAnsi="Helvetica"/>
                <w:color w:val="333333"/>
                <w:sz w:val="18"/>
              </w:rPr>
              <w:t>Billing &amp; Invoices</w:t>
            </w:r>
          </w:p>
        </w:tc>
        <w:tc>
          <w:tcPr>
            <w:tcW w:type="dxa" w:w="4752"/>
            <w:tcMar>
              <w:top w:w="80" w:type="dxa"/>
              <w:bottom w:w="80" w:type="dxa"/>
              <w:left w:w="120" w:type="dxa"/>
              <w:right w:w="120" w:type="dxa"/>
            </w:tcMar>
            <w:shd w:fill="FFFFFF"/>
          </w:tcPr>
          <w:p>
            <w:r>
              <w:rPr>
                <w:rFonts w:ascii="Helvetica" w:hAnsi="Helvetica"/>
                <w:color w:val="333333"/>
                <w:sz w:val="18"/>
              </w:rPr>
              <w:t>invoice, billing, payment, charge, refund, card</w:t>
            </w:r>
          </w:p>
        </w:tc>
      </w:tr>
      <w:tr>
        <w:trPr>
          <w:cantSplit/>
        </w:trPr>
        <w:tc>
          <w:tcPr>
            <w:tcW w:type="dxa" w:w="1728"/>
            <w:tcMar>
              <w:top w:w="80" w:type="dxa"/>
              <w:bottom w:w="80" w:type="dxa"/>
              <w:left w:w="120" w:type="dxa"/>
              <w:right w:w="120" w:type="dxa"/>
            </w:tcMar>
            <w:shd w:fill="F9FAFC"/>
          </w:tcPr>
          <w:p>
            <w:r>
              <w:rPr>
                <w:rFonts w:ascii="Helvetica" w:hAnsi="Helvetica"/>
                <w:color w:val="333333"/>
                <w:sz w:val="18"/>
              </w:rPr>
              <w:t>Cluster 2</w:t>
            </w:r>
          </w:p>
        </w:tc>
        <w:tc>
          <w:tcPr>
            <w:tcW w:type="dxa" w:w="2880"/>
            <w:tcMar>
              <w:top w:w="80" w:type="dxa"/>
              <w:bottom w:w="80" w:type="dxa"/>
              <w:left w:w="120" w:type="dxa"/>
              <w:right w:w="120" w:type="dxa"/>
            </w:tcMar>
            <w:shd w:fill="F9FAFC"/>
          </w:tcPr>
          <w:p>
            <w:r>
              <w:rPr>
                <w:rFonts w:ascii="Helvetica" w:hAnsi="Helvetica"/>
                <w:color w:val="333333"/>
                <w:sz w:val="18"/>
              </w:rPr>
              <w:t>API Integration Errors</w:t>
            </w:r>
          </w:p>
        </w:tc>
        <w:tc>
          <w:tcPr>
            <w:tcW w:type="dxa" w:w="4752"/>
            <w:tcMar>
              <w:top w:w="80" w:type="dxa"/>
              <w:bottom w:w="80" w:type="dxa"/>
              <w:left w:w="120" w:type="dxa"/>
              <w:right w:w="120" w:type="dxa"/>
            </w:tcMar>
            <w:shd w:fill="F9FAFC"/>
          </w:tcPr>
          <w:p>
            <w:r>
              <w:rPr>
                <w:rFonts w:ascii="Helvetica" w:hAnsi="Helvetica"/>
                <w:color w:val="333333"/>
                <w:sz w:val="18"/>
              </w:rPr>
              <w:t>api, endpoint, webhook, 500 error, timeout</w:t>
            </w:r>
          </w:p>
        </w:tc>
      </w:tr>
      <w:tr>
        <w:trPr>
          <w:cantSplit/>
        </w:trPr>
        <w:tc>
          <w:tcPr>
            <w:tcW w:type="dxa" w:w="1728"/>
            <w:tcMar>
              <w:top w:w="80" w:type="dxa"/>
              <w:bottom w:w="80" w:type="dxa"/>
              <w:left w:w="120" w:type="dxa"/>
              <w:right w:w="120" w:type="dxa"/>
            </w:tcMar>
            <w:shd w:fill="FFFFFF"/>
          </w:tcPr>
          <w:p>
            <w:r>
              <w:rPr>
                <w:rFonts w:ascii="Helvetica" w:hAnsi="Helvetica"/>
                <w:color w:val="333333"/>
                <w:sz w:val="18"/>
              </w:rPr>
              <w:t>Cluster 3</w:t>
            </w:r>
          </w:p>
        </w:tc>
        <w:tc>
          <w:tcPr>
            <w:tcW w:type="dxa" w:w="2880"/>
            <w:tcMar>
              <w:top w:w="80" w:type="dxa"/>
              <w:bottom w:w="80" w:type="dxa"/>
              <w:left w:w="120" w:type="dxa"/>
              <w:right w:w="120" w:type="dxa"/>
            </w:tcMar>
            <w:shd w:fill="FFFFFF"/>
          </w:tcPr>
          <w:p>
            <w:r>
              <w:rPr>
                <w:rFonts w:ascii="Helvetica" w:hAnsi="Helvetica"/>
                <w:color w:val="333333"/>
                <w:sz w:val="18"/>
              </w:rPr>
              <w:t>Data Export Speed</w:t>
            </w:r>
          </w:p>
        </w:tc>
        <w:tc>
          <w:tcPr>
            <w:tcW w:type="dxa" w:w="4752"/>
            <w:tcMar>
              <w:top w:w="80" w:type="dxa"/>
              <w:bottom w:w="80" w:type="dxa"/>
              <w:left w:w="120" w:type="dxa"/>
              <w:right w:w="120" w:type="dxa"/>
            </w:tcMar>
            <w:shd w:fill="FFFFFF"/>
          </w:tcPr>
          <w:p>
            <w:r>
              <w:rPr>
                <w:rFonts w:ascii="Helvetica" w:hAnsi="Helvetica"/>
                <w:color w:val="333333"/>
                <w:sz w:val="18"/>
              </w:rPr>
              <w:t>csv, export, download, slow, crash, report</w:t>
            </w:r>
          </w:p>
        </w:tc>
      </w:tr>
      <w:tr>
        <w:trPr>
          <w:cantSplit/>
        </w:trPr>
        <w:tc>
          <w:tcPr>
            <w:tcW w:type="dxa" w:w="1728"/>
            <w:tcMar>
              <w:top w:w="80" w:type="dxa"/>
              <w:bottom w:w="80" w:type="dxa"/>
              <w:left w:w="120" w:type="dxa"/>
              <w:right w:w="120" w:type="dxa"/>
            </w:tcMar>
            <w:shd w:fill="F9FAFC"/>
          </w:tcPr>
          <w:p>
            <w:r>
              <w:rPr>
                <w:rFonts w:ascii="Helvetica" w:hAnsi="Helvetica"/>
                <w:color w:val="333333"/>
                <w:sz w:val="18"/>
              </w:rPr>
              <w:t>Cluster 4</w:t>
            </w:r>
          </w:p>
        </w:tc>
        <w:tc>
          <w:tcPr>
            <w:tcW w:type="dxa" w:w="2880"/>
            <w:tcMar>
              <w:top w:w="80" w:type="dxa"/>
              <w:bottom w:w="80" w:type="dxa"/>
              <w:left w:w="120" w:type="dxa"/>
              <w:right w:w="120" w:type="dxa"/>
            </w:tcMar>
            <w:shd w:fill="F9FAFC"/>
          </w:tcPr>
          <w:p>
            <w:r>
              <w:rPr>
                <w:rFonts w:ascii="Helvetica" w:hAnsi="Helvetica"/>
                <w:color w:val="333333"/>
                <w:sz w:val="18"/>
              </w:rPr>
              <w:t>System Performance</w:t>
            </w:r>
          </w:p>
        </w:tc>
        <w:tc>
          <w:tcPr>
            <w:tcW w:type="dxa" w:w="4752"/>
            <w:tcMar>
              <w:top w:w="80" w:type="dxa"/>
              <w:bottom w:w="80" w:type="dxa"/>
              <w:left w:w="120" w:type="dxa"/>
              <w:right w:w="120" w:type="dxa"/>
            </w:tcMar>
            <w:shd w:fill="F9FAFC"/>
          </w:tcPr>
          <w:p>
            <w:r>
              <w:rPr>
                <w:rFonts w:ascii="Helvetica" w:hAnsi="Helvetica"/>
                <w:color w:val="333333"/>
                <w:sz w:val="18"/>
              </w:rPr>
              <w:t>freeze, lag, speed, memory, CPU, crash</w:t>
            </w:r>
          </w:p>
        </w:tc>
      </w:tr>
      <w:tr>
        <w:trPr>
          <w:cantSplit/>
        </w:trPr>
        <w:tc>
          <w:tcPr>
            <w:tcW w:type="dxa" w:w="1728"/>
            <w:tcMar>
              <w:top w:w="80" w:type="dxa"/>
              <w:bottom w:w="80" w:type="dxa"/>
              <w:left w:w="120" w:type="dxa"/>
              <w:right w:w="120" w:type="dxa"/>
            </w:tcMar>
            <w:shd w:fill="FFFFFF"/>
          </w:tcPr>
          <w:p>
            <w:r>
              <w:rPr>
                <w:rFonts w:ascii="Helvetica" w:hAnsi="Helvetica"/>
                <w:color w:val="333333"/>
                <w:sz w:val="18"/>
              </w:rPr>
              <w:t>Cluster 5</w:t>
            </w:r>
          </w:p>
        </w:tc>
        <w:tc>
          <w:tcPr>
            <w:tcW w:type="dxa" w:w="2880"/>
            <w:tcMar>
              <w:top w:w="80" w:type="dxa"/>
              <w:bottom w:w="80" w:type="dxa"/>
              <w:left w:w="120" w:type="dxa"/>
              <w:right w:w="120" w:type="dxa"/>
            </w:tcMar>
            <w:shd w:fill="FFFFFF"/>
          </w:tcPr>
          <w:p>
            <w:r>
              <w:rPr>
                <w:rFonts w:ascii="Helvetica" w:hAnsi="Helvetica"/>
                <w:color w:val="333333"/>
                <w:sz w:val="18"/>
              </w:rPr>
              <w:t>Feature Requests</w:t>
            </w:r>
          </w:p>
        </w:tc>
        <w:tc>
          <w:tcPr>
            <w:tcW w:type="dxa" w:w="4752"/>
            <w:tcMar>
              <w:top w:w="80" w:type="dxa"/>
              <w:bottom w:w="80" w:type="dxa"/>
              <w:left w:w="120" w:type="dxa"/>
              <w:right w:w="120" w:type="dxa"/>
            </w:tcMar>
            <w:shd w:fill="FFFFFF"/>
          </w:tcPr>
          <w:p>
            <w:r>
              <w:rPr>
                <w:rFonts w:ascii="Helvetica" w:hAnsi="Helvetica"/>
                <w:color w:val="333333"/>
                <w:sz w:val="18"/>
              </w:rPr>
              <w:t>feature, request, ui, update, dark mode, mobile</w:t>
            </w:r>
          </w:p>
        </w:tc>
      </w:tr>
    </w:tbl>
    <w:p>
      <w:pPr>
        <w:spacing w:after="200"/>
      </w:pPr>
    </w:p>
    <w:p>
      <w:pPr>
        <w:spacing w:before="320" w:after="120"/>
      </w:pPr>
      <w:r>
        <w:rPr>
          <w:rFonts w:ascii="Helvetica" w:hAnsi="Helvetica"/>
          <w:b/>
          <w:color w:val="0D1B2A"/>
          <w:sz w:val="32"/>
        </w:rPr>
        <w:t>10. Module 5 – Performance Trend Analysis</w:t>
      </w:r>
    </w:p>
    <w:p>
      <w:pPr>
        <w:spacing w:after="120" w:line="276" w:lineRule="auto"/>
      </w:pPr>
      <w:r>
        <w:rPr>
          <w:rFonts w:ascii="Helvetica" w:hAnsi="Helvetica"/>
          <w:color w:val="333333"/>
          <w:sz w:val="20"/>
        </w:rPr>
        <w:t>Performance analysis focused on resolution speed differences across priority levels, ticket types, and support handling countries.</w:t>
      </w:r>
    </w:p>
    <w:tbl>
      <w:tblPr>
        <w:tblW w:type="auto" w:w="0"/>
        <w:jc w:val="center"/>
        <w:tblLook w:firstColumn="1" w:firstRow="1" w:lastColumn="0" w:lastRow="0" w:noHBand="0" w:noVBand="1" w:val="04A0"/>
      </w:tblPr>
      <w:tblGrid>
        <w:gridCol w:w="4680"/>
        <w:gridCol w:w="4680"/>
      </w:tblGrid>
      <w:tr>
        <w:trPr>
          <w:cantSplit/>
        </w:trPr>
        <w:tc>
          <w:tcPr>
            <w:tcW w:type="dxa" w:w="3600"/>
            <w:tcMar>
              <w:top w:w="80" w:type="dxa"/>
              <w:bottom w:w="80" w:type="dxa"/>
              <w:left w:w="120" w:type="dxa"/>
              <w:right w:w="120" w:type="dxa"/>
            </w:tcMar>
            <w:shd w:fill="0D1B2A"/>
          </w:tcPr>
          <w:p>
            <w:r>
              <w:rPr>
                <w:rFonts w:ascii="Helvetica" w:hAnsi="Helvetica"/>
                <w:b/>
                <w:color w:val="FFFFFF"/>
                <w:sz w:val="19"/>
              </w:rPr>
              <w:t>Performance Dimension</w:t>
            </w:r>
          </w:p>
        </w:tc>
        <w:tc>
          <w:tcPr>
            <w:tcW w:type="dxa" w:w="5760"/>
            <w:tcMar>
              <w:top w:w="80" w:type="dxa"/>
              <w:bottom w:w="80" w:type="dxa"/>
              <w:left w:w="120" w:type="dxa"/>
              <w:right w:w="120" w:type="dxa"/>
            </w:tcMar>
            <w:shd w:fill="0D1B2A"/>
          </w:tcPr>
          <w:p>
            <w:r>
              <w:rPr>
                <w:rFonts w:ascii="Helvetica" w:hAnsi="Helvetica"/>
                <w:b/>
                <w:color w:val="FFFFFF"/>
                <w:sz w:val="19"/>
              </w:rPr>
              <w:t>Empirical Metric Result</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Urgent Priority Resolution Speed</w:t>
            </w:r>
          </w:p>
        </w:tc>
        <w:tc>
          <w:tcPr>
            <w:tcW w:type="dxa" w:w="5760"/>
            <w:tcMar>
              <w:top w:w="80" w:type="dxa"/>
              <w:bottom w:w="80" w:type="dxa"/>
              <w:left w:w="120" w:type="dxa"/>
              <w:right w:w="120" w:type="dxa"/>
            </w:tcMar>
            <w:shd w:fill="F9FAFC"/>
          </w:tcPr>
          <w:p>
            <w:r>
              <w:rPr>
                <w:rFonts w:ascii="Helvetica" w:hAnsi="Helvetica"/>
                <w:color w:val="333333"/>
                <w:sz w:val="18"/>
              </w:rPr>
              <w:t>4.5 Hours Mean Resolution Time</w:t>
            </w:r>
          </w:p>
        </w:tc>
      </w:tr>
      <w:tr>
        <w:trPr>
          <w:cantSplit/>
        </w:trPr>
        <w:tc>
          <w:tcPr>
            <w:tcW w:type="dxa" w:w="3600"/>
            <w:tcMar>
              <w:top w:w="80" w:type="dxa"/>
              <w:bottom w:w="80" w:type="dxa"/>
              <w:left w:w="120" w:type="dxa"/>
              <w:right w:w="120" w:type="dxa"/>
            </w:tcMar>
            <w:shd w:fill="FFFFFF"/>
          </w:tcPr>
          <w:p>
            <w:r>
              <w:rPr>
                <w:rFonts w:ascii="Helvetica" w:hAnsi="Helvetica"/>
                <w:color w:val="333333"/>
                <w:sz w:val="18"/>
              </w:rPr>
              <w:t>Low Priority Resolution Speed</w:t>
            </w:r>
          </w:p>
        </w:tc>
        <w:tc>
          <w:tcPr>
            <w:tcW w:type="dxa" w:w="5760"/>
            <w:tcMar>
              <w:top w:w="80" w:type="dxa"/>
              <w:bottom w:w="80" w:type="dxa"/>
              <w:left w:w="120" w:type="dxa"/>
              <w:right w:w="120" w:type="dxa"/>
            </w:tcMar>
            <w:shd w:fill="FFFFFF"/>
          </w:tcPr>
          <w:p>
            <w:r>
              <w:rPr>
                <w:rFonts w:ascii="Helvetica" w:hAnsi="Helvetica"/>
                <w:color w:val="333333"/>
                <w:sz w:val="18"/>
              </w:rPr>
              <w:t>45.4 Hours Mean Resolution Time</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Fastest Support Country Hub</w:t>
            </w:r>
          </w:p>
        </w:tc>
        <w:tc>
          <w:tcPr>
            <w:tcW w:type="dxa" w:w="5760"/>
            <w:tcMar>
              <w:top w:w="80" w:type="dxa"/>
              <w:bottom w:w="80" w:type="dxa"/>
              <w:left w:w="120" w:type="dxa"/>
              <w:right w:w="120" w:type="dxa"/>
            </w:tcMar>
            <w:shd w:fill="F9FAFC"/>
          </w:tcPr>
          <w:p>
            <w:r>
              <w:rPr>
                <w:rFonts w:ascii="Helvetica" w:hAnsi="Helvetica"/>
                <w:color w:val="333333"/>
                <w:sz w:val="18"/>
              </w:rPr>
              <w:t>United Kingdom (42.8 Hours Mean)</w:t>
            </w:r>
          </w:p>
        </w:tc>
      </w:tr>
      <w:tr>
        <w:trPr>
          <w:cantSplit/>
        </w:trPr>
        <w:tc>
          <w:tcPr>
            <w:tcW w:type="dxa" w:w="3600"/>
            <w:tcMar>
              <w:top w:w="80" w:type="dxa"/>
              <w:bottom w:w="80" w:type="dxa"/>
              <w:left w:w="120" w:type="dxa"/>
              <w:right w:w="120" w:type="dxa"/>
            </w:tcMar>
            <w:shd w:fill="FFFFFF"/>
          </w:tcPr>
          <w:p>
            <w:r>
              <w:rPr>
                <w:rFonts w:ascii="Helvetica" w:hAnsi="Helvetica"/>
                <w:color w:val="333333"/>
                <w:sz w:val="18"/>
              </w:rPr>
              <w:t>Slowest Product Queue</w:t>
            </w:r>
          </w:p>
        </w:tc>
        <w:tc>
          <w:tcPr>
            <w:tcW w:type="dxa" w:w="5760"/>
            <w:tcMar>
              <w:top w:w="80" w:type="dxa"/>
              <w:bottom w:w="80" w:type="dxa"/>
              <w:left w:w="120" w:type="dxa"/>
              <w:right w:w="120" w:type="dxa"/>
            </w:tcMar>
            <w:shd w:fill="FFFFFF"/>
          </w:tcPr>
          <w:p>
            <w:r>
              <w:rPr>
                <w:rFonts w:ascii="Helvetica" w:hAnsi="Helvetica"/>
                <w:color w:val="333333"/>
                <w:sz w:val="18"/>
              </w:rPr>
              <w:t>Data Export Queue (46.2 Hours Mean)</w:t>
            </w:r>
          </w:p>
        </w:tc>
      </w:tr>
      <w:tr>
        <w:trPr>
          <w:cantSplit/>
        </w:trPr>
        <w:tc>
          <w:tcPr>
            <w:tcW w:type="dxa" w:w="3600"/>
            <w:tcMar>
              <w:top w:w="80" w:type="dxa"/>
              <w:bottom w:w="80" w:type="dxa"/>
              <w:left w:w="120" w:type="dxa"/>
              <w:right w:w="120" w:type="dxa"/>
            </w:tcMar>
            <w:shd w:fill="F9FAFC"/>
          </w:tcPr>
          <w:p>
            <w:r>
              <w:rPr>
                <w:rFonts w:ascii="Helvetica" w:hAnsi="Helvetica"/>
                <w:color w:val="333333"/>
                <w:sz w:val="18"/>
              </w:rPr>
              <w:t>High/Urgent Unresolved Backlog</w:t>
            </w:r>
          </w:p>
        </w:tc>
        <w:tc>
          <w:tcPr>
            <w:tcW w:type="dxa" w:w="5760"/>
            <w:tcMar>
              <w:top w:w="80" w:type="dxa"/>
              <w:bottom w:w="80" w:type="dxa"/>
              <w:left w:w="120" w:type="dxa"/>
              <w:right w:w="120" w:type="dxa"/>
            </w:tcMar>
            <w:shd w:fill="F9FAFC"/>
          </w:tcPr>
          <w:p>
            <w:r>
              <w:rPr>
                <w:rFonts w:ascii="Helvetica" w:hAnsi="Helvetica"/>
                <w:color w:val="333333"/>
                <w:sz w:val="18"/>
              </w:rPr>
              <w:t>39,887 Active Tickets Flagged in Action Queue</w:t>
            </w:r>
          </w:p>
        </w:tc>
      </w:tr>
    </w:tbl>
    <w:p>
      <w:pPr>
        <w:spacing w:after="200"/>
      </w:pPr>
    </w:p>
    <w:p>
      <w:pPr>
        <w:spacing w:before="320" w:after="120"/>
      </w:pPr>
      <w:r>
        <w:rPr>
          <w:rFonts w:ascii="Helvetica" w:hAnsi="Helvetica"/>
          <w:b/>
          <w:color w:val="0D1B2A"/>
          <w:sz w:val="32"/>
        </w:rPr>
        <w:t>11. Module 6 – Geographic &amp; Category-Level Insights</w:t>
      </w:r>
    </w:p>
    <w:p>
      <w:pPr>
        <w:spacing w:after="120" w:line="276" w:lineRule="auto"/>
      </w:pPr>
      <w:r>
        <w:rPr>
          <w:rFonts w:ascii="Helvetica" w:hAnsi="Helvetica"/>
          <w:color w:val="333333"/>
          <w:sz w:val="20"/>
        </w:rPr>
        <w:t>Regional intake was mapped using synthetic country baseline coordinates and Gaussian random spatial jitter to visualize ticket density.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60" w:type="dxa"/>
              <w:right w:w="160" w:type="dxa"/>
            </w:tcMar>
          </w:tcPr>
          <w:p>
            <w:pPr>
              <w:spacing w:after="0"/>
            </w:pPr>
            <w:r>
              <w:rPr>
                <w:rFonts w:ascii="Consolas" w:hAnsi="Consolas"/>
                <w:color w:val="1E3246"/>
                <w:sz w:val="18"/>
              </w:rPr>
              <w:t># Geographic Spatial Mapping Code</w:t>
              <w:br/>
              <w:t>import matplotlib.pyplot as plt</w:t>
              <w:br/>
              <w:t>import seaborn as sns</w:t>
              <w:br/>
              <w:br/>
              <w:t>sample_geo = df.sample(n=3000, random_state=42)</w:t>
              <w:br/>
              <w:t>plt.figure(figsize=(10, 5))</w:t>
              <w:br/>
              <w:t>sns.scatterplot(data=sample_geo, x='longitude', y='latitude', hue='product_area', alpha=0.5)</w:t>
              <w:br/>
              <w:t>plt.title('Geographic Distribution of Product Issue Queues')</w:t>
              <w:br/>
              <w:t>plt.show()</w:t>
            </w:r>
          </w:p>
        </w:tc>
      </w:tr>
    </w:tbl>
    <w:p>
      <w:pPr>
        <w:spacing w:after="120"/>
      </w:pPr>
    </w:p>
    <w:p>
      <w:pPr>
        <w:spacing w:before="320" w:after="120"/>
      </w:pPr>
      <w:r>
        <w:rPr>
          <w:rFonts w:ascii="Helvetica" w:hAnsi="Helvetica"/>
          <w:b/>
          <w:color w:val="0D1B2A"/>
          <w:sz w:val="32"/>
        </w:rPr>
        <w:t>12. Module 7 – Streamlit Operations Dashboard</w:t>
      </w:r>
    </w:p>
    <w:p>
      <w:pPr>
        <w:spacing w:after="120" w:line="276" w:lineRule="auto"/>
      </w:pPr>
      <w:r>
        <w:rPr>
          <w:rFonts w:ascii="Helvetica" w:hAnsi="Helvetica"/>
          <w:color w:val="333333"/>
          <w:sz w:val="20"/>
        </w:rPr>
        <w:t>A 5-page interactive Streamlit dashboard (dashboard.py) was built to consolidate all analytical findings into an executive reporting application.</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80" w:type="dxa"/>
              <w:bottom w:w="80" w:type="dxa"/>
              <w:left w:w="120" w:type="dxa"/>
              <w:right w:w="120" w:type="dxa"/>
            </w:tcMar>
            <w:shd w:fill="0D1B2A"/>
          </w:tcPr>
          <w:p>
            <w:r>
              <w:rPr>
                <w:rFonts w:ascii="Helvetica" w:hAnsi="Helvetica"/>
                <w:b/>
                <w:color w:val="FFFFFF"/>
                <w:sz w:val="19"/>
              </w:rPr>
              <w:t>Dashboard Page</w:t>
            </w:r>
          </w:p>
        </w:tc>
        <w:tc>
          <w:tcPr>
            <w:tcW w:type="dxa" w:w="2880"/>
            <w:tcMar>
              <w:top w:w="80" w:type="dxa"/>
              <w:bottom w:w="80" w:type="dxa"/>
              <w:left w:w="120" w:type="dxa"/>
              <w:right w:w="120" w:type="dxa"/>
            </w:tcMar>
            <w:shd w:fill="0D1B2A"/>
          </w:tcPr>
          <w:p>
            <w:r>
              <w:rPr>
                <w:rFonts w:ascii="Helvetica" w:hAnsi="Helvetica"/>
                <w:b/>
                <w:color w:val="FFFFFF"/>
                <w:sz w:val="19"/>
              </w:rPr>
              <w:t>Analytical Focus</w:t>
            </w:r>
          </w:p>
        </w:tc>
        <w:tc>
          <w:tcPr>
            <w:tcW w:type="dxa" w:w="3888"/>
            <w:tcMar>
              <w:top w:w="80" w:type="dxa"/>
              <w:bottom w:w="80" w:type="dxa"/>
              <w:left w:w="120" w:type="dxa"/>
              <w:right w:w="120" w:type="dxa"/>
            </w:tcMar>
            <w:shd w:fill="0D1B2A"/>
          </w:tcPr>
          <w:p>
            <w:r>
              <w:rPr>
                <w:rFonts w:ascii="Helvetica" w:hAnsi="Helvetica"/>
                <w:b/>
                <w:color w:val="FFFFFF"/>
                <w:sz w:val="19"/>
              </w:rPr>
              <w:t>Key Visuals &amp; Metrics Included</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1. IT Support Overview</w:t>
            </w:r>
          </w:p>
        </w:tc>
        <w:tc>
          <w:tcPr>
            <w:tcW w:type="dxa" w:w="2880"/>
            <w:tcMar>
              <w:top w:w="80" w:type="dxa"/>
              <w:bottom w:w="80" w:type="dxa"/>
              <w:left w:w="120" w:type="dxa"/>
              <w:right w:w="120" w:type="dxa"/>
            </w:tcMar>
            <w:shd w:fill="F9FAFC"/>
          </w:tcPr>
          <w:p>
            <w:r>
              <w:rPr>
                <w:rFonts w:ascii="Helvetica" w:hAnsi="Helvetica"/>
                <w:color w:val="333333"/>
                <w:sz w:val="18"/>
              </w:rPr>
              <w:t>Executive Helpdesk Monitoring</w:t>
            </w:r>
          </w:p>
        </w:tc>
        <w:tc>
          <w:tcPr>
            <w:tcW w:type="dxa" w:w="3888"/>
            <w:tcMar>
              <w:top w:w="80" w:type="dxa"/>
              <w:bottom w:w="80" w:type="dxa"/>
              <w:left w:w="120" w:type="dxa"/>
              <w:right w:w="120" w:type="dxa"/>
            </w:tcMar>
            <w:shd w:fill="F9FAFC"/>
          </w:tcPr>
          <w:p>
            <w:r>
              <w:rPr>
                <w:rFonts w:ascii="Helvetica" w:hAnsi="Helvetica"/>
                <w:color w:val="333333"/>
                <w:sz w:val="18"/>
              </w:rPr>
              <w:t>Total, Open, Closed, Resolved metrics; Status &amp; Priority donuts; Type counts; Monthly trend line.</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2. Resolution &amp; Performance</w:t>
            </w:r>
          </w:p>
        </w:tc>
        <w:tc>
          <w:tcPr>
            <w:tcW w:type="dxa" w:w="2880"/>
            <w:tcMar>
              <w:top w:w="80" w:type="dxa"/>
              <w:bottom w:w="80" w:type="dxa"/>
              <w:left w:w="120" w:type="dxa"/>
              <w:right w:w="120" w:type="dxa"/>
            </w:tcMar>
            <w:shd w:fill="FFFFFF"/>
          </w:tcPr>
          <w:p>
            <w:r>
              <w:rPr>
                <w:rFonts w:ascii="Helvetica" w:hAnsi="Helvetica"/>
                <w:color w:val="333333"/>
                <w:sz w:val="18"/>
              </w:rPr>
              <w:t>Operational Throughput &amp; Bottlenecks</w:t>
            </w:r>
          </w:p>
        </w:tc>
        <w:tc>
          <w:tcPr>
            <w:tcW w:type="dxa" w:w="3888"/>
            <w:tcMar>
              <w:top w:w="80" w:type="dxa"/>
              <w:bottom w:w="80" w:type="dxa"/>
              <w:left w:w="120" w:type="dxa"/>
              <w:right w:w="120" w:type="dxa"/>
            </w:tcMar>
            <w:shd w:fill="FFFFFF"/>
          </w:tcPr>
          <w:p>
            <w:r>
              <w:rPr>
                <w:rFonts w:ascii="Helvetica" w:hAnsi="Helvetica"/>
                <w:color w:val="333333"/>
                <w:sz w:val="18"/>
              </w:rPr>
              <w:t>Resolution Rate, Avg Resolution Hours; Speed by Priority &amp; Type; Channel performance; Action Queue table.</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3. Customer &amp; Product Insights</w:t>
            </w:r>
          </w:p>
        </w:tc>
        <w:tc>
          <w:tcPr>
            <w:tcW w:type="dxa" w:w="2880"/>
            <w:tcMar>
              <w:top w:w="80" w:type="dxa"/>
              <w:bottom w:w="80" w:type="dxa"/>
              <w:left w:w="120" w:type="dxa"/>
              <w:right w:w="120" w:type="dxa"/>
            </w:tcMar>
            <w:shd w:fill="F9FAFC"/>
          </w:tcPr>
          <w:p>
            <w:r>
              <w:rPr>
                <w:rFonts w:ascii="Helvetica" w:hAnsi="Helvetica"/>
                <w:color w:val="333333"/>
                <w:sz w:val="18"/>
              </w:rPr>
              <w:t>Demographic &amp; Product Analytics</w:t>
            </w:r>
          </w:p>
        </w:tc>
        <w:tc>
          <w:tcPr>
            <w:tcW w:type="dxa" w:w="3888"/>
            <w:tcMar>
              <w:top w:w="80" w:type="dxa"/>
              <w:bottom w:w="80" w:type="dxa"/>
              <w:left w:w="120" w:type="dxa"/>
              <w:right w:w="120" w:type="dxa"/>
            </w:tcMar>
            <w:shd w:fill="F9FAFC"/>
          </w:tcPr>
          <w:p>
            <w:r>
              <w:rPr>
                <w:rFonts w:ascii="Helvetica" w:hAnsi="Helvetica"/>
                <w:color w:val="333333"/>
                <w:sz w:val="18"/>
              </w:rPr>
              <w:t>Avg Customer Age, Total Products; Top products bar chart; Gender donut chart; Age distribution histogram.</w:t>
            </w:r>
          </w:p>
        </w:tc>
      </w:tr>
      <w:tr>
        <w:trPr>
          <w:cantSplit/>
        </w:trPr>
        <w:tc>
          <w:tcPr>
            <w:tcW w:type="dxa" w:w="2592"/>
            <w:tcMar>
              <w:top w:w="80" w:type="dxa"/>
              <w:bottom w:w="80" w:type="dxa"/>
              <w:left w:w="120" w:type="dxa"/>
              <w:right w:w="120" w:type="dxa"/>
            </w:tcMar>
            <w:shd w:fill="FFFFFF"/>
          </w:tcPr>
          <w:p>
            <w:r>
              <w:rPr>
                <w:rFonts w:ascii="Helvetica" w:hAnsi="Helvetica"/>
                <w:color w:val="333333"/>
                <w:sz w:val="18"/>
              </w:rPr>
              <w:t>4. Satisfaction &amp; Quality</w:t>
            </w:r>
          </w:p>
        </w:tc>
        <w:tc>
          <w:tcPr>
            <w:tcW w:type="dxa" w:w="2880"/>
            <w:tcMar>
              <w:top w:w="80" w:type="dxa"/>
              <w:bottom w:w="80" w:type="dxa"/>
              <w:left w:w="120" w:type="dxa"/>
              <w:right w:w="120" w:type="dxa"/>
            </w:tcMar>
            <w:shd w:fill="FFFFFF"/>
          </w:tcPr>
          <w:p>
            <w:r>
              <w:rPr>
                <w:rFonts w:ascii="Helvetica" w:hAnsi="Helvetica"/>
                <w:color w:val="333333"/>
                <w:sz w:val="18"/>
              </w:rPr>
              <w:t>Service Quality &amp; CSAT Drivers</w:t>
            </w:r>
          </w:p>
        </w:tc>
        <w:tc>
          <w:tcPr>
            <w:tcW w:type="dxa" w:w="3888"/>
            <w:tcMar>
              <w:top w:w="80" w:type="dxa"/>
              <w:bottom w:w="80" w:type="dxa"/>
              <w:left w:w="120" w:type="dxa"/>
              <w:right w:w="120" w:type="dxa"/>
            </w:tcMar>
            <w:shd w:fill="FFFFFF"/>
          </w:tcPr>
          <w:p>
            <w:r>
              <w:rPr>
                <w:rFonts w:ascii="Helvetica" w:hAnsi="Helvetica"/>
                <w:color w:val="333333"/>
                <w:sz w:val="18"/>
              </w:rPr>
              <w:t>Avg Satisfaction, High/Low CSAT splits; CSAT by Type, Priority, Channel, and Rating counts (0-5).</w:t>
            </w:r>
          </w:p>
        </w:tc>
      </w:tr>
      <w:tr>
        <w:trPr>
          <w:cantSplit/>
        </w:trPr>
        <w:tc>
          <w:tcPr>
            <w:tcW w:type="dxa" w:w="2592"/>
            <w:tcMar>
              <w:top w:w="80" w:type="dxa"/>
              <w:bottom w:w="80" w:type="dxa"/>
              <w:left w:w="120" w:type="dxa"/>
              <w:right w:w="120" w:type="dxa"/>
            </w:tcMar>
            <w:shd w:fill="F9FAFC"/>
          </w:tcPr>
          <w:p>
            <w:r>
              <w:rPr>
                <w:rFonts w:ascii="Helvetica" w:hAnsi="Helvetica"/>
                <w:color w:val="333333"/>
                <w:sz w:val="18"/>
              </w:rPr>
              <w:t>5. Cluster &amp; Similarity Analysis</w:t>
            </w:r>
          </w:p>
        </w:tc>
        <w:tc>
          <w:tcPr>
            <w:tcW w:type="dxa" w:w="2880"/>
            <w:tcMar>
              <w:top w:w="80" w:type="dxa"/>
              <w:bottom w:w="80" w:type="dxa"/>
              <w:left w:w="120" w:type="dxa"/>
              <w:right w:w="120" w:type="dxa"/>
            </w:tcMar>
            <w:shd w:fill="F9FAFC"/>
          </w:tcPr>
          <w:p>
            <w:r>
              <w:rPr>
                <w:rFonts w:ascii="Helvetica" w:hAnsi="Helvetica"/>
                <w:color w:val="333333"/>
                <w:sz w:val="18"/>
              </w:rPr>
              <w:t>NLP Pattern Exploration</w:t>
            </w:r>
          </w:p>
        </w:tc>
        <w:tc>
          <w:tcPr>
            <w:tcW w:type="dxa" w:w="3888"/>
            <w:tcMar>
              <w:top w:w="80" w:type="dxa"/>
              <w:bottom w:w="80" w:type="dxa"/>
              <w:left w:w="120" w:type="dxa"/>
              <w:right w:w="120" w:type="dxa"/>
            </w:tcMar>
            <w:shd w:fill="F9FAFC"/>
          </w:tcPr>
          <w:p>
            <w:r>
              <w:rPr>
                <w:rFonts w:ascii="Helvetica" w:hAnsi="Helvetica"/>
                <w:color w:val="333333"/>
                <w:sz w:val="18"/>
              </w:rPr>
              <w:t>Cluster count, Clustered tickets, Avg Similarity Index; Volume by Cluster; Cluster size vs Resolution Time scatter plot.</w:t>
            </w:r>
          </w:p>
        </w:tc>
      </w:tr>
    </w:tbl>
    <w:p>
      <w:pPr>
        <w:spacing w:after="200"/>
      </w:pPr>
    </w:p>
    <w:p>
      <w:pPr>
        <w:spacing w:before="320" w:after="120"/>
      </w:pPr>
      <w:r>
        <w:rPr>
          <w:rFonts w:ascii="Helvetica" w:hAnsi="Helvetica"/>
          <w:b/>
          <w:color w:val="0D1B2A"/>
          <w:sz w:val="32"/>
        </w:rPr>
        <w:t>13. Key Findings</w:t>
      </w:r>
    </w:p>
    <w:p>
      <w:pPr>
        <w:pStyle w:val="ListBullet"/>
        <w:spacing w:after="80" w:line="276" w:lineRule="auto"/>
      </w:pPr>
      <w:r>
        <w:rPr>
          <w:rFonts w:ascii="Helvetica" w:hAnsi="Helvetica"/>
          <w:b/>
          <w:color w:val="333333"/>
          <w:sz w:val="20"/>
        </w:rPr>
        <w:t xml:space="preserve">1. </w:t>
      </w:r>
      <w:r>
        <w:rPr>
          <w:rFonts w:ascii="Helvetica" w:hAnsi="Helvetica"/>
          <w:color w:val="333333"/>
          <w:sz w:val="20"/>
        </w:rPr>
        <w:t>Ticket types (issue_type) are evenly distributed across the 100,000 records (~12,400 tickets each).</w:t>
      </w:r>
    </w:p>
    <w:p>
      <w:pPr>
        <w:pStyle w:val="ListBullet"/>
        <w:spacing w:after="80" w:line="276" w:lineRule="auto"/>
      </w:pPr>
      <w:r>
        <w:rPr>
          <w:rFonts w:ascii="Helvetica" w:hAnsi="Helvetica"/>
          <w:b/>
          <w:color w:val="333333"/>
          <w:sz w:val="20"/>
        </w:rPr>
        <w:t xml:space="preserve">2. </w:t>
      </w:r>
      <w:r>
        <w:rPr>
          <w:rFonts w:ascii="Helvetica" w:hAnsi="Helvetica"/>
          <w:color w:val="333333"/>
          <w:sz w:val="20"/>
        </w:rPr>
        <w:t>Low (39,735) and Medium (35,313) priority tickets represent 75% of overall helpdesk ticket volume.</w:t>
      </w:r>
    </w:p>
    <w:p>
      <w:pPr>
        <w:pStyle w:val="ListBullet"/>
        <w:spacing w:after="80" w:line="276" w:lineRule="auto"/>
      </w:pPr>
      <w:r>
        <w:rPr>
          <w:rFonts w:ascii="Helvetica" w:hAnsi="Helvetica"/>
          <w:b/>
          <w:color w:val="333333"/>
          <w:sz w:val="20"/>
        </w:rPr>
        <w:t xml:space="preserve">3. </w:t>
      </w:r>
      <w:r>
        <w:rPr>
          <w:rFonts w:ascii="Helvetica" w:hAnsi="Helvetica"/>
          <w:color w:val="333333"/>
          <w:sz w:val="20"/>
        </w:rPr>
        <w:t>Mobile App (14,432) and Login Authentication (14,381) generate the highest support queue volume.</w:t>
      </w:r>
    </w:p>
    <w:p>
      <w:pPr>
        <w:pStyle w:val="ListBullet"/>
        <w:spacing w:after="80" w:line="276" w:lineRule="auto"/>
      </w:pPr>
      <w:r>
        <w:rPr>
          <w:rFonts w:ascii="Helvetica" w:hAnsi="Helvetica"/>
          <w:b/>
          <w:color w:val="333333"/>
          <w:sz w:val="20"/>
        </w:rPr>
        <w:t xml:space="preserve">4. </w:t>
      </w:r>
      <w:r>
        <w:rPr>
          <w:rFonts w:ascii="Helvetica" w:hAnsi="Helvetica"/>
          <w:color w:val="333333"/>
          <w:sz w:val="20"/>
        </w:rPr>
        <w:t>Urgent priority tickets resolve in 4.5 hours on average, confirming effective helpdesk triage.</w:t>
      </w:r>
    </w:p>
    <w:p>
      <w:pPr>
        <w:pStyle w:val="ListBullet"/>
        <w:spacing w:after="80" w:line="276" w:lineRule="auto"/>
      </w:pPr>
      <w:r>
        <w:rPr>
          <w:rFonts w:ascii="Helvetica" w:hAnsi="Helvetica"/>
          <w:b/>
          <w:color w:val="333333"/>
          <w:sz w:val="20"/>
        </w:rPr>
        <w:t xml:space="preserve">5. </w:t>
      </w:r>
      <w:r>
        <w:rPr>
          <w:rFonts w:ascii="Helvetica" w:hAnsi="Helvetica"/>
          <w:color w:val="333333"/>
          <w:sz w:val="20"/>
        </w:rPr>
        <w:t>United Kingdom (42.8h) and Canada (43.2h) exhibit the fastest average resolution times among handling hubs.</w:t>
      </w:r>
    </w:p>
    <w:p>
      <w:pPr>
        <w:pStyle w:val="ListBullet"/>
        <w:spacing w:after="80" w:line="276" w:lineRule="auto"/>
      </w:pPr>
      <w:r>
        <w:rPr>
          <w:rFonts w:ascii="Helvetica" w:hAnsi="Helvetica"/>
          <w:b/>
          <w:color w:val="333333"/>
          <w:sz w:val="20"/>
        </w:rPr>
        <w:t xml:space="preserve">6. </w:t>
      </w:r>
      <w:r>
        <w:rPr>
          <w:rFonts w:ascii="Helvetica" w:hAnsi="Helvetica"/>
          <w:color w:val="333333"/>
          <w:sz w:val="20"/>
        </w:rPr>
        <w:t>TF-IDF + MiniBatchKMeans cleanly separated customer messages into 6 distinct topic clusters.</w:t>
      </w:r>
    </w:p>
    <w:p>
      <w:pPr>
        <w:pStyle w:val="ListBullet"/>
        <w:spacing w:after="80" w:line="276" w:lineRule="auto"/>
      </w:pPr>
      <w:r>
        <w:rPr>
          <w:rFonts w:ascii="Helvetica" w:hAnsi="Helvetica"/>
          <w:b/>
          <w:color w:val="333333"/>
          <w:sz w:val="20"/>
        </w:rPr>
        <w:t xml:space="preserve">7. </w:t>
      </w:r>
      <w:r>
        <w:rPr>
          <w:rFonts w:ascii="Helvetica" w:hAnsi="Helvetica"/>
          <w:color w:val="333333"/>
          <w:sz w:val="20"/>
        </w:rPr>
        <w:t>Cluster 0 (Password &amp; Auth Access) represents the highest frequency cluster, ideal for self-service deflection.</w:t>
      </w:r>
    </w:p>
    <w:p>
      <w:pPr>
        <w:pStyle w:val="ListBullet"/>
        <w:spacing w:after="80" w:line="276" w:lineRule="auto"/>
      </w:pPr>
      <w:r>
        <w:rPr>
          <w:rFonts w:ascii="Helvetica" w:hAnsi="Helvetica"/>
          <w:b/>
          <w:color w:val="333333"/>
          <w:sz w:val="20"/>
        </w:rPr>
        <w:t xml:space="preserve">8. </w:t>
      </w:r>
      <w:r>
        <w:rPr>
          <w:rFonts w:ascii="Helvetica" w:hAnsi="Helvetica"/>
          <w:color w:val="333333"/>
          <w:sz w:val="20"/>
        </w:rPr>
        <w:t>Customer Satisfaction (CSAT) averages 2.24 / 5.0, heavily impacted by unrated/open ticket logs.</w:t>
      </w:r>
    </w:p>
    <w:p>
      <w:pPr>
        <w:pStyle w:val="ListBullet"/>
        <w:spacing w:after="80" w:line="276" w:lineRule="auto"/>
      </w:pPr>
      <w:r>
        <w:rPr>
          <w:rFonts w:ascii="Helvetica" w:hAnsi="Helvetica"/>
          <w:b/>
          <w:color w:val="333333"/>
          <w:sz w:val="20"/>
        </w:rPr>
        <w:t xml:space="preserve">9. </w:t>
      </w:r>
      <w:r>
        <w:rPr>
          <w:rFonts w:ascii="Helvetica" w:hAnsi="Helvetica"/>
          <w:color w:val="333333"/>
          <w:sz w:val="20"/>
        </w:rPr>
        <w:t>Europe (19,960) and APAC (19,933) represent the largest regional ticket ingestion zones.</w:t>
      </w:r>
    </w:p>
    <w:p>
      <w:pPr>
        <w:pStyle w:val="ListBullet"/>
        <w:spacing w:after="80" w:line="276" w:lineRule="auto"/>
      </w:pPr>
      <w:r>
        <w:rPr>
          <w:rFonts w:ascii="Helvetica" w:hAnsi="Helvetica"/>
          <w:b/>
          <w:color w:val="333333"/>
          <w:sz w:val="20"/>
        </w:rPr>
        <w:t xml:space="preserve">10. </w:t>
      </w:r>
      <w:r>
        <w:rPr>
          <w:rFonts w:ascii="Helvetica" w:hAnsi="Helvetica"/>
          <w:color w:val="333333"/>
          <w:sz w:val="20"/>
        </w:rPr>
        <w:t>No strong negative correlation was observed between cluster size and resolution duration.</w:t>
      </w:r>
    </w:p>
    <w:p>
      <w:pPr>
        <w:spacing w:before="320" w:after="120"/>
      </w:pPr>
      <w:r>
        <w:rPr>
          <w:rFonts w:ascii="Helvetica" w:hAnsi="Helvetica"/>
          <w:b/>
          <w:color w:val="0D1B2A"/>
          <w:sz w:val="32"/>
        </w:rPr>
        <w:t>14. Recommendations</w:t>
      </w:r>
    </w:p>
    <w:p>
      <w:pPr>
        <w:pStyle w:val="ListBullet"/>
        <w:spacing w:after="80" w:line="276" w:lineRule="auto"/>
      </w:pPr>
      <w:r>
        <w:rPr>
          <w:rFonts w:ascii="Helvetica" w:hAnsi="Helvetica"/>
          <w:b/>
          <w:color w:val="333333"/>
          <w:sz w:val="20"/>
        </w:rPr>
        <w:t xml:space="preserve">Self-Service PortalDeflection: </w:t>
      </w:r>
      <w:r>
        <w:rPr>
          <w:rFonts w:ascii="Helvetica" w:hAnsi="Helvetica"/>
          <w:color w:val="333333"/>
          <w:sz w:val="20"/>
        </w:rPr>
        <w:t xml:space="preserve"> Deploy password reset and 2FA self-service deflection workflows for Cluster 0 to reduce ticket intake by up to 15%.</w:t>
      </w:r>
    </w:p>
    <w:p>
      <w:pPr>
        <w:pStyle w:val="ListBullet"/>
        <w:spacing w:after="80" w:line="276" w:lineRule="auto"/>
      </w:pPr>
      <w:r>
        <w:rPr>
          <w:rFonts w:ascii="Helvetica" w:hAnsi="Helvetica"/>
          <w:b/>
          <w:color w:val="333333"/>
          <w:sz w:val="20"/>
        </w:rPr>
        <w:t xml:space="preserve">Queue Capacity Rebalancing: </w:t>
      </w:r>
      <w:r>
        <w:rPr>
          <w:rFonts w:ascii="Helvetica" w:hAnsi="Helvetica"/>
          <w:color w:val="333333"/>
          <w:sz w:val="20"/>
        </w:rPr>
        <w:t xml:space="preserve"> Reallocate specialized technical staffing to API Integration and Data Export queues to bring down their 46-hour mean resolution speed.</w:t>
      </w:r>
    </w:p>
    <w:p>
      <w:pPr>
        <w:pStyle w:val="ListBullet"/>
        <w:spacing w:after="80" w:line="276" w:lineRule="auto"/>
      </w:pPr>
      <w:r>
        <w:rPr>
          <w:rFonts w:ascii="Helvetica" w:hAnsi="Helvetica"/>
          <w:b/>
          <w:color w:val="333333"/>
          <w:sz w:val="20"/>
        </w:rPr>
        <w:t xml:space="preserve">Action Queue Governance: </w:t>
      </w:r>
      <w:r>
        <w:rPr>
          <w:rFonts w:ascii="Helvetica" w:hAnsi="Helvetica"/>
          <w:color w:val="333333"/>
          <w:sz w:val="20"/>
        </w:rPr>
        <w:t xml:space="preserve"> Mandate daily monitoring of the Streamlit Page 2 Action Queue to resolve high/urgent priority tickets before SLA breaches occur.</w:t>
      </w:r>
    </w:p>
    <w:p>
      <w:pPr>
        <w:pStyle w:val="ListBullet"/>
        <w:spacing w:after="80" w:line="276" w:lineRule="auto"/>
      </w:pPr>
      <w:r>
        <w:rPr>
          <w:rFonts w:ascii="Helvetica" w:hAnsi="Helvetica"/>
          <w:b/>
          <w:color w:val="333333"/>
          <w:sz w:val="20"/>
        </w:rPr>
        <w:t xml:space="preserve">Regional Response Squads: </w:t>
      </w:r>
      <w:r>
        <w:rPr>
          <w:rFonts w:ascii="Helvetica" w:hAnsi="Helvetica"/>
          <w:color w:val="333333"/>
          <w:sz w:val="20"/>
        </w:rPr>
        <w:t xml:space="preserve"> Deploy region-specific support teams in slower hubs (like Australia/Japan) to standardize worldwide response speed.</w:t>
      </w:r>
    </w:p>
    <w:p>
      <w:pPr>
        <w:spacing w:before="320" w:after="120"/>
      </w:pPr>
      <w:r>
        <w:rPr>
          <w:rFonts w:ascii="Helvetica" w:hAnsi="Helvetica"/>
          <w:b/>
          <w:color w:val="0D1B2A"/>
          <w:sz w:val="32"/>
        </w:rPr>
        <w:t>15. Expected Business Impact</w:t>
      </w:r>
    </w:p>
    <w:p>
      <w:pPr>
        <w:pStyle w:val="ListBullet"/>
        <w:spacing w:after="80" w:line="276" w:lineRule="auto"/>
      </w:pPr>
      <w:r>
        <w:rPr>
          <w:rFonts w:ascii="Helvetica" w:hAnsi="Helvetica"/>
          <w:color w:val="333333"/>
          <w:sz w:val="20"/>
        </w:rPr>
        <w:t>15-20% reduction in routine ticket intake through self-service deflection.</w:t>
      </w:r>
    </w:p>
    <w:p>
      <w:pPr>
        <w:pStyle w:val="ListBullet"/>
        <w:spacing w:after="80" w:line="276" w:lineRule="auto"/>
      </w:pPr>
      <w:r>
        <w:rPr>
          <w:rFonts w:ascii="Helvetica" w:hAnsi="Helvetica"/>
          <w:color w:val="333333"/>
          <w:sz w:val="20"/>
        </w:rPr>
        <w:t>30% faster SLA breach identification via the Streamlit Action Queue table.</w:t>
      </w:r>
    </w:p>
    <w:p>
      <w:pPr>
        <w:pStyle w:val="ListBullet"/>
        <w:spacing w:after="80" w:line="276" w:lineRule="auto"/>
      </w:pPr>
      <w:r>
        <w:rPr>
          <w:rFonts w:ascii="Helvetica" w:hAnsi="Helvetica"/>
          <w:color w:val="333333"/>
          <w:sz w:val="20"/>
        </w:rPr>
        <w:t>Improved CSAT scores through proactive resolution of high-priority tickets.</w:t>
      </w:r>
    </w:p>
    <w:p>
      <w:pPr>
        <w:pStyle w:val="ListBullet"/>
        <w:spacing w:after="80" w:line="276" w:lineRule="auto"/>
      </w:pPr>
      <w:r>
        <w:rPr>
          <w:rFonts w:ascii="Helvetica" w:hAnsi="Helvetica"/>
          <w:color w:val="333333"/>
          <w:sz w:val="20"/>
        </w:rPr>
        <w:t>Data-driven staffing allocation across global regional helpdesk hubs.</w:t>
      </w:r>
    </w:p>
    <w:p>
      <w:pPr>
        <w:spacing w:before="320" w:after="120"/>
      </w:pPr>
      <w:r>
        <w:rPr>
          <w:rFonts w:ascii="Helvetica" w:hAnsi="Helvetica"/>
          <w:b/>
          <w:color w:val="0D1B2A"/>
          <w:sz w:val="32"/>
        </w:rPr>
        <w:t>16. Conclusion</w:t>
      </w:r>
    </w:p>
    <w:p>
      <w:pPr>
        <w:spacing w:after="120" w:line="276" w:lineRule="auto"/>
      </w:pPr>
      <w:r>
        <w:rPr>
          <w:rFonts w:ascii="Helvetica" w:hAnsi="Helvetica"/>
          <w:color w:val="333333"/>
          <w:sz w:val="20"/>
        </w:rPr>
        <w:t>Supportlytics demonstrates a complete, reproducible data analytics pipeline for enterprise IT support management. By combining data cleaning, TF-IDF NLP text clustering, performance trend analysis, spatial GIS mapping, and an interactive 5-page Streamlit dashboard, raw support logs are successfully transformed into actionable executive intelligence.</w:t>
      </w:r>
    </w:p>
    <w:p>
      <w:pPr>
        <w:spacing w:before="320" w:after="120"/>
      </w:pPr>
      <w:r>
        <w:rPr>
          <w:rFonts w:ascii="Helvetica" w:hAnsi="Helvetica"/>
          <w:b/>
          <w:color w:val="0D1B2A"/>
          <w:sz w:val="32"/>
        </w:rPr>
        <w:t>17. GitHub Repository &amp; Project Files</w:t>
      </w:r>
    </w:p>
    <w:tbl>
      <w:tblPr>
        <w:tblW w:type="auto" w:w="0"/>
        <w:jc w:val="center"/>
        <w:tblLook w:firstColumn="1" w:firstRow="1" w:lastColumn="0" w:lastRow="0" w:noHBand="0" w:noVBand="1" w:val="04A0"/>
      </w:tblPr>
      <w:tblGrid>
        <w:gridCol w:w="3120"/>
        <w:gridCol w:w="3120"/>
        <w:gridCol w:w="3120"/>
      </w:tblGrid>
      <w:tr>
        <w:trPr>
          <w:cantSplit/>
        </w:trPr>
        <w:tc>
          <w:tcPr>
            <w:tcW w:type="dxa" w:w="3168"/>
            <w:tcMar>
              <w:top w:w="80" w:type="dxa"/>
              <w:bottom w:w="80" w:type="dxa"/>
              <w:left w:w="120" w:type="dxa"/>
              <w:right w:w="120" w:type="dxa"/>
            </w:tcMar>
            <w:shd w:fill="0D1B2A"/>
          </w:tcPr>
          <w:p>
            <w:r>
              <w:rPr>
                <w:rFonts w:ascii="Helvetica" w:hAnsi="Helvetica"/>
                <w:b/>
                <w:color w:val="FFFFFF"/>
                <w:sz w:val="19"/>
              </w:rPr>
              <w:t>File / Artifact Name</w:t>
            </w:r>
          </w:p>
        </w:tc>
        <w:tc>
          <w:tcPr>
            <w:tcW w:type="dxa" w:w="2160"/>
            <w:tcMar>
              <w:top w:w="80" w:type="dxa"/>
              <w:bottom w:w="80" w:type="dxa"/>
              <w:left w:w="120" w:type="dxa"/>
              <w:right w:w="120" w:type="dxa"/>
            </w:tcMar>
            <w:shd w:fill="0D1B2A"/>
          </w:tcPr>
          <w:p>
            <w:r>
              <w:rPr>
                <w:rFonts w:ascii="Helvetica" w:hAnsi="Helvetica"/>
                <w:b/>
                <w:color w:val="FFFFFF"/>
                <w:sz w:val="19"/>
              </w:rPr>
              <w:t>Artifact Type</w:t>
            </w:r>
          </w:p>
        </w:tc>
        <w:tc>
          <w:tcPr>
            <w:tcW w:type="dxa" w:w="4032"/>
            <w:tcMar>
              <w:top w:w="80" w:type="dxa"/>
              <w:bottom w:w="80" w:type="dxa"/>
              <w:left w:w="120" w:type="dxa"/>
              <w:right w:w="120" w:type="dxa"/>
            </w:tcMar>
            <w:shd w:fill="0D1B2A"/>
          </w:tcPr>
          <w:p>
            <w:r>
              <w:rPr>
                <w:rFonts w:ascii="Helvetica" w:hAnsi="Helvetica"/>
                <w:b/>
                <w:color w:val="FFFFFF"/>
                <w:sz w:val="19"/>
              </w:rPr>
              <w:t>Description &amp; Repository Purpose</w:t>
            </w:r>
          </w:p>
        </w:tc>
      </w:tr>
      <w:tr>
        <w:trPr>
          <w:cantSplit/>
        </w:trPr>
        <w:tc>
          <w:tcPr>
            <w:tcW w:type="dxa" w:w="3168"/>
            <w:tcMar>
              <w:top w:w="80" w:type="dxa"/>
              <w:bottom w:w="80" w:type="dxa"/>
              <w:left w:w="120" w:type="dxa"/>
              <w:right w:w="120" w:type="dxa"/>
            </w:tcMar>
            <w:shd w:fill="F9FAFC"/>
          </w:tcPr>
          <w:p>
            <w:r>
              <w:rPr>
                <w:rFonts w:ascii="Helvetica" w:hAnsi="Helvetica"/>
                <w:color w:val="333333"/>
                <w:sz w:val="18"/>
              </w:rPr>
              <w:t>synthetic_it_support_tickets.csv</w:t>
            </w:r>
          </w:p>
        </w:tc>
        <w:tc>
          <w:tcPr>
            <w:tcW w:type="dxa" w:w="2160"/>
            <w:tcMar>
              <w:top w:w="80" w:type="dxa"/>
              <w:bottom w:w="80" w:type="dxa"/>
              <w:left w:w="120" w:type="dxa"/>
              <w:right w:w="120" w:type="dxa"/>
            </w:tcMar>
            <w:shd w:fill="F9FAFC"/>
          </w:tcPr>
          <w:p>
            <w:r>
              <w:rPr>
                <w:rFonts w:ascii="Helvetica" w:hAnsi="Helvetica"/>
                <w:color w:val="333333"/>
                <w:sz w:val="18"/>
              </w:rPr>
              <w:t>Enriched Dataset</w:t>
            </w:r>
          </w:p>
        </w:tc>
        <w:tc>
          <w:tcPr>
            <w:tcW w:type="dxa" w:w="4032"/>
            <w:tcMar>
              <w:top w:w="80" w:type="dxa"/>
              <w:bottom w:w="80" w:type="dxa"/>
              <w:left w:w="120" w:type="dxa"/>
              <w:right w:w="120" w:type="dxa"/>
            </w:tcMar>
            <w:shd w:fill="F9FAFC"/>
          </w:tcPr>
          <w:p>
            <w:r>
              <w:rPr>
                <w:rFonts w:ascii="Helvetica" w:hAnsi="Helvetica"/>
                <w:color w:val="333333"/>
                <w:sz w:val="18"/>
              </w:rPr>
              <w:t>100,000 records × 29 fields including NLP clusters and GIS fields.</w:t>
            </w:r>
          </w:p>
        </w:tc>
      </w:tr>
      <w:tr>
        <w:trPr>
          <w:cantSplit/>
        </w:trPr>
        <w:tc>
          <w:tcPr>
            <w:tcW w:type="dxa" w:w="3168"/>
            <w:tcMar>
              <w:top w:w="80" w:type="dxa"/>
              <w:bottom w:w="80" w:type="dxa"/>
              <w:left w:w="120" w:type="dxa"/>
              <w:right w:w="120" w:type="dxa"/>
            </w:tcMar>
            <w:shd w:fill="FFFFFF"/>
          </w:tcPr>
          <w:p>
            <w:r>
              <w:rPr>
                <w:rFonts w:ascii="Helvetica" w:hAnsi="Helvetica"/>
                <w:color w:val="333333"/>
                <w:sz w:val="18"/>
              </w:rPr>
              <w:t>analyze_tickets.ipynb</w:t>
            </w:r>
          </w:p>
        </w:tc>
        <w:tc>
          <w:tcPr>
            <w:tcW w:type="dxa" w:w="2160"/>
            <w:tcMar>
              <w:top w:w="80" w:type="dxa"/>
              <w:bottom w:w="80" w:type="dxa"/>
              <w:left w:w="120" w:type="dxa"/>
              <w:right w:w="120" w:type="dxa"/>
            </w:tcMar>
            <w:shd w:fill="FFFFFF"/>
          </w:tcPr>
          <w:p>
            <w:r>
              <w:rPr>
                <w:rFonts w:ascii="Helvetica" w:hAnsi="Helvetica"/>
                <w:color w:val="333333"/>
                <w:sz w:val="18"/>
              </w:rPr>
              <w:t>Jupyter Notebook</w:t>
            </w:r>
          </w:p>
        </w:tc>
        <w:tc>
          <w:tcPr>
            <w:tcW w:type="dxa" w:w="4032"/>
            <w:tcMar>
              <w:top w:w="80" w:type="dxa"/>
              <w:bottom w:w="80" w:type="dxa"/>
              <w:left w:w="120" w:type="dxa"/>
              <w:right w:w="120" w:type="dxa"/>
            </w:tcMar>
            <w:shd w:fill="FFFFFF"/>
          </w:tcPr>
          <w:p>
            <w:r>
              <w:rPr>
                <w:rFonts w:ascii="Helvetica" w:hAnsi="Helvetica"/>
                <w:color w:val="333333"/>
                <w:sz w:val="18"/>
              </w:rPr>
              <w:t>Complete pipeline notebook covering Milestones 1-3 EDA and models.</w:t>
            </w:r>
          </w:p>
        </w:tc>
      </w:tr>
      <w:tr>
        <w:trPr>
          <w:cantSplit/>
        </w:trPr>
        <w:tc>
          <w:tcPr>
            <w:tcW w:type="dxa" w:w="3168"/>
            <w:tcMar>
              <w:top w:w="80" w:type="dxa"/>
              <w:bottom w:w="80" w:type="dxa"/>
              <w:left w:w="120" w:type="dxa"/>
              <w:right w:w="120" w:type="dxa"/>
            </w:tcMar>
            <w:shd w:fill="F9FAFC"/>
          </w:tcPr>
          <w:p>
            <w:r>
              <w:rPr>
                <w:rFonts w:ascii="Helvetica" w:hAnsi="Helvetica"/>
                <w:color w:val="333333"/>
                <w:sz w:val="18"/>
              </w:rPr>
              <w:t>dashboard.py</w:t>
            </w:r>
          </w:p>
        </w:tc>
        <w:tc>
          <w:tcPr>
            <w:tcW w:type="dxa" w:w="2160"/>
            <w:tcMar>
              <w:top w:w="80" w:type="dxa"/>
              <w:bottom w:w="80" w:type="dxa"/>
              <w:left w:w="120" w:type="dxa"/>
              <w:right w:w="120" w:type="dxa"/>
            </w:tcMar>
            <w:shd w:fill="F9FAFC"/>
          </w:tcPr>
          <w:p>
            <w:r>
              <w:rPr>
                <w:rFonts w:ascii="Helvetica" w:hAnsi="Helvetica"/>
                <w:color w:val="333333"/>
                <w:sz w:val="18"/>
              </w:rPr>
              <w:t>Streamlit Application</w:t>
            </w:r>
          </w:p>
        </w:tc>
        <w:tc>
          <w:tcPr>
            <w:tcW w:type="dxa" w:w="4032"/>
            <w:tcMar>
              <w:top w:w="80" w:type="dxa"/>
              <w:bottom w:w="80" w:type="dxa"/>
              <w:left w:w="120" w:type="dxa"/>
              <w:right w:w="120" w:type="dxa"/>
            </w:tcMar>
            <w:shd w:fill="F9FAFC"/>
          </w:tcPr>
          <w:p>
            <w:r>
              <w:rPr>
                <w:rFonts w:ascii="Helvetica" w:hAnsi="Helvetica"/>
                <w:color w:val="333333"/>
                <w:sz w:val="18"/>
              </w:rPr>
              <w:t>Interactive 5-page operations dashboard code with global filters.</w:t>
            </w:r>
          </w:p>
        </w:tc>
      </w:tr>
      <w:tr>
        <w:trPr>
          <w:cantSplit/>
        </w:trPr>
        <w:tc>
          <w:tcPr>
            <w:tcW w:type="dxa" w:w="3168"/>
            <w:tcMar>
              <w:top w:w="80" w:type="dxa"/>
              <w:bottom w:w="80" w:type="dxa"/>
              <w:left w:w="120" w:type="dxa"/>
              <w:right w:w="120" w:type="dxa"/>
            </w:tcMar>
            <w:shd w:fill="FFFFFF"/>
          </w:tcPr>
          <w:p>
            <w:r>
              <w:rPr>
                <w:rFonts w:ascii="Helvetica" w:hAnsi="Helvetica"/>
                <w:color w:val="333333"/>
                <w:sz w:val="18"/>
              </w:rPr>
              <w:t>Supportlytics_Final_Presentation.pptx</w:t>
            </w:r>
          </w:p>
        </w:tc>
        <w:tc>
          <w:tcPr>
            <w:tcW w:type="dxa" w:w="2160"/>
            <w:tcMar>
              <w:top w:w="80" w:type="dxa"/>
              <w:bottom w:w="80" w:type="dxa"/>
              <w:left w:w="120" w:type="dxa"/>
              <w:right w:w="120" w:type="dxa"/>
            </w:tcMar>
            <w:shd w:fill="FFFFFF"/>
          </w:tcPr>
          <w:p>
            <w:r>
              <w:rPr>
                <w:rFonts w:ascii="Helvetica" w:hAnsi="Helvetica"/>
                <w:color w:val="333333"/>
                <w:sz w:val="18"/>
              </w:rPr>
              <w:t>PPT Presentation</w:t>
            </w:r>
          </w:p>
        </w:tc>
        <w:tc>
          <w:tcPr>
            <w:tcW w:type="dxa" w:w="4032"/>
            <w:tcMar>
              <w:top w:w="80" w:type="dxa"/>
              <w:bottom w:w="80" w:type="dxa"/>
              <w:left w:w="120" w:type="dxa"/>
              <w:right w:w="120" w:type="dxa"/>
            </w:tcMar>
            <w:shd w:fill="FFFFFF"/>
          </w:tcPr>
          <w:p>
            <w:r>
              <w:rPr>
                <w:rFonts w:ascii="Helvetica" w:hAnsi="Helvetica"/>
                <w:color w:val="333333"/>
                <w:sz w:val="18"/>
              </w:rPr>
              <w:t>Full 7-slide presentation deck covering Milestones 1-4.</w:t>
            </w:r>
          </w:p>
        </w:tc>
      </w:tr>
      <w:tr>
        <w:trPr>
          <w:cantSplit/>
        </w:trPr>
        <w:tc>
          <w:tcPr>
            <w:tcW w:type="dxa" w:w="3168"/>
            <w:tcMar>
              <w:top w:w="80" w:type="dxa"/>
              <w:bottom w:w="80" w:type="dxa"/>
              <w:left w:w="120" w:type="dxa"/>
              <w:right w:w="120" w:type="dxa"/>
            </w:tcMar>
            <w:shd w:fill="F9FAFC"/>
          </w:tcPr>
          <w:p>
            <w:r>
              <w:rPr>
                <w:rFonts w:ascii="Helvetica" w:hAnsi="Helvetica"/>
                <w:color w:val="333333"/>
                <w:sz w:val="18"/>
              </w:rPr>
              <w:t>Supportlytics_Milestone4.pptx</w:t>
            </w:r>
          </w:p>
        </w:tc>
        <w:tc>
          <w:tcPr>
            <w:tcW w:type="dxa" w:w="2160"/>
            <w:tcMar>
              <w:top w:w="80" w:type="dxa"/>
              <w:bottom w:w="80" w:type="dxa"/>
              <w:left w:w="120" w:type="dxa"/>
              <w:right w:w="120" w:type="dxa"/>
            </w:tcMar>
            <w:shd w:fill="F9FAFC"/>
          </w:tcPr>
          <w:p>
            <w:r>
              <w:rPr>
                <w:rFonts w:ascii="Helvetica" w:hAnsi="Helvetica"/>
                <w:color w:val="333333"/>
                <w:sz w:val="18"/>
              </w:rPr>
              <w:t>PPT Presentation</w:t>
            </w:r>
          </w:p>
        </w:tc>
        <w:tc>
          <w:tcPr>
            <w:tcW w:type="dxa" w:w="4032"/>
            <w:tcMar>
              <w:top w:w="80" w:type="dxa"/>
              <w:bottom w:w="80" w:type="dxa"/>
              <w:left w:w="120" w:type="dxa"/>
              <w:right w:w="120" w:type="dxa"/>
            </w:tcMar>
            <w:shd w:fill="F9FAFC"/>
          </w:tcPr>
          <w:p>
            <w:r>
              <w:rPr>
                <w:rFonts w:ascii="Helvetica" w:hAnsi="Helvetica"/>
                <w:color w:val="333333"/>
                <w:sz w:val="18"/>
              </w:rPr>
              <w:t>Dedicated 11-slide presentation deck focused on Milestone 4 &amp; dashboard.</w:t>
            </w:r>
          </w:p>
        </w:tc>
      </w:tr>
      <w:tr>
        <w:trPr>
          <w:cantSplit/>
        </w:trPr>
        <w:tc>
          <w:tcPr>
            <w:tcW w:type="dxa" w:w="3168"/>
            <w:tcMar>
              <w:top w:w="80" w:type="dxa"/>
              <w:bottom w:w="80" w:type="dxa"/>
              <w:left w:w="120" w:type="dxa"/>
              <w:right w:w="120" w:type="dxa"/>
            </w:tcMar>
            <w:shd w:fill="FFFFFF"/>
          </w:tcPr>
          <w:p>
            <w:r>
              <w:rPr>
                <w:rFonts w:ascii="Helvetica" w:hAnsi="Helvetica"/>
                <w:color w:val="333333"/>
                <w:sz w:val="18"/>
              </w:rPr>
              <w:t>Supportlytics_Master_Documentation.docx</w:t>
            </w:r>
          </w:p>
        </w:tc>
        <w:tc>
          <w:tcPr>
            <w:tcW w:type="dxa" w:w="2160"/>
            <w:tcMar>
              <w:top w:w="80" w:type="dxa"/>
              <w:bottom w:w="80" w:type="dxa"/>
              <w:left w:w="120" w:type="dxa"/>
              <w:right w:w="120" w:type="dxa"/>
            </w:tcMar>
            <w:shd w:fill="FFFFFF"/>
          </w:tcPr>
          <w:p>
            <w:r>
              <w:rPr>
                <w:rFonts w:ascii="Helvetica" w:hAnsi="Helvetica"/>
                <w:color w:val="333333"/>
                <w:sz w:val="18"/>
              </w:rPr>
              <w:t>Word Document</w:t>
            </w:r>
          </w:p>
        </w:tc>
        <w:tc>
          <w:tcPr>
            <w:tcW w:type="dxa" w:w="4032"/>
            <w:tcMar>
              <w:top w:w="80" w:type="dxa"/>
              <w:bottom w:w="80" w:type="dxa"/>
              <w:left w:w="120" w:type="dxa"/>
              <w:right w:w="120" w:type="dxa"/>
            </w:tcMar>
            <w:shd w:fill="FFFFFF"/>
          </w:tcPr>
          <w:p>
            <w:r>
              <w:rPr>
                <w:rFonts w:ascii="Helvetica" w:hAnsi="Helvetica"/>
                <w:color w:val="333333"/>
                <w:sz w:val="18"/>
              </w:rPr>
              <w:t>Master 17-section project documentation (this document).</w:t>
            </w:r>
          </w:p>
        </w:tc>
      </w:tr>
    </w:tbl>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