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37F8F">
      <w:pPr>
        <w:spacing w:after="1200"/>
      </w:pPr>
    </w:p>
    <w:p w14:paraId="07C536A8">
      <w:pPr>
        <w:spacing w:after="200"/>
        <w:jc w:val="center"/>
        <w:rPr>
          <w:color w:val="1F497D" w:themeColor="text2"/>
          <w:sz w:val="36"/>
          <w:szCs w:val="36"/>
          <w14:textFill>
            <w14:solidFill>
              <w14:schemeClr w14:val="tx2"/>
            </w14:solidFill>
          </w14:textFill>
        </w:rPr>
      </w:pPr>
      <w:r>
        <w:rPr>
          <w:b/>
          <w:bCs/>
          <w:color w:val="1F497D" w:themeColor="text2"/>
          <w:sz w:val="36"/>
          <w:szCs w:val="36"/>
          <w14:textFill>
            <w14:solidFill>
              <w14:schemeClr w14:val="tx2"/>
            </w14:solidFill>
          </w14:textFill>
        </w:rPr>
        <w:t>INTERNSHIP PROJECT REPORT</w:t>
      </w:r>
    </w:p>
    <w:p w14:paraId="4168AC9E">
      <w:pPr>
        <w:spacing w:after="200"/>
        <w:jc w:val="center"/>
      </w:pPr>
      <w:r>
        <w:rPr>
          <w:i/>
          <w:iCs/>
        </w:rPr>
        <w:t>on</w:t>
      </w:r>
    </w:p>
    <w:p w14:paraId="7BFD7F2B">
      <w:pPr>
        <w:spacing w:after="100"/>
        <w:jc w:val="center"/>
      </w:pPr>
      <w:r>
        <w:rPr>
          <w:b/>
          <w:bCs/>
          <w:sz w:val="32"/>
          <w:szCs w:val="32"/>
        </w:rPr>
        <w:t>Supportlytics</w:t>
      </w:r>
    </w:p>
    <w:p w14:paraId="508E35B7">
      <w:pPr>
        <w:spacing w:after="400"/>
        <w:jc w:val="center"/>
      </w:pPr>
      <w:r>
        <w:rPr>
          <w:i/>
          <w:iCs/>
        </w:rPr>
        <w:t>Optimizing IT Support Team Performance Using Analytics</w:t>
      </w:r>
    </w:p>
    <w:p w14:paraId="68D28842">
      <w:pPr>
        <w:spacing w:after="100"/>
        <w:jc w:val="center"/>
      </w:pPr>
      <w:r>
        <w:t>Submitted as part of</w:t>
      </w:r>
    </w:p>
    <w:p w14:paraId="7746FDD0">
      <w:pPr>
        <w:spacing w:after="300"/>
        <w:jc w:val="center"/>
      </w:pPr>
      <w:r>
        <w:rPr>
          <w:b/>
          <w:bCs/>
          <w:sz w:val="24"/>
          <w:szCs w:val="24"/>
        </w:rPr>
        <w:t>Infosys Springboard Virtual Internship 7.0 (Batch 1)</w:t>
      </w:r>
    </w:p>
    <w:p w14:paraId="4D219C11">
      <w:pPr>
        <w:spacing w:after="100"/>
        <w:jc w:val="center"/>
      </w:pPr>
      <w:r>
        <w:t>Submitted by</w:t>
      </w:r>
    </w:p>
    <w:p w14:paraId="23483476">
      <w:pPr>
        <w:spacing w:after="300"/>
        <w:jc w:val="center"/>
        <w:rPr>
          <w:rFonts w:hint="default"/>
          <w:b/>
          <w:bCs/>
          <w:lang w:val="en-US"/>
        </w:rPr>
      </w:pPr>
      <w:r>
        <w:rPr>
          <w:rFonts w:hint="default"/>
          <w:b/>
          <w:bCs/>
          <w:lang w:val="en-US"/>
        </w:rPr>
        <w:t>ALAVALA NEHA</w:t>
      </w:r>
    </w:p>
    <w:p w14:paraId="1BFDB356">
      <w:pPr>
        <w:spacing w:after="100"/>
        <w:jc w:val="center"/>
      </w:pPr>
      <w:r>
        <w:t>Under the Guidance of</w:t>
      </w:r>
    </w:p>
    <w:p w14:paraId="4DA3F298">
      <w:pPr>
        <w:spacing w:after="60"/>
        <w:jc w:val="center"/>
      </w:pPr>
      <w:r>
        <w:rPr>
          <w:b/>
          <w:bCs/>
          <w:sz w:val="24"/>
          <w:szCs w:val="24"/>
        </w:rPr>
        <w:t>Shanmukha Priya</w:t>
      </w:r>
    </w:p>
    <w:p w14:paraId="259E8B5C">
      <w:pPr>
        <w:spacing w:after="900"/>
        <w:jc w:val="center"/>
      </w:pPr>
      <w:r>
        <w:rPr>
          <w:i/>
          <w:iCs/>
          <w:sz w:val="22"/>
          <w:szCs w:val="22"/>
        </w:rPr>
        <w:t>Data Scientist, Infosys Springboard</w:t>
      </w:r>
    </w:p>
    <w:p w14:paraId="476CD253">
      <w:pPr>
        <w:spacing w:after="1200"/>
        <w:jc w:val="center"/>
      </w:pPr>
      <w:r>
        <w:t>Internship Duration:</w:t>
      </w:r>
      <w:r>
        <w:rPr>
          <w:rFonts w:hint="default"/>
          <w:lang w:val="en-US"/>
        </w:rPr>
        <w:t xml:space="preserve"> </w:t>
      </w:r>
      <w:r>
        <w:rPr>
          <w:sz w:val="22"/>
          <w:szCs w:val="22"/>
        </w:rPr>
        <w:t>19 June 2025 – 8 Weeks</w:t>
      </w:r>
    </w:p>
    <w:p w14:paraId="3BDA4796">
      <w:r>
        <w:br w:type="page"/>
      </w:r>
    </w:p>
    <w:p w14:paraId="5C7C992E">
      <w:pPr>
        <w:pStyle w:val="2"/>
        <w:spacing w:before="300" w:after="150"/>
      </w:pPr>
      <w:r>
        <w:t>Acknowledgement</w:t>
      </w:r>
    </w:p>
    <w:p w14:paraId="65ADF41C">
      <w:pPr>
        <w:spacing w:after="160"/>
      </w:pPr>
      <w:r>
        <w:t>I would like to express my sincere gratitude to</w:t>
      </w:r>
      <w:r>
        <w:rPr>
          <w:rFonts w:hint="default"/>
          <w:lang w:val="en-US"/>
        </w:rPr>
        <w:t xml:space="preserve"> </w:t>
      </w:r>
      <w:bookmarkStart w:id="0" w:name="_GoBack"/>
      <w:bookmarkEnd w:id="0"/>
      <w:r>
        <w:t xml:space="preserve">Infosys Springboard for providing me the opportunity to undertake this internship. I am especially thankful to my mentor, </w:t>
      </w:r>
      <w:r>
        <w:rPr>
          <w:rFonts w:hint="default"/>
          <w:b/>
          <w:bCs/>
          <w:lang w:val="en-US"/>
        </w:rPr>
        <w:t xml:space="preserve">Ms. </w:t>
      </w:r>
      <w:r>
        <w:rPr>
          <w:b/>
          <w:bCs/>
        </w:rPr>
        <w:t>Shanmukha Priya</w:t>
      </w:r>
      <w:r>
        <w:t>, Data Scientist, for continuous guidance, valuable feedback, and encouragement throughout the course of this project.</w:t>
      </w:r>
    </w:p>
    <w:p w14:paraId="2A0644BD">
      <w:pPr>
        <w:spacing w:after="160"/>
      </w:pPr>
      <w:r>
        <w:t>This internship gave me hands-on exposure to real-world data analytics workflows — from data cleaning and exploratory analysis to clustering, performance benchmarking, and dashboard development — and helped me strengthen my practical skills in Python, data visualization, and analytical thinking.</w:t>
      </w:r>
    </w:p>
    <w:p w14:paraId="2BAC0E3C">
      <w:r>
        <w:br w:type="page"/>
      </w:r>
    </w:p>
    <w:p w14:paraId="291D8E53">
      <w:pPr>
        <w:pStyle w:val="2"/>
        <w:spacing w:before="300" w:after="150"/>
      </w:pPr>
      <w:r>
        <w:t>Abstract</w:t>
      </w:r>
    </w:p>
    <w:p w14:paraId="33D8B0CD">
      <w:pPr>
        <w:spacing w:after="160"/>
      </w:pPr>
      <w:r>
        <w:t>Supportlytics is a data analytics project undertaken to optimize the performance of an IT support team by analyzing historical support ticket data. The project involved acquiring and cleaning a 12,000-record IT support ticket dataset, engineering features such as resolution duration and priority score, and performing exploratory data analysis to understand ticket volume, category, and priority trends.</w:t>
      </w:r>
    </w:p>
    <w:p w14:paraId="56EF7073">
      <w:pPr>
        <w:spacing w:after="160"/>
      </w:pPr>
      <w:r>
        <w:t>Cluster and similarity analysis was used to group tickets into 15 problem clusters (e.g., Login &amp; Access Failures, Application Crashes / Bugs, Network Connectivity Issues) and evaluate resolution consistency using similarity scores. Performance trend analysis compared resolution times across ticket priorities, types, teams, and countries to identify bottlenecks and high-priority unresolved issues. Geographic analysis mapped ticket concentration and category distribution across 15 countries and 3 regions (APAC, AMER, EMEA).</w:t>
      </w:r>
    </w:p>
    <w:p w14:paraId="1B1BD972">
      <w:pPr>
        <w:spacing w:after="160"/>
      </w:pPr>
      <w:r>
        <w:t>The findings were consolidated into a performance dashboard presenting key performance indicators — average resolution duration, most frequent categories, cluster similarity index, and SLA compliance by region — enabling data-driven recommendations for workflow and resource optimization.</w:t>
      </w:r>
    </w:p>
    <w:p w14:paraId="43FC865A">
      <w:r>
        <w:br w:type="page"/>
      </w:r>
    </w:p>
    <w:p w14:paraId="2087CD95">
      <w:pPr>
        <w:pStyle w:val="2"/>
        <w:spacing w:before="300" w:after="150"/>
      </w:pPr>
      <w:r>
        <w:t>1. Introduction</w:t>
      </w:r>
    </w:p>
    <w:p w14:paraId="0B3D6BC0">
      <w:pPr>
        <w:pStyle w:val="3"/>
        <w:spacing w:before="240" w:after="120"/>
      </w:pPr>
      <w:r>
        <w:t>1.1 Project Statement</w:t>
      </w:r>
    </w:p>
    <w:p w14:paraId="3EA5C23E">
      <w:pPr>
        <w:spacing w:after="160"/>
      </w:pPr>
      <w:r>
        <w:t>The objective of this project is to analyze IT support ticket data to identify key performance trends, optimize resolution times, and enhance service efficiency through data analysis and visualization. The goal is to uncover patterns in customer requests, technical issues, and support performance metrics to recommend improvements in workflow and resource allocation.</w:t>
      </w:r>
    </w:p>
    <w:p w14:paraId="6AE6BE3B">
      <w:pPr>
        <w:pStyle w:val="3"/>
        <w:spacing w:before="240" w:after="120"/>
      </w:pPr>
      <w:r>
        <w:t>1.2 Expected Outcomes</w:t>
      </w:r>
    </w:p>
    <w:p w14:paraId="6576CD76">
      <w:pPr>
        <w:pStyle w:val="18"/>
        <w:numPr>
          <w:ilvl w:val="0"/>
          <w:numId w:val="1"/>
        </w:numPr>
        <w:spacing w:after="80"/>
      </w:pPr>
      <w:r>
        <w:t>Understand and preprocess IT support ticket data for analysis.</w:t>
      </w:r>
    </w:p>
    <w:p w14:paraId="7AF955F6">
      <w:pPr>
        <w:pStyle w:val="18"/>
        <w:numPr>
          <w:ilvl w:val="0"/>
          <w:numId w:val="1"/>
        </w:numPr>
        <w:spacing w:after="80"/>
      </w:pPr>
      <w:r>
        <w:t>Explore trends in ticket volume, priority, resolution time, and category distribution.</w:t>
      </w:r>
    </w:p>
    <w:p w14:paraId="6E6E1CC3">
      <w:pPr>
        <w:pStyle w:val="18"/>
        <w:numPr>
          <w:ilvl w:val="0"/>
          <w:numId w:val="1"/>
        </w:numPr>
        <w:spacing w:after="80"/>
      </w:pPr>
      <w:r>
        <w:t>Identify clusters of similar issues using similarity scores and clustering techniques.</w:t>
      </w:r>
    </w:p>
    <w:p w14:paraId="56E3D731">
      <w:pPr>
        <w:pStyle w:val="18"/>
        <w:numPr>
          <w:ilvl w:val="0"/>
          <w:numId w:val="1"/>
        </w:numPr>
        <w:spacing w:after="80"/>
      </w:pPr>
      <w:r>
        <w:t>Visualize performance metrics through dashboards and charts.</w:t>
      </w:r>
    </w:p>
    <w:p w14:paraId="7619A34E">
      <w:pPr>
        <w:pStyle w:val="18"/>
        <w:numPr>
          <w:ilvl w:val="0"/>
          <w:numId w:val="1"/>
        </w:numPr>
        <w:spacing w:after="80"/>
      </w:pPr>
      <w:r>
        <w:t>Derive actionable insights to optimize IT support operations.</w:t>
      </w:r>
    </w:p>
    <w:p w14:paraId="0B942980">
      <w:pPr>
        <w:pStyle w:val="18"/>
        <w:numPr>
          <w:ilvl w:val="0"/>
          <w:numId w:val="1"/>
        </w:numPr>
        <w:spacing w:after="80"/>
      </w:pPr>
      <w:r>
        <w:t>Summarize findings in a final analytical report and presentation.</w:t>
      </w:r>
    </w:p>
    <w:p w14:paraId="74F5B0CC">
      <w:pPr>
        <w:pStyle w:val="3"/>
        <w:spacing w:before="240" w:after="120"/>
      </w:pPr>
      <w:r>
        <w:t>1.3 Tools &amp; Technologies Used</w:t>
      </w:r>
    </w:p>
    <w:p w14:paraId="6A80B93B">
      <w:pPr>
        <w:pStyle w:val="18"/>
        <w:numPr>
          <w:ilvl w:val="0"/>
          <w:numId w:val="1"/>
        </w:numPr>
        <w:spacing w:after="80"/>
      </w:pPr>
      <w:r>
        <w:t>Python — pandas, NumPy for data processing</w:t>
      </w:r>
    </w:p>
    <w:p w14:paraId="55F53C3E">
      <w:pPr>
        <w:pStyle w:val="18"/>
        <w:numPr>
          <w:ilvl w:val="0"/>
          <w:numId w:val="1"/>
        </w:numPr>
        <w:spacing w:after="80"/>
      </w:pPr>
      <w:r>
        <w:t>Matplotlib, Seaborn — statistical visualizations</w:t>
      </w:r>
    </w:p>
    <w:p w14:paraId="6058041F">
      <w:pPr>
        <w:pStyle w:val="18"/>
        <w:numPr>
          <w:ilvl w:val="0"/>
          <w:numId w:val="1"/>
        </w:numPr>
        <w:spacing w:after="80"/>
      </w:pPr>
      <w:r>
        <w:t>Geographic coordinates (Latitude/Longitude) — regional mapping</w:t>
      </w:r>
    </w:p>
    <w:p w14:paraId="5A6219A3">
      <w:pPr>
        <w:pStyle w:val="18"/>
        <w:numPr>
          <w:ilvl w:val="0"/>
          <w:numId w:val="1"/>
        </w:numPr>
        <w:spacing w:after="80"/>
      </w:pPr>
      <w:r>
        <w:t>Power BI / Streamlit — interactive dashboard development</w:t>
      </w:r>
    </w:p>
    <w:p w14:paraId="2996F0F8">
      <w:pPr>
        <w:pStyle w:val="18"/>
        <w:numPr>
          <w:ilvl w:val="0"/>
          <w:numId w:val="1"/>
        </w:numPr>
        <w:spacing w:after="80"/>
      </w:pPr>
      <w:r>
        <w:t>Jupyter Notebook — development environment</w:t>
      </w:r>
    </w:p>
    <w:p w14:paraId="23F15950">
      <w:pPr>
        <w:pStyle w:val="3"/>
        <w:spacing w:before="240" w:after="120"/>
      </w:pPr>
      <w:r>
        <w:t>1.4 Dataset Overview</w:t>
      </w:r>
    </w:p>
    <w:p w14:paraId="7FE3DB33">
      <w:pPr>
        <w:spacing w:after="160"/>
      </w:pPr>
      <w:r>
        <w:t>The project uses an internal IT support ticket dataset (IT_Support_Ticket_Dataset_Cleaned.csv) containing 12,000 tickets across 36 fields, including Ticket_Type, Priority, Category, Cluster_ID, Cluster_Name, Similarity_Score, Created_Date, Resolution_Date, Country, Region, Team, SLA_Status, Reopened, and Status.</w:t>
      </w:r>
    </w:p>
    <w:p w14:paraId="7551818F">
      <w:pPr>
        <w:spacing w:after="160"/>
      </w:pPr>
      <w:r>
        <w:t>Unlike a purely synthetic dataset, this one carries realistic data-quality gaps: 941 tickets (7.8%) have no Resolution_Date because they are still Open or In Progress, and the Customer_Satisfaction field is populated for only a small subset of tickets — so SLA_Status and Reopened were used as the primary performance/quality signals instead of customer satisfaction scores.</w:t>
      </w:r>
    </w:p>
    <w:p w14:paraId="054FF05E">
      <w:r>
        <w:br w:type="page"/>
      </w:r>
    </w:p>
    <w:p w14:paraId="01EC4C4E">
      <w:pPr>
        <w:pStyle w:val="2"/>
        <w:spacing w:before="300" w:after="150"/>
      </w:pPr>
      <w:r>
        <w:t>2. Milestone 1 (Week 1–2): Data Setup, Cleaning &amp; Feature Engineering</w:t>
      </w:r>
    </w:p>
    <w:p w14:paraId="505A2E50">
      <w:pPr>
        <w:pStyle w:val="3"/>
        <w:spacing w:before="240" w:after="120"/>
      </w:pPr>
      <w:r>
        <w:t>Module 1: Project Initialization and Dataset Setup</w:t>
      </w:r>
    </w:p>
    <w:p w14:paraId="1DCFD52E">
      <w:pPr>
        <w:spacing w:after="160"/>
      </w:pPr>
      <w:r>
        <w:t>The dataset was loaded using pandas and its schema, data types, and missing values were explored. Initial distributions of Ticket_Type, Priority, and Category were calculated to understand the composition of the raw data.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2A4E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3A55D535">
            <w:pPr>
              <w:spacing w:after="20"/>
            </w:pPr>
            <w:r>
              <w:rPr>
                <w:rFonts w:ascii="Consolas" w:hAnsi="Consolas" w:eastAsia="Consolas" w:cs="Consolas"/>
                <w:sz w:val="18"/>
                <w:szCs w:val="18"/>
              </w:rPr>
              <w:t>import pandas as pd</w:t>
            </w:r>
          </w:p>
          <w:p w14:paraId="05A2CD8D">
            <w:pPr>
              <w:spacing w:after="20"/>
            </w:pPr>
          </w:p>
          <w:p w14:paraId="651E557D">
            <w:pPr>
              <w:spacing w:after="20"/>
            </w:pPr>
            <w:r>
              <w:rPr>
                <w:rFonts w:ascii="Consolas" w:hAnsi="Consolas" w:eastAsia="Consolas" w:cs="Consolas"/>
                <w:sz w:val="18"/>
                <w:szCs w:val="18"/>
              </w:rPr>
              <w:t>df = pd.read_csv("IT_Support_Ticket_Dataset_Cleaned.csv")</w:t>
            </w:r>
          </w:p>
          <w:p w14:paraId="001E694A">
            <w:pPr>
              <w:spacing w:after="20"/>
            </w:pPr>
            <w:r>
              <w:rPr>
                <w:rFonts w:ascii="Consolas" w:hAnsi="Consolas" w:eastAsia="Consolas" w:cs="Consolas"/>
                <w:sz w:val="18"/>
                <w:szCs w:val="18"/>
              </w:rPr>
              <w:t>df.shape                      # (12000, 36) records</w:t>
            </w:r>
          </w:p>
          <w:p w14:paraId="25D7DF8A">
            <w:pPr>
              <w:spacing w:after="20"/>
            </w:pPr>
            <w:r>
              <w:rPr>
                <w:rFonts w:ascii="Consolas" w:hAnsi="Consolas" w:eastAsia="Consolas" w:cs="Consolas"/>
                <w:sz w:val="18"/>
                <w:szCs w:val="18"/>
              </w:rPr>
              <w:t>df.info()                     # schema &amp; dtypes</w:t>
            </w:r>
          </w:p>
          <w:p w14:paraId="416E4997">
            <w:pPr>
              <w:spacing w:after="20"/>
            </w:pPr>
            <w:r>
              <w:rPr>
                <w:rFonts w:ascii="Consolas" w:hAnsi="Consolas" w:eastAsia="Consolas" w:cs="Consolas"/>
                <w:sz w:val="18"/>
                <w:szCs w:val="18"/>
              </w:rPr>
              <w:t>df.isnull().sum()             # missing value check</w:t>
            </w:r>
          </w:p>
          <w:p w14:paraId="12931BF6">
            <w:pPr>
              <w:spacing w:after="20"/>
            </w:pPr>
            <w:r>
              <w:rPr>
                <w:rFonts w:ascii="Consolas" w:hAnsi="Consolas" w:eastAsia="Consolas" w:cs="Consolas"/>
                <w:sz w:val="18"/>
                <w:szCs w:val="18"/>
              </w:rPr>
              <w:t>df['Ticket_Type'].value_counts()</w:t>
            </w:r>
          </w:p>
          <w:p w14:paraId="2AB036AB">
            <w:pPr>
              <w:spacing w:after="20"/>
            </w:pPr>
            <w:r>
              <w:rPr>
                <w:rFonts w:ascii="Consolas" w:hAnsi="Consolas" w:eastAsia="Consolas" w:cs="Consolas"/>
                <w:sz w:val="18"/>
                <w:szCs w:val="18"/>
              </w:rPr>
              <w:t>df['Priority'].value_counts()</w:t>
            </w:r>
          </w:p>
          <w:p w14:paraId="0858C59F">
            <w:pPr>
              <w:spacing w:after="20"/>
            </w:pPr>
            <w:r>
              <w:rPr>
                <w:rFonts w:ascii="Consolas" w:hAnsi="Consolas" w:eastAsia="Consolas" w:cs="Consolas"/>
                <w:sz w:val="18"/>
                <w:szCs w:val="18"/>
              </w:rPr>
              <w:t>df['Category'].value_counts()</w:t>
            </w:r>
          </w:p>
        </w:tc>
      </w:tr>
    </w:tbl>
    <w:p w14:paraId="71FB8726">
      <w:pPr>
        <w:spacing w:after="1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0887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AF3EA"/>
            <w:tcMar>
              <w:top w:w="140" w:type="dxa"/>
              <w:left w:w="180" w:type="dxa"/>
              <w:bottom w:w="140" w:type="dxa"/>
              <w:right w:w="180" w:type="dxa"/>
            </w:tcMar>
          </w:tcPr>
          <w:p w14:paraId="1ADA67E1">
            <w:r>
              <w:rPr>
                <w:b/>
                <w:bCs/>
              </w:rPr>
              <w:t xml:space="preserve">Key finding: </w:t>
            </w:r>
            <w:r>
              <w:t>The dataset consists of 12,000 tickets spanning four ticket types — Incident (5,415), Request (4,122), Problem (1,819), and Change (644) — with no missing values in the core categorical columns. The only nulls occur in Resolution_Date / Resolution_Duration (941 rows) and Customer_Satisfaction, both explained by tickets that are not yet closed.</w:t>
            </w:r>
          </w:p>
        </w:tc>
      </w:tr>
    </w:tbl>
    <w:p w14:paraId="404CADDE">
      <w:pPr>
        <w:pStyle w:val="3"/>
        <w:spacing w:before="240" w:after="120"/>
      </w:pPr>
      <w:r>
        <w:t>Module 2: Data Cleaning and Feature Engineering</w:t>
      </w:r>
    </w:p>
    <w:p w14:paraId="3DAC1C07">
      <w:pPr>
        <w:spacing w:after="160"/>
      </w:pPr>
      <w:r>
        <w:t>Text fields were stripped of whitespace, duplicate records were checked, and date columns were converted to proper datetime format. Two engineered features were central to the analysis:</w:t>
      </w:r>
    </w:p>
    <w:p w14:paraId="0F3D8E24">
      <w:pPr>
        <w:pStyle w:val="18"/>
        <w:numPr>
          <w:ilvl w:val="0"/>
          <w:numId w:val="1"/>
        </w:numPr>
        <w:spacing w:after="80"/>
      </w:pPr>
      <w:r>
        <w:t>Resolution_Duration — Resolution_Date minus Created_Date, in days (already provided in the source data and validated).</w:t>
      </w:r>
    </w:p>
    <w:p w14:paraId="2CAB1435">
      <w:pPr>
        <w:pStyle w:val="18"/>
        <w:numPr>
          <w:ilvl w:val="0"/>
          <w:numId w:val="1"/>
        </w:numPr>
        <w:spacing w:after="80"/>
      </w:pPr>
      <w:r>
        <w:t>Priority_Score — an ordinal encoding of Priority (Low=1, Medium=2, High=3, Critical=4) to support quantitative comparison (already provided in the source data and validated).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73C2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58841532">
            <w:pPr>
              <w:spacing w:after="20"/>
            </w:pPr>
            <w:r>
              <w:rPr>
                <w:rFonts w:ascii="Consolas" w:hAnsi="Consolas" w:eastAsia="Consolas" w:cs="Consolas"/>
                <w:sz w:val="18"/>
                <w:szCs w:val="18"/>
              </w:rPr>
              <w:t>text_columns = df.select_dtypes(include='object').columns</w:t>
            </w:r>
          </w:p>
          <w:p w14:paraId="559A566A">
            <w:pPr>
              <w:spacing w:after="20"/>
            </w:pPr>
            <w:r>
              <w:rPr>
                <w:rFonts w:ascii="Consolas" w:hAnsi="Consolas" w:eastAsia="Consolas" w:cs="Consolas"/>
                <w:sz w:val="18"/>
                <w:szCs w:val="18"/>
              </w:rPr>
              <w:t>for col in text_columns:</w:t>
            </w:r>
          </w:p>
          <w:p w14:paraId="4B49D876">
            <w:pPr>
              <w:spacing w:after="20"/>
            </w:pPr>
            <w:r>
              <w:rPr>
                <w:rFonts w:ascii="Consolas" w:hAnsi="Consolas" w:eastAsia="Consolas" w:cs="Consolas"/>
                <w:sz w:val="18"/>
                <w:szCs w:val="18"/>
              </w:rPr>
              <w:t xml:space="preserve">    df[col] = df[col].str.strip()</w:t>
            </w:r>
          </w:p>
          <w:p w14:paraId="08B25529">
            <w:pPr>
              <w:spacing w:after="20"/>
            </w:pPr>
          </w:p>
          <w:p w14:paraId="17413DE4">
            <w:pPr>
              <w:spacing w:after="20"/>
            </w:pPr>
            <w:r>
              <w:rPr>
                <w:rFonts w:ascii="Consolas" w:hAnsi="Consolas" w:eastAsia="Consolas" w:cs="Consolas"/>
                <w:sz w:val="18"/>
                <w:szCs w:val="18"/>
              </w:rPr>
              <w:t>df['Created_Date'] = pd.to_datetime(df['Created_Date'])</w:t>
            </w:r>
          </w:p>
          <w:p w14:paraId="5F946B4F">
            <w:pPr>
              <w:spacing w:after="20"/>
            </w:pPr>
            <w:r>
              <w:rPr>
                <w:rFonts w:ascii="Consolas" w:hAnsi="Consolas" w:eastAsia="Consolas" w:cs="Consolas"/>
                <w:sz w:val="18"/>
                <w:szCs w:val="18"/>
              </w:rPr>
              <w:t>df['Resolution_Date'] = pd.to_datetime(df['Resolution_Date'])</w:t>
            </w:r>
          </w:p>
          <w:p w14:paraId="15748D5B">
            <w:pPr>
              <w:spacing w:after="20"/>
            </w:pPr>
          </w:p>
          <w:p w14:paraId="4DCFCFF9">
            <w:pPr>
              <w:spacing w:after="20"/>
            </w:pPr>
            <w:r>
              <w:rPr>
                <w:rFonts w:ascii="Consolas" w:hAnsi="Consolas" w:eastAsia="Consolas" w:cs="Consolas"/>
                <w:sz w:val="18"/>
                <w:szCs w:val="18"/>
              </w:rPr>
              <w:t>priority_map = {'Low': 1, 'Medium': 2, 'High': 3, 'Critical': 4}</w:t>
            </w:r>
          </w:p>
          <w:p w14:paraId="2DF1C38B">
            <w:pPr>
              <w:spacing w:after="20"/>
            </w:pPr>
            <w:r>
              <w:rPr>
                <w:rFonts w:ascii="Consolas" w:hAnsi="Consolas" w:eastAsia="Consolas" w:cs="Consolas"/>
                <w:sz w:val="18"/>
                <w:szCs w:val="18"/>
              </w:rPr>
              <w:t>assert (df['Priority'].map(priority_map) == df['Priority_Score']).all()</w:t>
            </w:r>
          </w:p>
          <w:p w14:paraId="161FB308">
            <w:pPr>
              <w:spacing w:after="20"/>
            </w:pPr>
          </w:p>
          <w:p w14:paraId="0C32F0F2">
            <w:pPr>
              <w:spacing w:after="20"/>
            </w:pPr>
            <w:r>
              <w:rPr>
                <w:rFonts w:ascii="Consolas" w:hAnsi="Consolas" w:eastAsia="Consolas" w:cs="Consolas"/>
                <w:sz w:val="18"/>
                <w:szCs w:val="18"/>
              </w:rPr>
              <w:t>df.to_csv('support_tickets_processed.csv', index=False)</w:t>
            </w:r>
          </w:p>
        </w:tc>
      </w:tr>
    </w:tbl>
    <w:p w14:paraId="74213D55">
      <w:pPr>
        <w:spacing w:after="160"/>
      </w:pPr>
    </w:p>
    <w:p w14:paraId="1BF72B14">
      <w:pPr>
        <w:spacing w:after="160"/>
      </w:pPr>
      <w:r>
        <w:rPr>
          <w:i/>
          <w:iCs/>
        </w:rPr>
        <w:t>Deliverables: A cleaned, validated dataset with confirmed Resolution_Duration and Priority_Score columns, ready for exploratory and cluster analysis.</w:t>
      </w:r>
    </w:p>
    <w:p w14:paraId="4560AFD0">
      <w:r>
        <w:br w:type="page"/>
      </w:r>
    </w:p>
    <w:p w14:paraId="197EFC35">
      <w:pPr>
        <w:pStyle w:val="2"/>
        <w:spacing w:before="300" w:after="150"/>
      </w:pPr>
      <w:r>
        <w:t>3. Milestone 2 (Week 3–4): Exploratory &amp; Cluster Analysis</w:t>
      </w:r>
    </w:p>
    <w:p w14:paraId="5D14D1C8">
      <w:pPr>
        <w:pStyle w:val="3"/>
        <w:spacing w:before="240" w:after="120"/>
      </w:pPr>
      <w:r>
        <w:t>Module 3: Exploratory Visualization</w:t>
      </w:r>
    </w:p>
    <w:p w14:paraId="39C38849">
      <w:pPr>
        <w:spacing w:after="160"/>
      </w:pPr>
      <w:r>
        <w:t>Ticket type distribution, top issue categories, and priority distribution across support teams were visualized to establish a baseline understanding of workload composition.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6781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24157AA0">
            <w:pPr>
              <w:spacing w:after="20"/>
            </w:pPr>
            <w:r>
              <w:rPr>
                <w:rFonts w:ascii="Consolas" w:hAnsi="Consolas" w:eastAsia="Consolas" w:cs="Consolas"/>
                <w:sz w:val="18"/>
                <w:szCs w:val="18"/>
              </w:rPr>
              <w:t>type_counts = df['Ticket_Type'].value_counts()</w:t>
            </w:r>
          </w:p>
          <w:p w14:paraId="5152E418">
            <w:pPr>
              <w:spacing w:after="20"/>
            </w:pPr>
            <w:r>
              <w:rPr>
                <w:rFonts w:ascii="Consolas" w:hAnsi="Consolas" w:eastAsia="Consolas" w:cs="Consolas"/>
                <w:sz w:val="18"/>
                <w:szCs w:val="18"/>
              </w:rPr>
              <w:t>sns.barplot(x=type_counts.index, y=type_counts.values, palette='Blues_r')</w:t>
            </w:r>
          </w:p>
          <w:p w14:paraId="33508B54">
            <w:pPr>
              <w:spacing w:after="20"/>
            </w:pPr>
          </w:p>
          <w:p w14:paraId="32CD7D94">
            <w:pPr>
              <w:spacing w:after="20"/>
            </w:pPr>
            <w:r>
              <w:rPr>
                <w:rFonts w:ascii="Consolas" w:hAnsi="Consolas" w:eastAsia="Consolas" w:cs="Consolas"/>
                <w:sz w:val="18"/>
                <w:szCs w:val="18"/>
              </w:rPr>
              <w:t>top_categories = df['Category'].value_counts()</w:t>
            </w:r>
          </w:p>
          <w:p w14:paraId="032C0049">
            <w:pPr>
              <w:spacing w:after="20"/>
            </w:pPr>
            <w:r>
              <w:rPr>
                <w:rFonts w:ascii="Consolas" w:hAnsi="Consolas" w:eastAsia="Consolas" w:cs="Consolas"/>
                <w:sz w:val="18"/>
                <w:szCs w:val="18"/>
              </w:rPr>
              <w:t>sns.barplot(y=top_categories.index, x=top_categories.values, palette='viridis')</w:t>
            </w:r>
          </w:p>
          <w:p w14:paraId="2F9AC7F2">
            <w:pPr>
              <w:spacing w:after="20"/>
            </w:pPr>
          </w:p>
          <w:p w14:paraId="510C430A">
            <w:pPr>
              <w:spacing w:after="20"/>
            </w:pPr>
            <w:r>
              <w:rPr>
                <w:rFonts w:ascii="Consolas" w:hAnsi="Consolas" w:eastAsia="Consolas" w:cs="Consolas"/>
                <w:sz w:val="18"/>
                <w:szCs w:val="18"/>
              </w:rPr>
              <w:t>sns.countplot(data=df, x='Team', hue='Priority')   # priority by team</w:t>
            </w:r>
          </w:p>
        </w:tc>
      </w:tr>
    </w:tbl>
    <w:p w14:paraId="1E9F1D31">
      <w:pPr>
        <w:spacing w:after="160"/>
      </w:pPr>
    </w:p>
    <w:p w14:paraId="465B29F7">
      <w:pPr>
        <w:spacing w:after="80"/>
      </w:pPr>
      <w:r>
        <w:drawing>
          <wp:inline distT="0" distB="0" distL="0" distR="0">
            <wp:extent cx="4095750" cy="273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095750" cy="2733675"/>
                    </a:xfrm>
                    <a:prstGeom prst="rect">
                      <a:avLst/>
                    </a:prstGeom>
                  </pic:spPr>
                </pic:pic>
              </a:graphicData>
            </a:graphic>
          </wp:inline>
        </w:drawing>
      </w:r>
    </w:p>
    <w:p w14:paraId="5376F60E">
      <w:pPr>
        <w:spacing w:after="240"/>
        <w:jc w:val="left"/>
      </w:pPr>
      <w:r>
        <w:rPr>
          <w:i/>
          <w:iCs/>
          <w:color w:val="444444"/>
          <w:sz w:val="20"/>
          <w:szCs w:val="20"/>
        </w:rPr>
        <w:t>Fig 3.1: Ticket Volume Distribution by Ticket Type — Incidents dominate with 5,415 tickets, followed by Requests (4,122), Problems (1,819), and Changes (644).</w:t>
      </w:r>
    </w:p>
    <w:p w14:paraId="71F5ED84">
      <w:pPr>
        <w:spacing w:after="80"/>
      </w:pPr>
      <w:r>
        <w:drawing>
          <wp:inline distT="0" distB="0" distL="0" distR="0">
            <wp:extent cx="4381500" cy="2828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381500" cy="2828925"/>
                    </a:xfrm>
                    <a:prstGeom prst="rect">
                      <a:avLst/>
                    </a:prstGeom>
                  </pic:spPr>
                </pic:pic>
              </a:graphicData>
            </a:graphic>
          </wp:inline>
        </w:drawing>
      </w:r>
    </w:p>
    <w:p w14:paraId="23AFD37F">
      <w:pPr>
        <w:spacing w:after="240"/>
        <w:jc w:val="left"/>
      </w:pPr>
      <w:r>
        <w:rPr>
          <w:i/>
          <w:iCs/>
          <w:color w:val="444444"/>
          <w:sz w:val="20"/>
          <w:szCs w:val="20"/>
        </w:rPr>
        <w:t>Fig 3.2: Support Categories by Ticket Frequency — Access Management is the largest category (1,959 tickets, 16.3% of all tickets), followed by Performance (1,727) and Integration (1,669).</w:t>
      </w:r>
    </w:p>
    <w:p w14:paraId="0238C97B">
      <w:pPr>
        <w:spacing w:after="80"/>
      </w:pPr>
      <w:r>
        <w:drawing>
          <wp:inline distT="0" distB="0" distL="0" distR="0">
            <wp:extent cx="45720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572000" cy="2828925"/>
                    </a:xfrm>
                    <a:prstGeom prst="rect">
                      <a:avLst/>
                    </a:prstGeom>
                  </pic:spPr>
                </pic:pic>
              </a:graphicData>
            </a:graphic>
          </wp:inline>
        </w:drawing>
      </w:r>
    </w:p>
    <w:p w14:paraId="435CCD35">
      <w:pPr>
        <w:spacing w:after="240"/>
        <w:jc w:val="left"/>
      </w:pPr>
      <w:r>
        <w:rPr>
          <w:i/>
          <w:iCs/>
          <w:color w:val="444444"/>
          <w:sz w:val="20"/>
          <w:szCs w:val="20"/>
        </w:rPr>
        <w:t>Fig 3.3: Ticket Priority Distribution Across Support Teams — App Support and Security Team carry the highest overall ticket volumes across all priority levels.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D24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AF3EA"/>
            <w:tcMar>
              <w:top w:w="140" w:type="dxa"/>
              <w:left w:w="180" w:type="dxa"/>
              <w:bottom w:w="140" w:type="dxa"/>
              <w:right w:w="180" w:type="dxa"/>
            </w:tcMar>
          </w:tcPr>
          <w:p w14:paraId="06A2BA87">
            <w:r>
              <w:rPr>
                <w:b/>
                <w:bCs/>
              </w:rPr>
              <w:t xml:space="preserve">Key finding: </w:t>
            </w:r>
            <w:r>
              <w:t>Incidents make up 45.1% of ticket volume, making incident-handling efficiency a key lever for overall performance. Access Management is the single largest category at 16.3% of all tickets, ahead of Performance and Integration issues.</w:t>
            </w:r>
          </w:p>
        </w:tc>
      </w:tr>
    </w:tbl>
    <w:p w14:paraId="16B5EC5D">
      <w:pPr>
        <w:pStyle w:val="3"/>
        <w:spacing w:before="240" w:after="120"/>
      </w:pPr>
      <w:r>
        <w:t>Module 4: Similarity and Cluster Insights</w:t>
      </w:r>
    </w:p>
    <w:p w14:paraId="52FF6317">
      <w:pPr>
        <w:spacing w:after="160"/>
      </w:pPr>
      <w:r>
        <w:t>Tickets were grouped by Cluster_Name to study cluster size and average similarity score, indicating how consistently similar issues within a cluster were classified. Boxplots, bar charts, and a violin plot were used to analyze cluster quality and performance gaps.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6E46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273DEFD1">
            <w:pPr>
              <w:spacing w:after="20"/>
            </w:pPr>
            <w:r>
              <w:rPr>
                <w:rFonts w:ascii="Consolas" w:hAnsi="Consolas" w:eastAsia="Consolas" w:cs="Consolas"/>
                <w:sz w:val="18"/>
                <w:szCs w:val="18"/>
              </w:rPr>
              <w:t>similarity_summary = df.groupby('Cluster_Name').agg(</w:t>
            </w:r>
          </w:p>
          <w:p w14:paraId="31ACF71B">
            <w:pPr>
              <w:spacing w:after="20"/>
            </w:pPr>
            <w:r>
              <w:rPr>
                <w:rFonts w:ascii="Consolas" w:hAnsi="Consolas" w:eastAsia="Consolas" w:cs="Consolas"/>
                <w:sz w:val="18"/>
                <w:szCs w:val="18"/>
              </w:rPr>
              <w:t xml:space="preserve">    Ticket_Count=('Ticket_ID', 'count'),</w:t>
            </w:r>
          </w:p>
          <w:p w14:paraId="7686BB89">
            <w:pPr>
              <w:spacing w:after="20"/>
            </w:pPr>
            <w:r>
              <w:rPr>
                <w:rFonts w:ascii="Consolas" w:hAnsi="Consolas" w:eastAsia="Consolas" w:cs="Consolas"/>
                <w:sz w:val="18"/>
                <w:szCs w:val="18"/>
              </w:rPr>
              <w:t xml:space="preserve">    Average_Similarity=('Similarity_Score', 'mean'),</w:t>
            </w:r>
          </w:p>
          <w:p w14:paraId="56955774">
            <w:pPr>
              <w:spacing w:after="20"/>
            </w:pPr>
            <w:r>
              <w:rPr>
                <w:rFonts w:ascii="Consolas" w:hAnsi="Consolas" w:eastAsia="Consolas" w:cs="Consolas"/>
                <w:sz w:val="18"/>
                <w:szCs w:val="18"/>
              </w:rPr>
              <w:t xml:space="preserve">    Median_Similarity=('Similarity_Score', 'median'))</w:t>
            </w:r>
          </w:p>
          <w:p w14:paraId="5C1CA386">
            <w:pPr>
              <w:spacing w:after="20"/>
            </w:pPr>
          </w:p>
          <w:p w14:paraId="744A097E">
            <w:pPr>
              <w:spacing w:after="20"/>
            </w:pPr>
            <w:r>
              <w:rPr>
                <w:rFonts w:ascii="Consolas" w:hAnsi="Consolas" w:eastAsia="Consolas" w:cs="Consolas"/>
                <w:sz w:val="18"/>
                <w:szCs w:val="18"/>
              </w:rPr>
              <w:t>sns.boxplot(data=df, y='Cluster_Name', x='Similarity_Score')   # spread by cluster</w:t>
            </w:r>
          </w:p>
          <w:p w14:paraId="31521DF2">
            <w:pPr>
              <w:spacing w:after="20"/>
            </w:pPr>
            <w:r>
              <w:rPr>
                <w:rFonts w:ascii="Consolas" w:hAnsi="Consolas" w:eastAsia="Consolas" w:cs="Consolas"/>
                <w:sz w:val="18"/>
                <w:szCs w:val="18"/>
              </w:rPr>
              <w:t>sns.violinplot(data=df, x='Priority', y='Similarity_Score')    # score vs priority</w:t>
            </w:r>
          </w:p>
        </w:tc>
      </w:tr>
    </w:tbl>
    <w:p w14:paraId="29328615">
      <w:pPr>
        <w:spacing w:after="1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800"/>
        <w:gridCol w:w="1600"/>
        <w:gridCol w:w="1400"/>
      </w:tblGrid>
      <w:tr w14:paraId="2A47F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shd w:val="clear" w:color="auto" w:fill="1F4E78"/>
            <w:tcMar>
              <w:top w:w="80" w:type="dxa"/>
              <w:left w:w="100" w:type="dxa"/>
              <w:bottom w:w="80" w:type="dxa"/>
              <w:right w:w="100" w:type="dxa"/>
            </w:tcMar>
          </w:tcPr>
          <w:p w14:paraId="77D0E311">
            <w:r>
              <w:rPr>
                <w:b/>
                <w:bCs/>
                <w:color w:val="FFFFFF"/>
                <w:sz w:val="19"/>
                <w:szCs w:val="19"/>
              </w:rPr>
              <w:t>Cluster Name</w:t>
            </w:r>
          </w:p>
        </w:tc>
        <w:tc>
          <w:tcPr>
            <w:tcW w:w="1800" w:type="dxa"/>
            <w:shd w:val="clear" w:color="auto" w:fill="1F4E78"/>
            <w:tcMar>
              <w:top w:w="80" w:type="dxa"/>
              <w:left w:w="100" w:type="dxa"/>
              <w:bottom w:w="80" w:type="dxa"/>
              <w:right w:w="100" w:type="dxa"/>
            </w:tcMar>
          </w:tcPr>
          <w:p w14:paraId="276FE67C">
            <w:r>
              <w:rPr>
                <w:b/>
                <w:bCs/>
                <w:color w:val="FFFFFF"/>
                <w:sz w:val="19"/>
                <w:szCs w:val="19"/>
              </w:rPr>
              <w:t>Tickets</w:t>
            </w:r>
          </w:p>
        </w:tc>
        <w:tc>
          <w:tcPr>
            <w:tcW w:w="1600" w:type="dxa"/>
            <w:shd w:val="clear" w:color="auto" w:fill="1F4E78"/>
            <w:tcMar>
              <w:top w:w="80" w:type="dxa"/>
              <w:left w:w="100" w:type="dxa"/>
              <w:bottom w:w="80" w:type="dxa"/>
              <w:right w:w="100" w:type="dxa"/>
            </w:tcMar>
          </w:tcPr>
          <w:p w14:paraId="7E191CFC">
            <w:r>
              <w:rPr>
                <w:b/>
                <w:bCs/>
                <w:color w:val="FFFFFF"/>
                <w:sz w:val="19"/>
                <w:szCs w:val="19"/>
              </w:rPr>
              <w:t>Avg. Similarity</w:t>
            </w:r>
          </w:p>
        </w:tc>
        <w:tc>
          <w:tcPr>
            <w:tcW w:w="1400" w:type="dxa"/>
            <w:shd w:val="clear" w:color="auto" w:fill="1F4E78"/>
            <w:tcMar>
              <w:top w:w="80" w:type="dxa"/>
              <w:left w:w="100" w:type="dxa"/>
              <w:bottom w:w="80" w:type="dxa"/>
              <w:right w:w="100" w:type="dxa"/>
            </w:tcMar>
          </w:tcPr>
          <w:p w14:paraId="3D692A6F">
            <w:r>
              <w:rPr>
                <w:b/>
                <w:bCs/>
                <w:color w:val="FFFFFF"/>
                <w:sz w:val="19"/>
                <w:szCs w:val="19"/>
              </w:rPr>
              <w:t>Median</w:t>
            </w:r>
          </w:p>
        </w:tc>
      </w:tr>
      <w:tr w14:paraId="08D07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60" w:type="dxa"/>
              <w:left w:w="100" w:type="dxa"/>
              <w:bottom w:w="60" w:type="dxa"/>
              <w:right w:w="100" w:type="dxa"/>
            </w:tcMar>
          </w:tcPr>
          <w:p w14:paraId="158856BE">
            <w:r>
              <w:rPr>
                <w:sz w:val="19"/>
                <w:szCs w:val="19"/>
              </w:rPr>
              <w:t>Login &amp; Access Failures</w:t>
            </w:r>
          </w:p>
        </w:tc>
        <w:tc>
          <w:tcPr>
            <w:tcW w:w="1800" w:type="dxa"/>
            <w:shd w:val="clear" w:color="auto" w:fill="FFFFFF"/>
            <w:tcMar>
              <w:top w:w="60" w:type="dxa"/>
              <w:left w:w="100" w:type="dxa"/>
              <w:bottom w:w="60" w:type="dxa"/>
              <w:right w:w="100" w:type="dxa"/>
            </w:tcMar>
          </w:tcPr>
          <w:p w14:paraId="70017C70">
            <w:r>
              <w:rPr>
                <w:sz w:val="19"/>
                <w:szCs w:val="19"/>
              </w:rPr>
              <w:t>1,354</w:t>
            </w:r>
          </w:p>
        </w:tc>
        <w:tc>
          <w:tcPr>
            <w:tcW w:w="1600" w:type="dxa"/>
            <w:shd w:val="clear" w:color="auto" w:fill="FFFFFF"/>
            <w:tcMar>
              <w:top w:w="60" w:type="dxa"/>
              <w:left w:w="100" w:type="dxa"/>
              <w:bottom w:w="60" w:type="dxa"/>
              <w:right w:w="100" w:type="dxa"/>
            </w:tcMar>
          </w:tcPr>
          <w:p w14:paraId="699913DD">
            <w:r>
              <w:rPr>
                <w:sz w:val="19"/>
                <w:szCs w:val="19"/>
              </w:rPr>
              <w:t>0.575</w:t>
            </w:r>
          </w:p>
        </w:tc>
        <w:tc>
          <w:tcPr>
            <w:tcW w:w="1400" w:type="dxa"/>
            <w:shd w:val="clear" w:color="auto" w:fill="FFFFFF"/>
            <w:tcMar>
              <w:top w:w="60" w:type="dxa"/>
              <w:left w:w="100" w:type="dxa"/>
              <w:bottom w:w="60" w:type="dxa"/>
              <w:right w:w="100" w:type="dxa"/>
            </w:tcMar>
          </w:tcPr>
          <w:p w14:paraId="73809391">
            <w:r>
              <w:rPr>
                <w:sz w:val="19"/>
                <w:szCs w:val="19"/>
              </w:rPr>
              <w:t>0.57</w:t>
            </w:r>
          </w:p>
        </w:tc>
      </w:tr>
      <w:tr w14:paraId="0887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6FA"/>
            <w:tcMar>
              <w:top w:w="60" w:type="dxa"/>
              <w:left w:w="100" w:type="dxa"/>
              <w:bottom w:w="60" w:type="dxa"/>
              <w:right w:w="100" w:type="dxa"/>
            </w:tcMar>
          </w:tcPr>
          <w:p w14:paraId="671F9EBB">
            <w:r>
              <w:rPr>
                <w:sz w:val="19"/>
                <w:szCs w:val="19"/>
              </w:rPr>
              <w:t>Application Crashes / Bugs</w:t>
            </w:r>
          </w:p>
        </w:tc>
        <w:tc>
          <w:tcPr>
            <w:tcW w:w="1800" w:type="dxa"/>
            <w:shd w:val="clear" w:color="auto" w:fill="F2F6FA"/>
            <w:tcMar>
              <w:top w:w="60" w:type="dxa"/>
              <w:left w:w="100" w:type="dxa"/>
              <w:bottom w:w="60" w:type="dxa"/>
              <w:right w:w="100" w:type="dxa"/>
            </w:tcMar>
          </w:tcPr>
          <w:p w14:paraId="6CFEC9C4">
            <w:r>
              <w:rPr>
                <w:sz w:val="19"/>
                <w:szCs w:val="19"/>
              </w:rPr>
              <w:t>1,263</w:t>
            </w:r>
          </w:p>
        </w:tc>
        <w:tc>
          <w:tcPr>
            <w:tcW w:w="1600" w:type="dxa"/>
            <w:shd w:val="clear" w:color="auto" w:fill="F2F6FA"/>
            <w:tcMar>
              <w:top w:w="60" w:type="dxa"/>
              <w:left w:w="100" w:type="dxa"/>
              <w:bottom w:w="60" w:type="dxa"/>
              <w:right w:w="100" w:type="dxa"/>
            </w:tcMar>
          </w:tcPr>
          <w:p w14:paraId="428F97B7">
            <w:r>
              <w:rPr>
                <w:sz w:val="19"/>
                <w:szCs w:val="19"/>
              </w:rPr>
              <w:t>0.700</w:t>
            </w:r>
          </w:p>
        </w:tc>
        <w:tc>
          <w:tcPr>
            <w:tcW w:w="1400" w:type="dxa"/>
            <w:shd w:val="clear" w:color="auto" w:fill="F2F6FA"/>
            <w:tcMar>
              <w:top w:w="60" w:type="dxa"/>
              <w:left w:w="100" w:type="dxa"/>
              <w:bottom w:w="60" w:type="dxa"/>
              <w:right w:w="100" w:type="dxa"/>
            </w:tcMar>
          </w:tcPr>
          <w:p w14:paraId="2E6EB800">
            <w:r>
              <w:rPr>
                <w:sz w:val="19"/>
                <w:szCs w:val="19"/>
              </w:rPr>
              <w:t>0.70</w:t>
            </w:r>
          </w:p>
        </w:tc>
      </w:tr>
      <w:tr w14:paraId="766D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60" w:type="dxa"/>
              <w:left w:w="100" w:type="dxa"/>
              <w:bottom w:w="60" w:type="dxa"/>
              <w:right w:w="100" w:type="dxa"/>
            </w:tcMar>
          </w:tcPr>
          <w:p w14:paraId="584FFF78">
            <w:r>
              <w:rPr>
                <w:sz w:val="19"/>
                <w:szCs w:val="19"/>
              </w:rPr>
              <w:t>Network Connectivity Issues</w:t>
            </w:r>
          </w:p>
        </w:tc>
        <w:tc>
          <w:tcPr>
            <w:tcW w:w="1800" w:type="dxa"/>
            <w:shd w:val="clear" w:color="auto" w:fill="FFFFFF"/>
            <w:tcMar>
              <w:top w:w="60" w:type="dxa"/>
              <w:left w:w="100" w:type="dxa"/>
              <w:bottom w:w="60" w:type="dxa"/>
              <w:right w:w="100" w:type="dxa"/>
            </w:tcMar>
          </w:tcPr>
          <w:p w14:paraId="2926453B">
            <w:r>
              <w:rPr>
                <w:sz w:val="19"/>
                <w:szCs w:val="19"/>
              </w:rPr>
              <w:t>1,197</w:t>
            </w:r>
          </w:p>
        </w:tc>
        <w:tc>
          <w:tcPr>
            <w:tcW w:w="1600" w:type="dxa"/>
            <w:shd w:val="clear" w:color="auto" w:fill="FFFFFF"/>
            <w:tcMar>
              <w:top w:w="60" w:type="dxa"/>
              <w:left w:w="100" w:type="dxa"/>
              <w:bottom w:w="60" w:type="dxa"/>
              <w:right w:w="100" w:type="dxa"/>
            </w:tcMar>
          </w:tcPr>
          <w:p w14:paraId="25506F3B">
            <w:r>
              <w:rPr>
                <w:sz w:val="19"/>
                <w:szCs w:val="19"/>
              </w:rPr>
              <w:t>0.608</w:t>
            </w:r>
          </w:p>
        </w:tc>
        <w:tc>
          <w:tcPr>
            <w:tcW w:w="1400" w:type="dxa"/>
            <w:shd w:val="clear" w:color="auto" w:fill="FFFFFF"/>
            <w:tcMar>
              <w:top w:w="60" w:type="dxa"/>
              <w:left w:w="100" w:type="dxa"/>
              <w:bottom w:w="60" w:type="dxa"/>
              <w:right w:w="100" w:type="dxa"/>
            </w:tcMar>
          </w:tcPr>
          <w:p w14:paraId="0E03EEB4">
            <w:r>
              <w:rPr>
                <w:sz w:val="19"/>
                <w:szCs w:val="19"/>
              </w:rPr>
              <w:t>0.61</w:t>
            </w:r>
          </w:p>
        </w:tc>
      </w:tr>
      <w:tr w14:paraId="36074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6FA"/>
            <w:tcMar>
              <w:top w:w="60" w:type="dxa"/>
              <w:left w:w="100" w:type="dxa"/>
              <w:bottom w:w="60" w:type="dxa"/>
              <w:right w:w="100" w:type="dxa"/>
            </w:tcMar>
          </w:tcPr>
          <w:p w14:paraId="14DB9073">
            <w:r>
              <w:rPr>
                <w:sz w:val="19"/>
                <w:szCs w:val="19"/>
              </w:rPr>
              <w:t>Performance Degradation</w:t>
            </w:r>
          </w:p>
        </w:tc>
        <w:tc>
          <w:tcPr>
            <w:tcW w:w="1800" w:type="dxa"/>
            <w:shd w:val="clear" w:color="auto" w:fill="F2F6FA"/>
            <w:tcMar>
              <w:top w:w="60" w:type="dxa"/>
              <w:left w:w="100" w:type="dxa"/>
              <w:bottom w:w="60" w:type="dxa"/>
              <w:right w:w="100" w:type="dxa"/>
            </w:tcMar>
          </w:tcPr>
          <w:p w14:paraId="5D39D727">
            <w:r>
              <w:rPr>
                <w:sz w:val="19"/>
                <w:szCs w:val="19"/>
              </w:rPr>
              <w:t>973</w:t>
            </w:r>
          </w:p>
        </w:tc>
        <w:tc>
          <w:tcPr>
            <w:tcW w:w="1600" w:type="dxa"/>
            <w:shd w:val="clear" w:color="auto" w:fill="F2F6FA"/>
            <w:tcMar>
              <w:top w:w="60" w:type="dxa"/>
              <w:left w:w="100" w:type="dxa"/>
              <w:bottom w:w="60" w:type="dxa"/>
              <w:right w:w="100" w:type="dxa"/>
            </w:tcMar>
          </w:tcPr>
          <w:p w14:paraId="74C0D39E">
            <w:r>
              <w:rPr>
                <w:sz w:val="19"/>
                <w:szCs w:val="19"/>
              </w:rPr>
              <w:t>0.758</w:t>
            </w:r>
          </w:p>
        </w:tc>
        <w:tc>
          <w:tcPr>
            <w:tcW w:w="1400" w:type="dxa"/>
            <w:shd w:val="clear" w:color="auto" w:fill="F2F6FA"/>
            <w:tcMar>
              <w:top w:w="60" w:type="dxa"/>
              <w:left w:w="100" w:type="dxa"/>
              <w:bottom w:w="60" w:type="dxa"/>
              <w:right w:w="100" w:type="dxa"/>
            </w:tcMar>
          </w:tcPr>
          <w:p w14:paraId="20BAC6D6">
            <w:r>
              <w:rPr>
                <w:sz w:val="19"/>
                <w:szCs w:val="19"/>
              </w:rPr>
              <w:t>0.76</w:t>
            </w:r>
          </w:p>
        </w:tc>
      </w:tr>
      <w:tr w14:paraId="435F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60" w:type="dxa"/>
              <w:left w:w="100" w:type="dxa"/>
              <w:bottom w:w="60" w:type="dxa"/>
              <w:right w:w="100" w:type="dxa"/>
            </w:tcMar>
          </w:tcPr>
          <w:p w14:paraId="345911FD">
            <w:r>
              <w:rPr>
                <w:sz w:val="19"/>
                <w:szCs w:val="19"/>
              </w:rPr>
              <w:t>API Integration Errors</w:t>
            </w:r>
          </w:p>
        </w:tc>
        <w:tc>
          <w:tcPr>
            <w:tcW w:w="1800" w:type="dxa"/>
            <w:shd w:val="clear" w:color="auto" w:fill="FFFFFF"/>
            <w:tcMar>
              <w:top w:w="60" w:type="dxa"/>
              <w:left w:w="100" w:type="dxa"/>
              <w:bottom w:w="60" w:type="dxa"/>
              <w:right w:w="100" w:type="dxa"/>
            </w:tcMar>
          </w:tcPr>
          <w:p w14:paraId="21D72DFC">
            <w:r>
              <w:rPr>
                <w:sz w:val="19"/>
                <w:szCs w:val="19"/>
              </w:rPr>
              <w:t>930</w:t>
            </w:r>
          </w:p>
        </w:tc>
        <w:tc>
          <w:tcPr>
            <w:tcW w:w="1600" w:type="dxa"/>
            <w:shd w:val="clear" w:color="auto" w:fill="FFFFFF"/>
            <w:tcMar>
              <w:top w:w="60" w:type="dxa"/>
              <w:left w:w="100" w:type="dxa"/>
              <w:bottom w:w="60" w:type="dxa"/>
              <w:right w:w="100" w:type="dxa"/>
            </w:tcMar>
          </w:tcPr>
          <w:p w14:paraId="291DD55C">
            <w:r>
              <w:rPr>
                <w:sz w:val="19"/>
                <w:szCs w:val="19"/>
              </w:rPr>
              <w:t>0.641</w:t>
            </w:r>
          </w:p>
        </w:tc>
        <w:tc>
          <w:tcPr>
            <w:tcW w:w="1400" w:type="dxa"/>
            <w:shd w:val="clear" w:color="auto" w:fill="FFFFFF"/>
            <w:tcMar>
              <w:top w:w="60" w:type="dxa"/>
              <w:left w:w="100" w:type="dxa"/>
              <w:bottom w:w="60" w:type="dxa"/>
              <w:right w:w="100" w:type="dxa"/>
            </w:tcMar>
          </w:tcPr>
          <w:p w14:paraId="317B7179">
            <w:r>
              <w:rPr>
                <w:sz w:val="19"/>
                <w:szCs w:val="19"/>
              </w:rPr>
              <w:t>0.64</w:t>
            </w:r>
          </w:p>
        </w:tc>
      </w:tr>
      <w:tr w14:paraId="67222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6FA"/>
            <w:tcMar>
              <w:top w:w="60" w:type="dxa"/>
              <w:left w:w="100" w:type="dxa"/>
              <w:bottom w:w="60" w:type="dxa"/>
              <w:right w:w="100" w:type="dxa"/>
            </w:tcMar>
          </w:tcPr>
          <w:p w14:paraId="21289208">
            <w:r>
              <w:rPr>
                <w:sz w:val="19"/>
                <w:szCs w:val="19"/>
              </w:rPr>
              <w:t>Software Installation Issues</w:t>
            </w:r>
          </w:p>
        </w:tc>
        <w:tc>
          <w:tcPr>
            <w:tcW w:w="1800" w:type="dxa"/>
            <w:shd w:val="clear" w:color="auto" w:fill="F2F6FA"/>
            <w:tcMar>
              <w:top w:w="60" w:type="dxa"/>
              <w:left w:w="100" w:type="dxa"/>
              <w:bottom w:w="60" w:type="dxa"/>
              <w:right w:w="100" w:type="dxa"/>
            </w:tcMar>
          </w:tcPr>
          <w:p w14:paraId="667F45E5">
            <w:r>
              <w:rPr>
                <w:sz w:val="19"/>
                <w:szCs w:val="19"/>
              </w:rPr>
              <w:t>827</w:t>
            </w:r>
          </w:p>
        </w:tc>
        <w:tc>
          <w:tcPr>
            <w:tcW w:w="1600" w:type="dxa"/>
            <w:shd w:val="clear" w:color="auto" w:fill="F2F6FA"/>
            <w:tcMar>
              <w:top w:w="60" w:type="dxa"/>
              <w:left w:w="100" w:type="dxa"/>
              <w:bottom w:w="60" w:type="dxa"/>
              <w:right w:w="100" w:type="dxa"/>
            </w:tcMar>
          </w:tcPr>
          <w:p w14:paraId="4147FF57">
            <w:r>
              <w:rPr>
                <w:sz w:val="19"/>
                <w:szCs w:val="19"/>
              </w:rPr>
              <w:t>0.823</w:t>
            </w:r>
          </w:p>
        </w:tc>
        <w:tc>
          <w:tcPr>
            <w:tcW w:w="1400" w:type="dxa"/>
            <w:shd w:val="clear" w:color="auto" w:fill="F2F6FA"/>
            <w:tcMar>
              <w:top w:w="60" w:type="dxa"/>
              <w:left w:w="100" w:type="dxa"/>
              <w:bottom w:w="60" w:type="dxa"/>
              <w:right w:w="100" w:type="dxa"/>
            </w:tcMar>
          </w:tcPr>
          <w:p w14:paraId="347BE9AD">
            <w:r>
              <w:rPr>
                <w:sz w:val="19"/>
                <w:szCs w:val="19"/>
              </w:rPr>
              <w:t>0.83</w:t>
            </w:r>
          </w:p>
        </w:tc>
      </w:tr>
      <w:tr w14:paraId="6D12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60" w:type="dxa"/>
              <w:left w:w="100" w:type="dxa"/>
              <w:bottom w:w="60" w:type="dxa"/>
              <w:right w:w="100" w:type="dxa"/>
            </w:tcMar>
          </w:tcPr>
          <w:p w14:paraId="4DBDFF57">
            <w:r>
              <w:rPr>
                <w:sz w:val="19"/>
                <w:szCs w:val="19"/>
              </w:rPr>
              <w:t>Slow Response Times</w:t>
            </w:r>
          </w:p>
        </w:tc>
        <w:tc>
          <w:tcPr>
            <w:tcW w:w="1800" w:type="dxa"/>
            <w:shd w:val="clear" w:color="auto" w:fill="FFFFFF"/>
            <w:tcMar>
              <w:top w:w="60" w:type="dxa"/>
              <w:left w:w="100" w:type="dxa"/>
              <w:bottom w:w="60" w:type="dxa"/>
              <w:right w:w="100" w:type="dxa"/>
            </w:tcMar>
          </w:tcPr>
          <w:p w14:paraId="41EF12C2">
            <w:r>
              <w:rPr>
                <w:sz w:val="19"/>
                <w:szCs w:val="19"/>
              </w:rPr>
              <w:t>754</w:t>
            </w:r>
          </w:p>
        </w:tc>
        <w:tc>
          <w:tcPr>
            <w:tcW w:w="1600" w:type="dxa"/>
            <w:shd w:val="clear" w:color="auto" w:fill="FFFFFF"/>
            <w:tcMar>
              <w:top w:w="60" w:type="dxa"/>
              <w:left w:w="100" w:type="dxa"/>
              <w:bottom w:w="60" w:type="dxa"/>
              <w:right w:w="100" w:type="dxa"/>
            </w:tcMar>
          </w:tcPr>
          <w:p w14:paraId="1964BA17">
            <w:r>
              <w:rPr>
                <w:sz w:val="19"/>
                <w:szCs w:val="19"/>
              </w:rPr>
              <w:t>0.901</w:t>
            </w:r>
          </w:p>
        </w:tc>
        <w:tc>
          <w:tcPr>
            <w:tcW w:w="1400" w:type="dxa"/>
            <w:shd w:val="clear" w:color="auto" w:fill="FFFFFF"/>
            <w:tcMar>
              <w:top w:w="60" w:type="dxa"/>
              <w:left w:w="100" w:type="dxa"/>
              <w:bottom w:w="60" w:type="dxa"/>
              <w:right w:w="100" w:type="dxa"/>
            </w:tcMar>
          </w:tcPr>
          <w:p w14:paraId="19FB2617">
            <w:r>
              <w:rPr>
                <w:sz w:val="19"/>
                <w:szCs w:val="19"/>
              </w:rPr>
              <w:t>0.91</w:t>
            </w:r>
          </w:p>
        </w:tc>
      </w:tr>
      <w:tr w14:paraId="64CF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6FA"/>
            <w:tcMar>
              <w:top w:w="60" w:type="dxa"/>
              <w:left w:w="100" w:type="dxa"/>
              <w:bottom w:w="60" w:type="dxa"/>
              <w:right w:w="100" w:type="dxa"/>
            </w:tcMar>
          </w:tcPr>
          <w:p w14:paraId="651594E3">
            <w:r>
              <w:rPr>
                <w:sz w:val="19"/>
                <w:szCs w:val="19"/>
              </w:rPr>
              <w:t>Data Sync / Integration Delays</w:t>
            </w:r>
          </w:p>
        </w:tc>
        <w:tc>
          <w:tcPr>
            <w:tcW w:w="1800" w:type="dxa"/>
            <w:shd w:val="clear" w:color="auto" w:fill="F2F6FA"/>
            <w:tcMar>
              <w:top w:w="60" w:type="dxa"/>
              <w:left w:w="100" w:type="dxa"/>
              <w:bottom w:w="60" w:type="dxa"/>
              <w:right w:w="100" w:type="dxa"/>
            </w:tcMar>
          </w:tcPr>
          <w:p w14:paraId="04A923F6">
            <w:r>
              <w:rPr>
                <w:sz w:val="19"/>
                <w:szCs w:val="19"/>
              </w:rPr>
              <w:t>739</w:t>
            </w:r>
          </w:p>
        </w:tc>
        <w:tc>
          <w:tcPr>
            <w:tcW w:w="1600" w:type="dxa"/>
            <w:shd w:val="clear" w:color="auto" w:fill="F2F6FA"/>
            <w:tcMar>
              <w:top w:w="60" w:type="dxa"/>
              <w:left w:w="100" w:type="dxa"/>
              <w:bottom w:w="60" w:type="dxa"/>
              <w:right w:w="100" w:type="dxa"/>
            </w:tcMar>
          </w:tcPr>
          <w:p w14:paraId="5D497353">
            <w:r>
              <w:rPr>
                <w:sz w:val="19"/>
                <w:szCs w:val="19"/>
              </w:rPr>
              <w:t>0.847</w:t>
            </w:r>
          </w:p>
        </w:tc>
        <w:tc>
          <w:tcPr>
            <w:tcW w:w="1400" w:type="dxa"/>
            <w:shd w:val="clear" w:color="auto" w:fill="F2F6FA"/>
            <w:tcMar>
              <w:top w:w="60" w:type="dxa"/>
              <w:left w:w="100" w:type="dxa"/>
              <w:bottom w:w="60" w:type="dxa"/>
              <w:right w:w="100" w:type="dxa"/>
            </w:tcMar>
          </w:tcPr>
          <w:p w14:paraId="207DA577">
            <w:r>
              <w:rPr>
                <w:sz w:val="19"/>
                <w:szCs w:val="19"/>
              </w:rPr>
              <w:t>0.85</w:t>
            </w:r>
          </w:p>
        </w:tc>
      </w:tr>
      <w:tr w14:paraId="7DFE5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60" w:type="dxa"/>
              <w:left w:w="100" w:type="dxa"/>
              <w:bottom w:w="60" w:type="dxa"/>
              <w:right w:w="100" w:type="dxa"/>
            </w:tcMar>
          </w:tcPr>
          <w:p w14:paraId="0CCF2AE7">
            <w:r>
              <w:rPr>
                <w:sz w:val="19"/>
                <w:szCs w:val="19"/>
              </w:rPr>
              <w:t>Security Vulnerabilities</w:t>
            </w:r>
          </w:p>
        </w:tc>
        <w:tc>
          <w:tcPr>
            <w:tcW w:w="1800" w:type="dxa"/>
            <w:shd w:val="clear" w:color="auto" w:fill="FFFFFF"/>
            <w:tcMar>
              <w:top w:w="60" w:type="dxa"/>
              <w:left w:w="100" w:type="dxa"/>
              <w:bottom w:w="60" w:type="dxa"/>
              <w:right w:w="100" w:type="dxa"/>
            </w:tcMar>
          </w:tcPr>
          <w:p w14:paraId="002A0ADE">
            <w:r>
              <w:rPr>
                <w:sz w:val="19"/>
                <w:szCs w:val="19"/>
              </w:rPr>
              <w:t>734</w:t>
            </w:r>
          </w:p>
        </w:tc>
        <w:tc>
          <w:tcPr>
            <w:tcW w:w="1600" w:type="dxa"/>
            <w:shd w:val="clear" w:color="auto" w:fill="FFFFFF"/>
            <w:tcMar>
              <w:top w:w="60" w:type="dxa"/>
              <w:left w:w="100" w:type="dxa"/>
              <w:bottom w:w="60" w:type="dxa"/>
              <w:right w:w="100" w:type="dxa"/>
            </w:tcMar>
          </w:tcPr>
          <w:p w14:paraId="0B8AD3F5">
            <w:r>
              <w:rPr>
                <w:sz w:val="19"/>
                <w:szCs w:val="19"/>
              </w:rPr>
              <w:t>0.671</w:t>
            </w:r>
          </w:p>
        </w:tc>
        <w:tc>
          <w:tcPr>
            <w:tcW w:w="1400" w:type="dxa"/>
            <w:shd w:val="clear" w:color="auto" w:fill="FFFFFF"/>
            <w:tcMar>
              <w:top w:w="60" w:type="dxa"/>
              <w:left w:w="100" w:type="dxa"/>
              <w:bottom w:w="60" w:type="dxa"/>
              <w:right w:w="100" w:type="dxa"/>
            </w:tcMar>
          </w:tcPr>
          <w:p w14:paraId="40EA2FAA">
            <w:r>
              <w:rPr>
                <w:sz w:val="19"/>
                <w:szCs w:val="19"/>
              </w:rPr>
              <w:t>0.67</w:t>
            </w:r>
          </w:p>
        </w:tc>
      </w:tr>
      <w:tr w14:paraId="78DE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6FA"/>
            <w:tcMar>
              <w:top w:w="60" w:type="dxa"/>
              <w:left w:w="100" w:type="dxa"/>
              <w:bottom w:w="60" w:type="dxa"/>
              <w:right w:w="100" w:type="dxa"/>
            </w:tcMar>
          </w:tcPr>
          <w:p w14:paraId="3C9D7995">
            <w:r>
              <w:rPr>
                <w:sz w:val="19"/>
                <w:szCs w:val="19"/>
              </w:rPr>
              <w:t>Database Query Failures</w:t>
            </w:r>
          </w:p>
        </w:tc>
        <w:tc>
          <w:tcPr>
            <w:tcW w:w="1800" w:type="dxa"/>
            <w:shd w:val="clear" w:color="auto" w:fill="F2F6FA"/>
            <w:tcMar>
              <w:top w:w="60" w:type="dxa"/>
              <w:left w:w="100" w:type="dxa"/>
              <w:bottom w:w="60" w:type="dxa"/>
              <w:right w:w="100" w:type="dxa"/>
            </w:tcMar>
          </w:tcPr>
          <w:p w14:paraId="31FD07BA">
            <w:r>
              <w:rPr>
                <w:sz w:val="19"/>
                <w:szCs w:val="19"/>
              </w:rPr>
              <w:t>730</w:t>
            </w:r>
          </w:p>
        </w:tc>
        <w:tc>
          <w:tcPr>
            <w:tcW w:w="1600" w:type="dxa"/>
            <w:shd w:val="clear" w:color="auto" w:fill="F2F6FA"/>
            <w:tcMar>
              <w:top w:w="60" w:type="dxa"/>
              <w:left w:w="100" w:type="dxa"/>
              <w:bottom w:w="60" w:type="dxa"/>
              <w:right w:w="100" w:type="dxa"/>
            </w:tcMar>
          </w:tcPr>
          <w:p w14:paraId="1E34FE85">
            <w:r>
              <w:rPr>
                <w:sz w:val="19"/>
                <w:szCs w:val="19"/>
              </w:rPr>
              <w:t>0.789</w:t>
            </w:r>
          </w:p>
        </w:tc>
        <w:tc>
          <w:tcPr>
            <w:tcW w:w="1400" w:type="dxa"/>
            <w:shd w:val="clear" w:color="auto" w:fill="F2F6FA"/>
            <w:tcMar>
              <w:top w:w="60" w:type="dxa"/>
              <w:left w:w="100" w:type="dxa"/>
              <w:bottom w:w="60" w:type="dxa"/>
              <w:right w:w="100" w:type="dxa"/>
            </w:tcMar>
          </w:tcPr>
          <w:p w14:paraId="09D1782E">
            <w:r>
              <w:rPr>
                <w:sz w:val="19"/>
                <w:szCs w:val="19"/>
              </w:rPr>
              <w:t>0.79</w:t>
            </w:r>
          </w:p>
        </w:tc>
      </w:tr>
      <w:tr w14:paraId="47CD8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60" w:type="dxa"/>
              <w:left w:w="100" w:type="dxa"/>
              <w:bottom w:w="60" w:type="dxa"/>
              <w:right w:w="100" w:type="dxa"/>
            </w:tcMar>
          </w:tcPr>
          <w:p w14:paraId="47766FDB">
            <w:r>
              <w:rPr>
                <w:sz w:val="19"/>
                <w:szCs w:val="19"/>
              </w:rPr>
              <w:t>Permission / Role Errors</w:t>
            </w:r>
          </w:p>
        </w:tc>
        <w:tc>
          <w:tcPr>
            <w:tcW w:w="1800" w:type="dxa"/>
            <w:shd w:val="clear" w:color="auto" w:fill="FFFFFF"/>
            <w:tcMar>
              <w:top w:w="60" w:type="dxa"/>
              <w:left w:w="100" w:type="dxa"/>
              <w:bottom w:w="60" w:type="dxa"/>
              <w:right w:w="100" w:type="dxa"/>
            </w:tcMar>
          </w:tcPr>
          <w:p w14:paraId="664046EB">
            <w:r>
              <w:rPr>
                <w:sz w:val="19"/>
                <w:szCs w:val="19"/>
              </w:rPr>
              <w:t>605</w:t>
            </w:r>
          </w:p>
        </w:tc>
        <w:tc>
          <w:tcPr>
            <w:tcW w:w="1600" w:type="dxa"/>
            <w:shd w:val="clear" w:color="auto" w:fill="FFFFFF"/>
            <w:tcMar>
              <w:top w:w="60" w:type="dxa"/>
              <w:left w:w="100" w:type="dxa"/>
              <w:bottom w:w="60" w:type="dxa"/>
              <w:right w:w="100" w:type="dxa"/>
            </w:tcMar>
          </w:tcPr>
          <w:p w14:paraId="54576FE7">
            <w:r>
              <w:rPr>
                <w:sz w:val="19"/>
                <w:szCs w:val="19"/>
              </w:rPr>
              <w:t>0.950</w:t>
            </w:r>
          </w:p>
        </w:tc>
        <w:tc>
          <w:tcPr>
            <w:tcW w:w="1400" w:type="dxa"/>
            <w:shd w:val="clear" w:color="auto" w:fill="FFFFFF"/>
            <w:tcMar>
              <w:top w:w="60" w:type="dxa"/>
              <w:left w:w="100" w:type="dxa"/>
              <w:bottom w:w="60" w:type="dxa"/>
              <w:right w:w="100" w:type="dxa"/>
            </w:tcMar>
          </w:tcPr>
          <w:p w14:paraId="2FAD380E">
            <w:r>
              <w:rPr>
                <w:sz w:val="19"/>
                <w:szCs w:val="19"/>
              </w:rPr>
              <w:t>0.97</w:t>
            </w:r>
          </w:p>
        </w:tc>
      </w:tr>
      <w:tr w14:paraId="00A1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6FA"/>
            <w:tcMar>
              <w:top w:w="60" w:type="dxa"/>
              <w:left w:w="100" w:type="dxa"/>
              <w:bottom w:w="60" w:type="dxa"/>
              <w:right w:w="100" w:type="dxa"/>
            </w:tcMar>
          </w:tcPr>
          <w:p w14:paraId="1DC0E87C">
            <w:r>
              <w:rPr>
                <w:sz w:val="19"/>
                <w:szCs w:val="19"/>
              </w:rPr>
              <w:t>Hardware Malfunctions</w:t>
            </w:r>
          </w:p>
        </w:tc>
        <w:tc>
          <w:tcPr>
            <w:tcW w:w="1800" w:type="dxa"/>
            <w:shd w:val="clear" w:color="auto" w:fill="F2F6FA"/>
            <w:tcMar>
              <w:top w:w="60" w:type="dxa"/>
              <w:left w:w="100" w:type="dxa"/>
              <w:bottom w:w="60" w:type="dxa"/>
              <w:right w:w="100" w:type="dxa"/>
            </w:tcMar>
          </w:tcPr>
          <w:p w14:paraId="1F9E2D43">
            <w:r>
              <w:rPr>
                <w:sz w:val="19"/>
                <w:szCs w:val="19"/>
              </w:rPr>
              <w:t>557</w:t>
            </w:r>
          </w:p>
        </w:tc>
        <w:tc>
          <w:tcPr>
            <w:tcW w:w="1600" w:type="dxa"/>
            <w:shd w:val="clear" w:color="auto" w:fill="F2F6FA"/>
            <w:tcMar>
              <w:top w:w="60" w:type="dxa"/>
              <w:left w:w="100" w:type="dxa"/>
              <w:bottom w:w="60" w:type="dxa"/>
              <w:right w:w="100" w:type="dxa"/>
            </w:tcMar>
          </w:tcPr>
          <w:p w14:paraId="66F427EC">
            <w:r>
              <w:rPr>
                <w:sz w:val="19"/>
                <w:szCs w:val="19"/>
              </w:rPr>
              <w:t>0.734</w:t>
            </w:r>
          </w:p>
        </w:tc>
        <w:tc>
          <w:tcPr>
            <w:tcW w:w="1400" w:type="dxa"/>
            <w:shd w:val="clear" w:color="auto" w:fill="F2F6FA"/>
            <w:tcMar>
              <w:top w:w="60" w:type="dxa"/>
              <w:left w:w="100" w:type="dxa"/>
              <w:bottom w:w="60" w:type="dxa"/>
              <w:right w:w="100" w:type="dxa"/>
            </w:tcMar>
          </w:tcPr>
          <w:p w14:paraId="360984FE">
            <w:r>
              <w:rPr>
                <w:sz w:val="19"/>
                <w:szCs w:val="19"/>
              </w:rPr>
              <w:t>0.73</w:t>
            </w:r>
          </w:p>
        </w:tc>
      </w:tr>
      <w:tr w14:paraId="38DBF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60" w:type="dxa"/>
              <w:left w:w="100" w:type="dxa"/>
              <w:bottom w:w="60" w:type="dxa"/>
              <w:right w:w="100" w:type="dxa"/>
            </w:tcMar>
          </w:tcPr>
          <w:p w14:paraId="2CAB5850">
            <w:r>
              <w:rPr>
                <w:sz w:val="19"/>
                <w:szCs w:val="19"/>
              </w:rPr>
              <w:t>Suspicious Login Attempts</w:t>
            </w:r>
          </w:p>
        </w:tc>
        <w:tc>
          <w:tcPr>
            <w:tcW w:w="1800" w:type="dxa"/>
            <w:shd w:val="clear" w:color="auto" w:fill="FFFFFF"/>
            <w:tcMar>
              <w:top w:w="60" w:type="dxa"/>
              <w:left w:w="100" w:type="dxa"/>
              <w:bottom w:w="60" w:type="dxa"/>
              <w:right w:w="100" w:type="dxa"/>
            </w:tcMar>
          </w:tcPr>
          <w:p w14:paraId="5CAB2736">
            <w:r>
              <w:rPr>
                <w:sz w:val="19"/>
                <w:szCs w:val="19"/>
              </w:rPr>
              <w:t>493</w:t>
            </w:r>
          </w:p>
        </w:tc>
        <w:tc>
          <w:tcPr>
            <w:tcW w:w="1600" w:type="dxa"/>
            <w:shd w:val="clear" w:color="auto" w:fill="FFFFFF"/>
            <w:tcMar>
              <w:top w:w="60" w:type="dxa"/>
              <w:left w:w="100" w:type="dxa"/>
              <w:bottom w:w="60" w:type="dxa"/>
              <w:right w:w="100" w:type="dxa"/>
            </w:tcMar>
          </w:tcPr>
          <w:p w14:paraId="3A905CD2">
            <w:r>
              <w:rPr>
                <w:sz w:val="19"/>
                <w:szCs w:val="19"/>
              </w:rPr>
              <w:t>0.879</w:t>
            </w:r>
          </w:p>
        </w:tc>
        <w:tc>
          <w:tcPr>
            <w:tcW w:w="1400" w:type="dxa"/>
            <w:shd w:val="clear" w:color="auto" w:fill="FFFFFF"/>
            <w:tcMar>
              <w:top w:w="60" w:type="dxa"/>
              <w:left w:w="100" w:type="dxa"/>
              <w:bottom w:w="60" w:type="dxa"/>
              <w:right w:w="100" w:type="dxa"/>
            </w:tcMar>
          </w:tcPr>
          <w:p w14:paraId="733AA6BE">
            <w:r>
              <w:rPr>
                <w:sz w:val="19"/>
                <w:szCs w:val="19"/>
              </w:rPr>
              <w:t>0.88</w:t>
            </w:r>
          </w:p>
        </w:tc>
      </w:tr>
      <w:tr w14:paraId="578A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6FA"/>
            <w:tcMar>
              <w:top w:w="60" w:type="dxa"/>
              <w:left w:w="100" w:type="dxa"/>
              <w:bottom w:w="60" w:type="dxa"/>
              <w:right w:w="100" w:type="dxa"/>
            </w:tcMar>
          </w:tcPr>
          <w:p w14:paraId="124D9D8A">
            <w:r>
              <w:rPr>
                <w:sz w:val="19"/>
                <w:szCs w:val="19"/>
              </w:rPr>
              <w:t>Server Downtime</w:t>
            </w:r>
          </w:p>
        </w:tc>
        <w:tc>
          <w:tcPr>
            <w:tcW w:w="1800" w:type="dxa"/>
            <w:shd w:val="clear" w:color="auto" w:fill="F2F6FA"/>
            <w:tcMar>
              <w:top w:w="60" w:type="dxa"/>
              <w:left w:w="100" w:type="dxa"/>
              <w:bottom w:w="60" w:type="dxa"/>
              <w:right w:w="100" w:type="dxa"/>
            </w:tcMar>
          </w:tcPr>
          <w:p w14:paraId="345055C0">
            <w:r>
              <w:rPr>
                <w:sz w:val="19"/>
                <w:szCs w:val="19"/>
              </w:rPr>
              <w:t>458</w:t>
            </w:r>
          </w:p>
        </w:tc>
        <w:tc>
          <w:tcPr>
            <w:tcW w:w="1600" w:type="dxa"/>
            <w:shd w:val="clear" w:color="auto" w:fill="F2F6FA"/>
            <w:tcMar>
              <w:top w:w="60" w:type="dxa"/>
              <w:left w:w="100" w:type="dxa"/>
              <w:bottom w:w="60" w:type="dxa"/>
              <w:right w:w="100" w:type="dxa"/>
            </w:tcMar>
          </w:tcPr>
          <w:p w14:paraId="5BF22263">
            <w:r>
              <w:rPr>
                <w:sz w:val="19"/>
                <w:szCs w:val="19"/>
              </w:rPr>
              <w:t>0.930</w:t>
            </w:r>
          </w:p>
        </w:tc>
        <w:tc>
          <w:tcPr>
            <w:tcW w:w="1400" w:type="dxa"/>
            <w:shd w:val="clear" w:color="auto" w:fill="F2F6FA"/>
            <w:tcMar>
              <w:top w:w="60" w:type="dxa"/>
              <w:left w:w="100" w:type="dxa"/>
              <w:bottom w:w="60" w:type="dxa"/>
              <w:right w:w="100" w:type="dxa"/>
            </w:tcMar>
          </w:tcPr>
          <w:p w14:paraId="629049CC">
            <w:r>
              <w:rPr>
                <w:sz w:val="19"/>
                <w:szCs w:val="19"/>
              </w:rPr>
              <w:t>0.94</w:t>
            </w:r>
          </w:p>
        </w:tc>
      </w:tr>
      <w:tr w14:paraId="0CEC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60" w:type="dxa"/>
              <w:left w:w="100" w:type="dxa"/>
              <w:bottom w:w="60" w:type="dxa"/>
              <w:right w:w="100" w:type="dxa"/>
            </w:tcMar>
          </w:tcPr>
          <w:p w14:paraId="3BF1C5D1">
            <w:r>
              <w:rPr>
                <w:sz w:val="19"/>
                <w:szCs w:val="19"/>
              </w:rPr>
              <w:t>Patch &amp; Update Failures</w:t>
            </w:r>
          </w:p>
        </w:tc>
        <w:tc>
          <w:tcPr>
            <w:tcW w:w="1800" w:type="dxa"/>
            <w:shd w:val="clear" w:color="auto" w:fill="FFFFFF"/>
            <w:tcMar>
              <w:top w:w="60" w:type="dxa"/>
              <w:left w:w="100" w:type="dxa"/>
              <w:bottom w:w="60" w:type="dxa"/>
              <w:right w:w="100" w:type="dxa"/>
            </w:tcMar>
          </w:tcPr>
          <w:p w14:paraId="35CB69CE">
            <w:r>
              <w:rPr>
                <w:sz w:val="19"/>
                <w:szCs w:val="19"/>
              </w:rPr>
              <w:t>386</w:t>
            </w:r>
          </w:p>
        </w:tc>
        <w:tc>
          <w:tcPr>
            <w:tcW w:w="1600" w:type="dxa"/>
            <w:shd w:val="clear" w:color="auto" w:fill="FFFFFF"/>
            <w:tcMar>
              <w:top w:w="60" w:type="dxa"/>
              <w:left w:w="100" w:type="dxa"/>
              <w:bottom w:w="60" w:type="dxa"/>
              <w:right w:w="100" w:type="dxa"/>
            </w:tcMar>
          </w:tcPr>
          <w:p w14:paraId="098CDED1">
            <w:r>
              <w:rPr>
                <w:sz w:val="19"/>
                <w:szCs w:val="19"/>
              </w:rPr>
              <w:t>0.962</w:t>
            </w:r>
          </w:p>
        </w:tc>
        <w:tc>
          <w:tcPr>
            <w:tcW w:w="1400" w:type="dxa"/>
            <w:shd w:val="clear" w:color="auto" w:fill="FFFFFF"/>
            <w:tcMar>
              <w:top w:w="60" w:type="dxa"/>
              <w:left w:w="100" w:type="dxa"/>
              <w:bottom w:w="60" w:type="dxa"/>
              <w:right w:w="100" w:type="dxa"/>
            </w:tcMar>
          </w:tcPr>
          <w:p w14:paraId="206B66B6">
            <w:r>
              <w:rPr>
                <w:sz w:val="19"/>
                <w:szCs w:val="19"/>
              </w:rPr>
              <w:t>0.99</w:t>
            </w:r>
          </w:p>
        </w:tc>
      </w:tr>
    </w:tbl>
    <w:p w14:paraId="5D437F01">
      <w:pPr>
        <w:spacing w:after="160"/>
      </w:pPr>
    </w:p>
    <w:p w14:paraId="39CE2D8C">
      <w:pPr>
        <w:spacing w:after="80"/>
      </w:pPr>
      <w:r>
        <w:drawing>
          <wp:inline distT="0" distB="0" distL="0" distR="0">
            <wp:extent cx="4381500" cy="3409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381500" cy="3409950"/>
                    </a:xfrm>
                    <a:prstGeom prst="rect">
                      <a:avLst/>
                    </a:prstGeom>
                  </pic:spPr>
                </pic:pic>
              </a:graphicData>
            </a:graphic>
          </wp:inline>
        </w:drawing>
      </w:r>
    </w:p>
    <w:p w14:paraId="003CF1DB">
      <w:pPr>
        <w:spacing w:after="240"/>
        <w:jc w:val="left"/>
      </w:pPr>
      <w:r>
        <w:rPr>
          <w:i/>
          <w:iCs/>
          <w:color w:val="444444"/>
          <w:sz w:val="20"/>
          <w:szCs w:val="20"/>
        </w:rPr>
        <w:t>Fig 3.4: Distribution of Similarity Scores Within Clusters, ordered by cluster size, against the 0.75 quality threshold.</w:t>
      </w:r>
    </w:p>
    <w:p w14:paraId="4F7CAF4F">
      <w:pPr>
        <w:spacing w:after="80"/>
      </w:pPr>
      <w:r>
        <w:drawing>
          <wp:inline distT="0" distB="0" distL="0" distR="0">
            <wp:extent cx="4381500" cy="3124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381500" cy="3124200"/>
                    </a:xfrm>
                    <a:prstGeom prst="rect">
                      <a:avLst/>
                    </a:prstGeom>
                  </pic:spPr>
                </pic:pic>
              </a:graphicData>
            </a:graphic>
          </wp:inline>
        </w:drawing>
      </w:r>
    </w:p>
    <w:p w14:paraId="280F9633">
      <w:pPr>
        <w:spacing w:after="240"/>
        <w:jc w:val="left"/>
      </w:pPr>
      <w:r>
        <w:rPr>
          <w:i/>
          <w:iCs/>
          <w:color w:val="444444"/>
          <w:sz w:val="20"/>
          <w:szCs w:val="20"/>
        </w:rPr>
        <w:t>Fig 3.5: Ticket Cluster Sizes — Login &amp; Access Failures is the largest cluster with 1,354 tickets.</w:t>
      </w:r>
    </w:p>
    <w:p w14:paraId="6697E2A2">
      <w:pPr>
        <w:spacing w:after="80"/>
      </w:pPr>
      <w:r>
        <w:drawing>
          <wp:inline distT="0" distB="0" distL="0" distR="0">
            <wp:extent cx="381000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3810000" cy="2667000"/>
                    </a:xfrm>
                    <a:prstGeom prst="rect">
                      <a:avLst/>
                    </a:prstGeom>
                  </pic:spPr>
                </pic:pic>
              </a:graphicData>
            </a:graphic>
          </wp:inline>
        </w:drawing>
      </w:r>
    </w:p>
    <w:p w14:paraId="0187EF7D">
      <w:pPr>
        <w:spacing w:after="240"/>
        <w:jc w:val="left"/>
      </w:pPr>
      <w:r>
        <w:rPr>
          <w:i/>
          <w:iCs/>
          <w:color w:val="444444"/>
          <w:sz w:val="20"/>
          <w:szCs w:val="20"/>
        </w:rPr>
        <w:t>Fig 3.6: Similarity Score Distribution Across Priority Levels — similarity spread is broadly consistent regardless of priority, indicating priority does not bias classification confidence.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CE1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AF3EA"/>
            <w:tcMar>
              <w:top w:w="140" w:type="dxa"/>
              <w:left w:w="180" w:type="dxa"/>
              <w:bottom w:w="140" w:type="dxa"/>
              <w:right w:w="180" w:type="dxa"/>
            </w:tcMar>
          </w:tcPr>
          <w:p w14:paraId="619EFEB5">
            <w:r>
              <w:rPr>
                <w:b/>
                <w:bCs/>
              </w:rPr>
              <w:t xml:space="preserve">Key finding: </w:t>
            </w:r>
            <w:r>
              <w:t>Cluster quality is far less uniform than a 0.75-and-above baseline: average similarity ranges from 0.57 (Login &amp; Access Failures) to 0.96 (Patch &amp; Update Failures). Login &amp; Access Failures — also one of the largest clusters at 1,354 tickets — sits well below the quality bar, meaning tickets grouped under it are more loosely related than the label suggests and may need re-clustering or sub-categorization.</w:t>
            </w:r>
          </w:p>
        </w:tc>
      </w:tr>
    </w:tbl>
    <w:p w14:paraId="0FBDB639">
      <w:r>
        <w:br w:type="page"/>
      </w:r>
    </w:p>
    <w:p w14:paraId="20B68BFC">
      <w:pPr>
        <w:pStyle w:val="2"/>
        <w:spacing w:before="300" w:after="150"/>
      </w:pPr>
      <w:r>
        <w:t>4. Milestone 3 (Week 5–6): Performance &amp; Geographic Insights</w:t>
      </w:r>
    </w:p>
    <w:p w14:paraId="4243D082">
      <w:pPr>
        <w:pStyle w:val="3"/>
        <w:spacing w:before="240" w:after="120"/>
      </w:pPr>
      <w:r>
        <w:t>Module 5: Performance Trend Analysis</w:t>
      </w:r>
    </w:p>
    <w:p w14:paraId="465AE993">
      <w:pPr>
        <w:spacing w:after="160"/>
      </w:pPr>
      <w:r>
        <w:t>Average resolution times were compared across ticket priority and type, support teams were ranked by resolution speed, and high-priority unresolved tickets were isolated for escalation review.</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35847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4C7F8A74">
            <w:pPr>
              <w:spacing w:after="20"/>
            </w:pPr>
            <w:r>
              <w:rPr>
                <w:rFonts w:ascii="Consolas" w:hAnsi="Consolas" w:eastAsia="Consolas" w:cs="Consolas"/>
                <w:sz w:val="18"/>
                <w:szCs w:val="18"/>
              </w:rPr>
              <w:t>df.groupby(['Ticket_Type', 'Priority'])['Resolution_Duration'].mean()</w:t>
            </w:r>
          </w:p>
          <w:p w14:paraId="0499BC4E">
            <w:pPr>
              <w:spacing w:after="20"/>
            </w:pPr>
          </w:p>
          <w:p w14:paraId="4A4C666C">
            <w:pPr>
              <w:spacing w:after="20"/>
            </w:pPr>
            <w:r>
              <w:rPr>
                <w:rFonts w:ascii="Consolas" w:hAnsi="Consolas" w:eastAsia="Consolas" w:cs="Consolas"/>
                <w:sz w:val="18"/>
                <w:szCs w:val="18"/>
              </w:rPr>
              <w:t>team_speed = df.groupby('Team')['Resolution_Duration'].mean().sort_values()</w:t>
            </w:r>
          </w:p>
          <w:p w14:paraId="49683A64">
            <w:pPr>
              <w:spacing w:after="20"/>
            </w:pPr>
          </w:p>
          <w:p w14:paraId="4B2CB13C">
            <w:pPr>
              <w:spacing w:after="20"/>
            </w:pPr>
            <w:r>
              <w:rPr>
                <w:rFonts w:ascii="Consolas" w:hAnsi="Consolas" w:eastAsia="Consolas" w:cs="Consolas"/>
                <w:sz w:val="18"/>
                <w:szCs w:val="18"/>
              </w:rPr>
              <w:t>unresolved_high_priority = df[</w:t>
            </w:r>
          </w:p>
          <w:p w14:paraId="429821A3">
            <w:pPr>
              <w:spacing w:after="20"/>
            </w:pPr>
            <w:r>
              <w:rPr>
                <w:rFonts w:ascii="Consolas" w:hAnsi="Consolas" w:eastAsia="Consolas" w:cs="Consolas"/>
                <w:sz w:val="18"/>
                <w:szCs w:val="18"/>
              </w:rPr>
              <w:t xml:space="preserve">    df['Status'].isin(['Open', 'In Progress']) &amp;</w:t>
            </w:r>
          </w:p>
          <w:p w14:paraId="739D253B">
            <w:pPr>
              <w:spacing w:after="20"/>
            </w:pPr>
            <w:r>
              <w:rPr>
                <w:rFonts w:ascii="Consolas" w:hAnsi="Consolas" w:eastAsia="Consolas" w:cs="Consolas"/>
                <w:sz w:val="18"/>
                <w:szCs w:val="18"/>
              </w:rPr>
              <w:t xml:space="preserve">    df['Priority'].isin(['High', 'Critical'])]</w:t>
            </w:r>
          </w:p>
          <w:p w14:paraId="2BBDF1D8">
            <w:pPr>
              <w:spacing w:after="20"/>
            </w:pPr>
            <w:r>
              <w:rPr>
                <w:rFonts w:ascii="Consolas" w:hAnsi="Consolas" w:eastAsia="Consolas" w:cs="Consolas"/>
                <w:sz w:val="18"/>
                <w:szCs w:val="18"/>
              </w:rPr>
              <w:t>print(f"Total High &amp; Critical Unresolved Tickets: {len(unresolved_high_priority)}")</w:t>
            </w:r>
          </w:p>
        </w:tc>
      </w:tr>
    </w:tbl>
    <w:p w14:paraId="7A943F9B">
      <w:pPr>
        <w:spacing w:after="160"/>
      </w:pPr>
    </w:p>
    <w:p w14:paraId="591732A0">
      <w:pPr>
        <w:spacing w:after="80"/>
      </w:pPr>
      <w:r>
        <w:drawing>
          <wp:inline distT="0" distB="0" distL="0" distR="0">
            <wp:extent cx="4095750" cy="2714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095750" cy="2714625"/>
                    </a:xfrm>
                    <a:prstGeom prst="rect">
                      <a:avLst/>
                    </a:prstGeom>
                  </pic:spPr>
                </pic:pic>
              </a:graphicData>
            </a:graphic>
          </wp:inline>
        </w:drawing>
      </w:r>
    </w:p>
    <w:p w14:paraId="0100179F">
      <w:pPr>
        <w:spacing w:after="240"/>
        <w:jc w:val="left"/>
      </w:pPr>
      <w:r>
        <w:rPr>
          <w:i/>
          <w:iCs/>
          <w:color w:val="444444"/>
          <w:sz w:val="20"/>
          <w:szCs w:val="20"/>
        </w:rPr>
        <w:t>Fig 4.1: Average Resolution Duration (days) by Ticket Type and Priority — resolution time drops sharply as priority increases, from ~6.5 days at Low priority to well under a day at Critical.</w:t>
      </w:r>
    </w:p>
    <w:p w14:paraId="51D3EC98">
      <w:pPr>
        <w:spacing w:after="80"/>
      </w:pPr>
      <w:r>
        <w:drawing>
          <wp:inline distT="0" distB="0" distL="0" distR="0">
            <wp:extent cx="4095750" cy="2524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4095750" cy="2524125"/>
                    </a:xfrm>
                    <a:prstGeom prst="rect">
                      <a:avLst/>
                    </a:prstGeom>
                  </pic:spPr>
                </pic:pic>
              </a:graphicData>
            </a:graphic>
          </wp:inline>
        </w:drawing>
      </w:r>
    </w:p>
    <w:p w14:paraId="231B8BC6">
      <w:pPr>
        <w:spacing w:after="240"/>
        <w:jc w:val="left"/>
      </w:pPr>
      <w:r>
        <w:rPr>
          <w:i/>
          <w:iCs/>
          <w:color w:val="444444"/>
          <w:sz w:val="20"/>
          <w:szCs w:val="20"/>
        </w:rPr>
        <w:t>Fig 4.2: Average Resolution Duration by Team — Cloud Ops resolves tickets fastest (3.64 days on average), App Support the slowest (3.75 days).</w:t>
      </w:r>
    </w:p>
    <w:p w14:paraId="48377AA2">
      <w:pPr>
        <w:spacing w:after="80"/>
      </w:pPr>
      <w:r>
        <w:drawing>
          <wp:inline distT="0" distB="0" distL="0" distR="0">
            <wp:extent cx="4095750" cy="2524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095750" cy="2524125"/>
                    </a:xfrm>
                    <a:prstGeom prst="rect">
                      <a:avLst/>
                    </a:prstGeom>
                  </pic:spPr>
                </pic:pic>
              </a:graphicData>
            </a:graphic>
          </wp:inline>
        </w:drawing>
      </w:r>
    </w:p>
    <w:p w14:paraId="6786E850">
      <w:pPr>
        <w:spacing w:after="240"/>
        <w:jc w:val="left"/>
      </w:pPr>
      <w:r>
        <w:rPr>
          <w:i/>
          <w:iCs/>
          <w:color w:val="444444"/>
          <w:sz w:val="20"/>
          <w:szCs w:val="20"/>
        </w:rPr>
        <w:t>Fig 4.3: Unresolved High &amp; Critical Priority Tickets by Team — App Support carries the largest backlog (66 tickets).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B9E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AF3EA"/>
            <w:tcMar>
              <w:top w:w="140" w:type="dxa"/>
              <w:left w:w="180" w:type="dxa"/>
              <w:bottom w:w="140" w:type="dxa"/>
              <w:right w:w="180" w:type="dxa"/>
            </w:tcMar>
          </w:tcPr>
          <w:p w14:paraId="03BBF317">
            <w:r>
              <w:rPr>
                <w:b/>
                <w:bCs/>
              </w:rPr>
              <w:t xml:space="preserve">Key finding: </w:t>
            </w:r>
            <w:r>
              <w:t>A total of 323 High and Critical priority tickets remain unresolved (Open or In Progress), concentrated most heavily in App Support (66) and Security Team (60) — a direct risk to SLA compliance. Team resolution speed is fairly uniform overall (3.64–3.75 days), so the backlog is more a workload/staffing issue than a systemic slowness problem in any one team.</w:t>
            </w:r>
          </w:p>
        </w:tc>
      </w:tr>
    </w:tbl>
    <w:p w14:paraId="65DE1CA8">
      <w:pPr>
        <w:pStyle w:val="3"/>
        <w:spacing w:before="240" w:after="120"/>
      </w:pPr>
      <w:r>
        <w:t>Module 6: Geographic and Category-Level Insights</w:t>
      </w:r>
    </w:p>
    <w:p w14:paraId="5DFE4E27">
      <w:pPr>
        <w:spacing w:after="160"/>
      </w:pPr>
      <w:r>
        <w:t>Ticket concentration was mapped by country and category using a heatmap, ticket locations were plotted using latitude/longitude, and SLA breach rate was evaluated by country and region.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7611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606EE087">
            <w:pPr>
              <w:spacing w:after="20"/>
            </w:pPr>
            <w:r>
              <w:rPr>
                <w:rFonts w:ascii="Consolas" w:hAnsi="Consolas" w:eastAsia="Consolas" w:cs="Consolas"/>
                <w:sz w:val="18"/>
                <w:szCs w:val="18"/>
              </w:rPr>
              <w:t>geo_heatmap_data = pd.crosstab(df['Country'], df['Category'])</w:t>
            </w:r>
          </w:p>
          <w:p w14:paraId="555956BA">
            <w:pPr>
              <w:spacing w:after="20"/>
            </w:pPr>
            <w:r>
              <w:rPr>
                <w:rFonts w:ascii="Consolas" w:hAnsi="Consolas" w:eastAsia="Consolas" w:cs="Consolas"/>
                <w:sz w:val="18"/>
                <w:szCs w:val="18"/>
              </w:rPr>
              <w:t>sns.heatmap(geo_heatmap_data, annot=True, fmt='d', cmap='YlGnBu')</w:t>
            </w:r>
          </w:p>
          <w:p w14:paraId="354A194B">
            <w:pPr>
              <w:spacing w:after="20"/>
            </w:pPr>
          </w:p>
          <w:p w14:paraId="75E71E49">
            <w:pPr>
              <w:spacing w:after="20"/>
            </w:pPr>
            <w:r>
              <w:rPr>
                <w:rFonts w:ascii="Consolas" w:hAnsi="Consolas" w:eastAsia="Consolas" w:cs="Consolas"/>
                <w:sz w:val="18"/>
                <w:szCs w:val="18"/>
              </w:rPr>
              <w:t>country_summary = df.groupby('Country').agg(</w:t>
            </w:r>
          </w:p>
          <w:p w14:paraId="402EC721">
            <w:pPr>
              <w:spacing w:after="20"/>
            </w:pPr>
            <w:r>
              <w:rPr>
                <w:rFonts w:ascii="Consolas" w:hAnsi="Consolas" w:eastAsia="Consolas" w:cs="Consolas"/>
                <w:sz w:val="18"/>
                <w:szCs w:val="18"/>
              </w:rPr>
              <w:t xml:space="preserve">    Total_Tickets=('Ticket_ID', 'count'),</w:t>
            </w:r>
          </w:p>
          <w:p w14:paraId="67563B07">
            <w:pPr>
              <w:spacing w:after="20"/>
            </w:pPr>
            <w:r>
              <w:rPr>
                <w:rFonts w:ascii="Consolas" w:hAnsi="Consolas" w:eastAsia="Consolas" w:cs="Consolas"/>
                <w:sz w:val="18"/>
                <w:szCs w:val="18"/>
              </w:rPr>
              <w:t xml:space="preserve">    Avg_Resolution_Duration=('Resolution_Duration', 'mean'))</w:t>
            </w:r>
          </w:p>
          <w:p w14:paraId="79026DF6">
            <w:pPr>
              <w:spacing w:after="20"/>
            </w:pPr>
            <w:r>
              <w:rPr>
                <w:rFonts w:ascii="Consolas" w:hAnsi="Consolas" w:eastAsia="Consolas" w:cs="Consolas"/>
                <w:sz w:val="18"/>
                <w:szCs w:val="18"/>
              </w:rPr>
              <w:t>sla_breach_rate = df.groupby('Country').apply(</w:t>
            </w:r>
          </w:p>
          <w:p w14:paraId="61FE277B">
            <w:pPr>
              <w:spacing w:after="20"/>
            </w:pPr>
            <w:r>
              <w:rPr>
                <w:rFonts w:ascii="Consolas" w:hAnsi="Consolas" w:eastAsia="Consolas" w:cs="Consolas"/>
                <w:sz w:val="18"/>
                <w:szCs w:val="18"/>
              </w:rPr>
              <w:t xml:space="preserve">    lambda g: 100 * (g['SLA_Status'] == 'Breached').mean())</w:t>
            </w:r>
          </w:p>
        </w:tc>
      </w:tr>
    </w:tbl>
    <w:p w14:paraId="380EF44E">
      <w:pPr>
        <w:spacing w:after="160"/>
      </w:pPr>
    </w:p>
    <w:p w14:paraId="655B9BAE">
      <w:pPr>
        <w:spacing w:after="80"/>
      </w:pPr>
      <w:r>
        <w:drawing>
          <wp:inline distT="0" distB="0" distL="0" distR="0">
            <wp:extent cx="45720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4572000" cy="3429000"/>
                    </a:xfrm>
                    <a:prstGeom prst="rect">
                      <a:avLst/>
                    </a:prstGeom>
                  </pic:spPr>
                </pic:pic>
              </a:graphicData>
            </a:graphic>
          </wp:inline>
        </w:drawing>
      </w:r>
    </w:p>
    <w:p w14:paraId="60DC34AF">
      <w:pPr>
        <w:spacing w:after="240"/>
        <w:jc w:val="left"/>
      </w:pPr>
      <w:r>
        <w:rPr>
          <w:i/>
          <w:iCs/>
          <w:color w:val="444444"/>
          <w:sz w:val="20"/>
          <w:szCs w:val="20"/>
        </w:rPr>
        <w:t>Fig 4.4: Ticket Concentration Heatmap by Country &amp; Category.</w:t>
      </w:r>
    </w:p>
    <w:p w14:paraId="4C97D888">
      <w:pPr>
        <w:spacing w:after="80"/>
      </w:pPr>
      <w:r>
        <w:drawing>
          <wp:inline distT="0" distB="0" distL="0" distR="0">
            <wp:extent cx="4572000" cy="2571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4572000" cy="2571750"/>
                    </a:xfrm>
                    <a:prstGeom prst="rect">
                      <a:avLst/>
                    </a:prstGeom>
                  </pic:spPr>
                </pic:pic>
              </a:graphicData>
            </a:graphic>
          </wp:inline>
        </w:drawing>
      </w:r>
    </w:p>
    <w:p w14:paraId="431CAA6C">
      <w:pPr>
        <w:spacing w:after="240"/>
        <w:jc w:val="left"/>
      </w:pPr>
      <w:r>
        <w:rPr>
          <w:i/>
          <w:iCs/>
          <w:color w:val="444444"/>
          <w:sz w:val="20"/>
          <w:szCs w:val="20"/>
        </w:rPr>
        <w:t>Fig 4.5: Ticket Locations Colored by Category — confirms tickets are drawn from geographically distinct regional hubs rather than a single location per country.</w:t>
      </w:r>
    </w:p>
    <w:p w14:paraId="4436A7A6">
      <w:pPr>
        <w:spacing w:after="80"/>
      </w:pPr>
      <w:r>
        <w:drawing>
          <wp:inline distT="0" distB="0" distL="0" distR="0">
            <wp:extent cx="4095750" cy="2924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4095750" cy="2924175"/>
                    </a:xfrm>
                    <a:prstGeom prst="rect">
                      <a:avLst/>
                    </a:prstGeom>
                  </pic:spPr>
                </pic:pic>
              </a:graphicData>
            </a:graphic>
          </wp:inline>
        </w:drawing>
      </w:r>
    </w:p>
    <w:p w14:paraId="3B4C9124">
      <w:pPr>
        <w:spacing w:after="240"/>
        <w:jc w:val="left"/>
      </w:pPr>
      <w:r>
        <w:rPr>
          <w:i/>
          <w:iCs/>
          <w:color w:val="444444"/>
          <w:sz w:val="20"/>
          <w:szCs w:val="20"/>
        </w:rPr>
        <w:t>Fig 4.6: SLA Breach Rate by Country — China has the highest breach rate (49.4%), UAE the lowest (43.1%).</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400"/>
        <w:gridCol w:w="1400"/>
      </w:tblGrid>
      <w:tr w14:paraId="0F39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78"/>
            <w:tcMar>
              <w:top w:w="80" w:type="dxa"/>
              <w:left w:w="100" w:type="dxa"/>
              <w:bottom w:w="80" w:type="dxa"/>
              <w:right w:w="100" w:type="dxa"/>
            </w:tcMar>
          </w:tcPr>
          <w:p w14:paraId="4837D9A5">
            <w:r>
              <w:rPr>
                <w:b/>
                <w:bCs/>
                <w:color w:val="FFFFFF"/>
                <w:sz w:val="19"/>
                <w:szCs w:val="19"/>
              </w:rPr>
              <w:t>Country</w:t>
            </w:r>
          </w:p>
        </w:tc>
        <w:tc>
          <w:tcPr>
            <w:tcW w:w="2200" w:type="dxa"/>
            <w:shd w:val="clear" w:color="auto" w:fill="1F4E78"/>
            <w:tcMar>
              <w:top w:w="80" w:type="dxa"/>
              <w:left w:w="100" w:type="dxa"/>
              <w:bottom w:w="80" w:type="dxa"/>
              <w:right w:w="100" w:type="dxa"/>
            </w:tcMar>
          </w:tcPr>
          <w:p w14:paraId="647B1D7E">
            <w:r>
              <w:rPr>
                <w:b/>
                <w:bCs/>
                <w:color w:val="FFFFFF"/>
                <w:sz w:val="19"/>
                <w:szCs w:val="19"/>
              </w:rPr>
              <w:t>Total Tickets</w:t>
            </w:r>
          </w:p>
        </w:tc>
        <w:tc>
          <w:tcPr>
            <w:tcW w:w="2400" w:type="dxa"/>
            <w:shd w:val="clear" w:color="auto" w:fill="1F4E78"/>
            <w:tcMar>
              <w:top w:w="80" w:type="dxa"/>
              <w:left w:w="100" w:type="dxa"/>
              <w:bottom w:w="80" w:type="dxa"/>
              <w:right w:w="100" w:type="dxa"/>
            </w:tcMar>
          </w:tcPr>
          <w:p w14:paraId="62260DD3">
            <w:r>
              <w:rPr>
                <w:b/>
                <w:bCs/>
                <w:color w:val="FFFFFF"/>
                <w:sz w:val="19"/>
                <w:szCs w:val="19"/>
              </w:rPr>
              <w:t>Avg. Resolution (days)</w:t>
            </w:r>
          </w:p>
        </w:tc>
        <w:tc>
          <w:tcPr>
            <w:tcW w:w="1400" w:type="dxa"/>
            <w:shd w:val="clear" w:color="auto" w:fill="1F4E78"/>
            <w:tcMar>
              <w:top w:w="80" w:type="dxa"/>
              <w:left w:w="100" w:type="dxa"/>
              <w:bottom w:w="80" w:type="dxa"/>
              <w:right w:w="100" w:type="dxa"/>
            </w:tcMar>
          </w:tcPr>
          <w:p w14:paraId="10A92DF9">
            <w:r>
              <w:rPr>
                <w:b/>
                <w:bCs/>
                <w:color w:val="FFFFFF"/>
                <w:sz w:val="19"/>
                <w:szCs w:val="19"/>
              </w:rPr>
              <w:t>SLA Breach Rate</w:t>
            </w:r>
          </w:p>
        </w:tc>
      </w:tr>
      <w:tr w14:paraId="0007B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4CBBC745">
            <w:r>
              <w:rPr>
                <w:sz w:val="19"/>
                <w:szCs w:val="19"/>
              </w:rPr>
              <w:t>India</w:t>
            </w:r>
          </w:p>
        </w:tc>
        <w:tc>
          <w:tcPr>
            <w:tcW w:w="2200" w:type="dxa"/>
            <w:shd w:val="clear" w:color="auto" w:fill="FFFFFF"/>
            <w:tcMar>
              <w:top w:w="60" w:type="dxa"/>
              <w:left w:w="100" w:type="dxa"/>
              <w:bottom w:w="60" w:type="dxa"/>
              <w:right w:w="100" w:type="dxa"/>
            </w:tcMar>
          </w:tcPr>
          <w:p w14:paraId="0D749C2B">
            <w:r>
              <w:rPr>
                <w:sz w:val="19"/>
                <w:szCs w:val="19"/>
              </w:rPr>
              <w:t>2,259</w:t>
            </w:r>
          </w:p>
        </w:tc>
        <w:tc>
          <w:tcPr>
            <w:tcW w:w="2400" w:type="dxa"/>
            <w:shd w:val="clear" w:color="auto" w:fill="FFFFFF"/>
            <w:tcMar>
              <w:top w:w="60" w:type="dxa"/>
              <w:left w:w="100" w:type="dxa"/>
              <w:bottom w:w="60" w:type="dxa"/>
              <w:right w:w="100" w:type="dxa"/>
            </w:tcMar>
          </w:tcPr>
          <w:p w14:paraId="0A8DE757">
            <w:r>
              <w:rPr>
                <w:sz w:val="19"/>
                <w:szCs w:val="19"/>
              </w:rPr>
              <w:t>3.68</w:t>
            </w:r>
          </w:p>
        </w:tc>
        <w:tc>
          <w:tcPr>
            <w:tcW w:w="1400" w:type="dxa"/>
            <w:shd w:val="clear" w:color="auto" w:fill="FFFFFF"/>
            <w:tcMar>
              <w:top w:w="60" w:type="dxa"/>
              <w:left w:w="100" w:type="dxa"/>
              <w:bottom w:w="60" w:type="dxa"/>
              <w:right w:w="100" w:type="dxa"/>
            </w:tcMar>
          </w:tcPr>
          <w:p w14:paraId="6FBD639B">
            <w:r>
              <w:rPr>
                <w:sz w:val="19"/>
                <w:szCs w:val="19"/>
              </w:rPr>
              <w:t>45.2%</w:t>
            </w:r>
          </w:p>
        </w:tc>
      </w:tr>
      <w:tr w14:paraId="63FB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2DB28781">
            <w:r>
              <w:rPr>
                <w:sz w:val="19"/>
                <w:szCs w:val="19"/>
              </w:rPr>
              <w:t>USA</w:t>
            </w:r>
          </w:p>
        </w:tc>
        <w:tc>
          <w:tcPr>
            <w:tcW w:w="2200" w:type="dxa"/>
            <w:shd w:val="clear" w:color="auto" w:fill="F2F6FA"/>
            <w:tcMar>
              <w:top w:w="60" w:type="dxa"/>
              <w:left w:w="100" w:type="dxa"/>
              <w:bottom w:w="60" w:type="dxa"/>
              <w:right w:w="100" w:type="dxa"/>
            </w:tcMar>
          </w:tcPr>
          <w:p w14:paraId="56BB28B9">
            <w:r>
              <w:rPr>
                <w:sz w:val="19"/>
                <w:szCs w:val="19"/>
              </w:rPr>
              <w:t>1,987</w:t>
            </w:r>
          </w:p>
        </w:tc>
        <w:tc>
          <w:tcPr>
            <w:tcW w:w="2400" w:type="dxa"/>
            <w:shd w:val="clear" w:color="auto" w:fill="F2F6FA"/>
            <w:tcMar>
              <w:top w:w="60" w:type="dxa"/>
              <w:left w:w="100" w:type="dxa"/>
              <w:bottom w:w="60" w:type="dxa"/>
              <w:right w:w="100" w:type="dxa"/>
            </w:tcMar>
          </w:tcPr>
          <w:p w14:paraId="21254E07">
            <w:r>
              <w:rPr>
                <w:sz w:val="19"/>
                <w:szCs w:val="19"/>
              </w:rPr>
              <w:t>3.62</w:t>
            </w:r>
          </w:p>
        </w:tc>
        <w:tc>
          <w:tcPr>
            <w:tcW w:w="1400" w:type="dxa"/>
            <w:shd w:val="clear" w:color="auto" w:fill="F2F6FA"/>
            <w:tcMar>
              <w:top w:w="60" w:type="dxa"/>
              <w:left w:w="100" w:type="dxa"/>
              <w:bottom w:w="60" w:type="dxa"/>
              <w:right w:w="100" w:type="dxa"/>
            </w:tcMar>
          </w:tcPr>
          <w:p w14:paraId="56619E1A">
            <w:r>
              <w:rPr>
                <w:sz w:val="19"/>
                <w:szCs w:val="19"/>
              </w:rPr>
              <w:t>45.6%</w:t>
            </w:r>
          </w:p>
        </w:tc>
      </w:tr>
      <w:tr w14:paraId="750BE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7A5CA30B">
            <w:r>
              <w:rPr>
                <w:sz w:val="19"/>
                <w:szCs w:val="19"/>
              </w:rPr>
              <w:t>UK</w:t>
            </w:r>
          </w:p>
        </w:tc>
        <w:tc>
          <w:tcPr>
            <w:tcW w:w="2200" w:type="dxa"/>
            <w:shd w:val="clear" w:color="auto" w:fill="FFFFFF"/>
            <w:tcMar>
              <w:top w:w="60" w:type="dxa"/>
              <w:left w:w="100" w:type="dxa"/>
              <w:bottom w:w="60" w:type="dxa"/>
              <w:right w:w="100" w:type="dxa"/>
            </w:tcMar>
          </w:tcPr>
          <w:p w14:paraId="1CB4AB85">
            <w:r>
              <w:rPr>
                <w:sz w:val="19"/>
                <w:szCs w:val="19"/>
              </w:rPr>
              <w:t>1,155</w:t>
            </w:r>
          </w:p>
        </w:tc>
        <w:tc>
          <w:tcPr>
            <w:tcW w:w="2400" w:type="dxa"/>
            <w:shd w:val="clear" w:color="auto" w:fill="FFFFFF"/>
            <w:tcMar>
              <w:top w:w="60" w:type="dxa"/>
              <w:left w:w="100" w:type="dxa"/>
              <w:bottom w:w="60" w:type="dxa"/>
              <w:right w:w="100" w:type="dxa"/>
            </w:tcMar>
          </w:tcPr>
          <w:p w14:paraId="0D2A82C8">
            <w:r>
              <w:rPr>
                <w:sz w:val="19"/>
                <w:szCs w:val="19"/>
              </w:rPr>
              <w:t>3.70</w:t>
            </w:r>
          </w:p>
        </w:tc>
        <w:tc>
          <w:tcPr>
            <w:tcW w:w="1400" w:type="dxa"/>
            <w:shd w:val="clear" w:color="auto" w:fill="FFFFFF"/>
            <w:tcMar>
              <w:top w:w="60" w:type="dxa"/>
              <w:left w:w="100" w:type="dxa"/>
              <w:bottom w:w="60" w:type="dxa"/>
              <w:right w:w="100" w:type="dxa"/>
            </w:tcMar>
          </w:tcPr>
          <w:p w14:paraId="2525B242">
            <w:r>
              <w:rPr>
                <w:sz w:val="19"/>
                <w:szCs w:val="19"/>
              </w:rPr>
              <w:t>48.9%</w:t>
            </w:r>
          </w:p>
        </w:tc>
      </w:tr>
      <w:tr w14:paraId="7D76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39D2E49F">
            <w:r>
              <w:rPr>
                <w:sz w:val="19"/>
                <w:szCs w:val="19"/>
              </w:rPr>
              <w:t>Germany</w:t>
            </w:r>
          </w:p>
        </w:tc>
        <w:tc>
          <w:tcPr>
            <w:tcW w:w="2200" w:type="dxa"/>
            <w:shd w:val="clear" w:color="auto" w:fill="F2F6FA"/>
            <w:tcMar>
              <w:top w:w="60" w:type="dxa"/>
              <w:left w:w="100" w:type="dxa"/>
              <w:bottom w:w="60" w:type="dxa"/>
              <w:right w:w="100" w:type="dxa"/>
            </w:tcMar>
          </w:tcPr>
          <w:p w14:paraId="68FA54B3">
            <w:r>
              <w:rPr>
                <w:sz w:val="19"/>
                <w:szCs w:val="19"/>
              </w:rPr>
              <w:t>882</w:t>
            </w:r>
          </w:p>
        </w:tc>
        <w:tc>
          <w:tcPr>
            <w:tcW w:w="2400" w:type="dxa"/>
            <w:shd w:val="clear" w:color="auto" w:fill="F2F6FA"/>
            <w:tcMar>
              <w:top w:w="60" w:type="dxa"/>
              <w:left w:w="100" w:type="dxa"/>
              <w:bottom w:w="60" w:type="dxa"/>
              <w:right w:w="100" w:type="dxa"/>
            </w:tcMar>
          </w:tcPr>
          <w:p w14:paraId="0937AEE8">
            <w:r>
              <w:rPr>
                <w:sz w:val="19"/>
                <w:szCs w:val="19"/>
              </w:rPr>
              <w:t>3.64</w:t>
            </w:r>
          </w:p>
        </w:tc>
        <w:tc>
          <w:tcPr>
            <w:tcW w:w="1400" w:type="dxa"/>
            <w:shd w:val="clear" w:color="auto" w:fill="F2F6FA"/>
            <w:tcMar>
              <w:top w:w="60" w:type="dxa"/>
              <w:left w:w="100" w:type="dxa"/>
              <w:bottom w:w="60" w:type="dxa"/>
              <w:right w:w="100" w:type="dxa"/>
            </w:tcMar>
          </w:tcPr>
          <w:p w14:paraId="2F21F207">
            <w:r>
              <w:rPr>
                <w:sz w:val="19"/>
                <w:szCs w:val="19"/>
              </w:rPr>
              <w:t>45.6%</w:t>
            </w:r>
          </w:p>
        </w:tc>
      </w:tr>
      <w:tr w14:paraId="27849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585D1012">
            <w:r>
              <w:rPr>
                <w:sz w:val="19"/>
                <w:szCs w:val="19"/>
              </w:rPr>
              <w:t>Singapore</w:t>
            </w:r>
          </w:p>
        </w:tc>
        <w:tc>
          <w:tcPr>
            <w:tcW w:w="2200" w:type="dxa"/>
            <w:shd w:val="clear" w:color="auto" w:fill="FFFFFF"/>
            <w:tcMar>
              <w:top w:w="60" w:type="dxa"/>
              <w:left w:w="100" w:type="dxa"/>
              <w:bottom w:w="60" w:type="dxa"/>
              <w:right w:w="100" w:type="dxa"/>
            </w:tcMar>
          </w:tcPr>
          <w:p w14:paraId="4F2C1EB8">
            <w:r>
              <w:rPr>
                <w:sz w:val="19"/>
                <w:szCs w:val="19"/>
              </w:rPr>
              <w:t>760</w:t>
            </w:r>
          </w:p>
        </w:tc>
        <w:tc>
          <w:tcPr>
            <w:tcW w:w="2400" w:type="dxa"/>
            <w:shd w:val="clear" w:color="auto" w:fill="FFFFFF"/>
            <w:tcMar>
              <w:top w:w="60" w:type="dxa"/>
              <w:left w:w="100" w:type="dxa"/>
              <w:bottom w:w="60" w:type="dxa"/>
              <w:right w:w="100" w:type="dxa"/>
            </w:tcMar>
          </w:tcPr>
          <w:p w14:paraId="5E19B249">
            <w:r>
              <w:rPr>
                <w:sz w:val="19"/>
                <w:szCs w:val="19"/>
              </w:rPr>
              <w:t>3.84</w:t>
            </w:r>
          </w:p>
        </w:tc>
        <w:tc>
          <w:tcPr>
            <w:tcW w:w="1400" w:type="dxa"/>
            <w:shd w:val="clear" w:color="auto" w:fill="FFFFFF"/>
            <w:tcMar>
              <w:top w:w="60" w:type="dxa"/>
              <w:left w:w="100" w:type="dxa"/>
              <w:bottom w:w="60" w:type="dxa"/>
              <w:right w:w="100" w:type="dxa"/>
            </w:tcMar>
          </w:tcPr>
          <w:p w14:paraId="749958F1">
            <w:r>
              <w:rPr>
                <w:sz w:val="19"/>
                <w:szCs w:val="19"/>
              </w:rPr>
              <w:t>47.4%</w:t>
            </w:r>
          </w:p>
        </w:tc>
      </w:tr>
      <w:tr w14:paraId="75F0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65ACD5CF">
            <w:r>
              <w:rPr>
                <w:sz w:val="19"/>
                <w:szCs w:val="19"/>
              </w:rPr>
              <w:t>Philippines</w:t>
            </w:r>
          </w:p>
        </w:tc>
        <w:tc>
          <w:tcPr>
            <w:tcW w:w="2200" w:type="dxa"/>
            <w:shd w:val="clear" w:color="auto" w:fill="F2F6FA"/>
            <w:tcMar>
              <w:top w:w="60" w:type="dxa"/>
              <w:left w:w="100" w:type="dxa"/>
              <w:bottom w:w="60" w:type="dxa"/>
              <w:right w:w="100" w:type="dxa"/>
            </w:tcMar>
          </w:tcPr>
          <w:p w14:paraId="10A4E7E1">
            <w:r>
              <w:rPr>
                <w:sz w:val="19"/>
                <w:szCs w:val="19"/>
              </w:rPr>
              <w:t>670</w:t>
            </w:r>
          </w:p>
        </w:tc>
        <w:tc>
          <w:tcPr>
            <w:tcW w:w="2400" w:type="dxa"/>
            <w:shd w:val="clear" w:color="auto" w:fill="F2F6FA"/>
            <w:tcMar>
              <w:top w:w="60" w:type="dxa"/>
              <w:left w:w="100" w:type="dxa"/>
              <w:bottom w:w="60" w:type="dxa"/>
              <w:right w:w="100" w:type="dxa"/>
            </w:tcMar>
          </w:tcPr>
          <w:p w14:paraId="475BA817">
            <w:r>
              <w:rPr>
                <w:sz w:val="19"/>
                <w:szCs w:val="19"/>
              </w:rPr>
              <w:t>3.95</w:t>
            </w:r>
          </w:p>
        </w:tc>
        <w:tc>
          <w:tcPr>
            <w:tcW w:w="1400" w:type="dxa"/>
            <w:shd w:val="clear" w:color="auto" w:fill="F2F6FA"/>
            <w:tcMar>
              <w:top w:w="60" w:type="dxa"/>
              <w:left w:w="100" w:type="dxa"/>
              <w:bottom w:w="60" w:type="dxa"/>
              <w:right w:w="100" w:type="dxa"/>
            </w:tcMar>
          </w:tcPr>
          <w:p w14:paraId="4B599385">
            <w:r>
              <w:rPr>
                <w:sz w:val="19"/>
                <w:szCs w:val="19"/>
              </w:rPr>
              <w:t>46.6%</w:t>
            </w:r>
          </w:p>
        </w:tc>
      </w:tr>
      <w:tr w14:paraId="62161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6FC5C140">
            <w:r>
              <w:rPr>
                <w:sz w:val="19"/>
                <w:szCs w:val="19"/>
              </w:rPr>
              <w:t>Australia</w:t>
            </w:r>
          </w:p>
        </w:tc>
        <w:tc>
          <w:tcPr>
            <w:tcW w:w="2200" w:type="dxa"/>
            <w:shd w:val="clear" w:color="auto" w:fill="FFFFFF"/>
            <w:tcMar>
              <w:top w:w="60" w:type="dxa"/>
              <w:left w:w="100" w:type="dxa"/>
              <w:bottom w:w="60" w:type="dxa"/>
              <w:right w:w="100" w:type="dxa"/>
            </w:tcMar>
          </w:tcPr>
          <w:p w14:paraId="0F38EDDC">
            <w:r>
              <w:rPr>
                <w:sz w:val="19"/>
                <w:szCs w:val="19"/>
              </w:rPr>
              <w:t>626</w:t>
            </w:r>
          </w:p>
        </w:tc>
        <w:tc>
          <w:tcPr>
            <w:tcW w:w="2400" w:type="dxa"/>
            <w:shd w:val="clear" w:color="auto" w:fill="FFFFFF"/>
            <w:tcMar>
              <w:top w:w="60" w:type="dxa"/>
              <w:left w:w="100" w:type="dxa"/>
              <w:bottom w:w="60" w:type="dxa"/>
              <w:right w:w="100" w:type="dxa"/>
            </w:tcMar>
          </w:tcPr>
          <w:p w14:paraId="13F3F42B">
            <w:r>
              <w:rPr>
                <w:sz w:val="19"/>
                <w:szCs w:val="19"/>
              </w:rPr>
              <w:t>3.59</w:t>
            </w:r>
          </w:p>
        </w:tc>
        <w:tc>
          <w:tcPr>
            <w:tcW w:w="1400" w:type="dxa"/>
            <w:shd w:val="clear" w:color="auto" w:fill="FFFFFF"/>
            <w:tcMar>
              <w:top w:w="60" w:type="dxa"/>
              <w:left w:w="100" w:type="dxa"/>
              <w:bottom w:w="60" w:type="dxa"/>
              <w:right w:w="100" w:type="dxa"/>
            </w:tcMar>
          </w:tcPr>
          <w:p w14:paraId="0166B8C8">
            <w:r>
              <w:rPr>
                <w:sz w:val="19"/>
                <w:szCs w:val="19"/>
              </w:rPr>
              <w:t>46%</w:t>
            </w:r>
          </w:p>
        </w:tc>
      </w:tr>
      <w:tr w14:paraId="703D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0F91C055">
            <w:r>
              <w:rPr>
                <w:sz w:val="19"/>
                <w:szCs w:val="19"/>
              </w:rPr>
              <w:t>France</w:t>
            </w:r>
          </w:p>
        </w:tc>
        <w:tc>
          <w:tcPr>
            <w:tcW w:w="2200" w:type="dxa"/>
            <w:shd w:val="clear" w:color="auto" w:fill="F2F6FA"/>
            <w:tcMar>
              <w:top w:w="60" w:type="dxa"/>
              <w:left w:w="100" w:type="dxa"/>
              <w:bottom w:w="60" w:type="dxa"/>
              <w:right w:w="100" w:type="dxa"/>
            </w:tcMar>
          </w:tcPr>
          <w:p w14:paraId="4B40F9FD">
            <w:r>
              <w:rPr>
                <w:sz w:val="19"/>
                <w:szCs w:val="19"/>
              </w:rPr>
              <w:t>610</w:t>
            </w:r>
          </w:p>
        </w:tc>
        <w:tc>
          <w:tcPr>
            <w:tcW w:w="2400" w:type="dxa"/>
            <w:shd w:val="clear" w:color="auto" w:fill="F2F6FA"/>
            <w:tcMar>
              <w:top w:w="60" w:type="dxa"/>
              <w:left w:w="100" w:type="dxa"/>
              <w:bottom w:w="60" w:type="dxa"/>
              <w:right w:w="100" w:type="dxa"/>
            </w:tcMar>
          </w:tcPr>
          <w:p w14:paraId="417BD397">
            <w:r>
              <w:rPr>
                <w:sz w:val="19"/>
                <w:szCs w:val="19"/>
              </w:rPr>
              <w:t>3.53</w:t>
            </w:r>
          </w:p>
        </w:tc>
        <w:tc>
          <w:tcPr>
            <w:tcW w:w="1400" w:type="dxa"/>
            <w:shd w:val="clear" w:color="auto" w:fill="F2F6FA"/>
            <w:tcMar>
              <w:top w:w="60" w:type="dxa"/>
              <w:left w:w="100" w:type="dxa"/>
              <w:bottom w:w="60" w:type="dxa"/>
              <w:right w:w="100" w:type="dxa"/>
            </w:tcMar>
          </w:tcPr>
          <w:p w14:paraId="6F0F20E6">
            <w:r>
              <w:rPr>
                <w:sz w:val="19"/>
                <w:szCs w:val="19"/>
              </w:rPr>
              <w:t>43.8%</w:t>
            </w:r>
          </w:p>
        </w:tc>
      </w:tr>
      <w:tr w14:paraId="271C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2A138967">
            <w:r>
              <w:rPr>
                <w:sz w:val="19"/>
                <w:szCs w:val="19"/>
              </w:rPr>
              <w:t>Canada</w:t>
            </w:r>
          </w:p>
        </w:tc>
        <w:tc>
          <w:tcPr>
            <w:tcW w:w="2200" w:type="dxa"/>
            <w:shd w:val="clear" w:color="auto" w:fill="FFFFFF"/>
            <w:tcMar>
              <w:top w:w="60" w:type="dxa"/>
              <w:left w:w="100" w:type="dxa"/>
              <w:bottom w:w="60" w:type="dxa"/>
              <w:right w:w="100" w:type="dxa"/>
            </w:tcMar>
          </w:tcPr>
          <w:p w14:paraId="2C40E8BB">
            <w:r>
              <w:rPr>
                <w:sz w:val="19"/>
                <w:szCs w:val="19"/>
              </w:rPr>
              <w:t>592</w:t>
            </w:r>
          </w:p>
        </w:tc>
        <w:tc>
          <w:tcPr>
            <w:tcW w:w="2400" w:type="dxa"/>
            <w:shd w:val="clear" w:color="auto" w:fill="FFFFFF"/>
            <w:tcMar>
              <w:top w:w="60" w:type="dxa"/>
              <w:left w:w="100" w:type="dxa"/>
              <w:bottom w:w="60" w:type="dxa"/>
              <w:right w:w="100" w:type="dxa"/>
            </w:tcMar>
          </w:tcPr>
          <w:p w14:paraId="183F2F19">
            <w:r>
              <w:rPr>
                <w:sz w:val="19"/>
                <w:szCs w:val="19"/>
              </w:rPr>
              <w:t>3.76</w:t>
            </w:r>
          </w:p>
        </w:tc>
        <w:tc>
          <w:tcPr>
            <w:tcW w:w="1400" w:type="dxa"/>
            <w:shd w:val="clear" w:color="auto" w:fill="FFFFFF"/>
            <w:tcMar>
              <w:top w:w="60" w:type="dxa"/>
              <w:left w:w="100" w:type="dxa"/>
              <w:bottom w:w="60" w:type="dxa"/>
              <w:right w:w="100" w:type="dxa"/>
            </w:tcMar>
          </w:tcPr>
          <w:p w14:paraId="68120CF0">
            <w:r>
              <w:rPr>
                <w:sz w:val="19"/>
                <w:szCs w:val="19"/>
              </w:rPr>
              <w:t>46.8%</w:t>
            </w:r>
          </w:p>
        </w:tc>
      </w:tr>
      <w:tr w14:paraId="4C0F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0896C726">
            <w:r>
              <w:rPr>
                <w:sz w:val="19"/>
                <w:szCs w:val="19"/>
              </w:rPr>
              <w:t>Japan</w:t>
            </w:r>
          </w:p>
        </w:tc>
        <w:tc>
          <w:tcPr>
            <w:tcW w:w="2200" w:type="dxa"/>
            <w:shd w:val="clear" w:color="auto" w:fill="F2F6FA"/>
            <w:tcMar>
              <w:top w:w="60" w:type="dxa"/>
              <w:left w:w="100" w:type="dxa"/>
              <w:bottom w:w="60" w:type="dxa"/>
              <w:right w:w="100" w:type="dxa"/>
            </w:tcMar>
          </w:tcPr>
          <w:p w14:paraId="0DA434FF">
            <w:r>
              <w:rPr>
                <w:sz w:val="19"/>
                <w:szCs w:val="19"/>
              </w:rPr>
              <w:t>590</w:t>
            </w:r>
          </w:p>
        </w:tc>
        <w:tc>
          <w:tcPr>
            <w:tcW w:w="2400" w:type="dxa"/>
            <w:shd w:val="clear" w:color="auto" w:fill="F2F6FA"/>
            <w:tcMar>
              <w:top w:w="60" w:type="dxa"/>
              <w:left w:w="100" w:type="dxa"/>
              <w:bottom w:w="60" w:type="dxa"/>
              <w:right w:w="100" w:type="dxa"/>
            </w:tcMar>
          </w:tcPr>
          <w:p w14:paraId="2E6F2C55">
            <w:r>
              <w:rPr>
                <w:sz w:val="19"/>
                <w:szCs w:val="19"/>
              </w:rPr>
              <w:t>3.50</w:t>
            </w:r>
          </w:p>
        </w:tc>
        <w:tc>
          <w:tcPr>
            <w:tcW w:w="1400" w:type="dxa"/>
            <w:shd w:val="clear" w:color="auto" w:fill="F2F6FA"/>
            <w:tcMar>
              <w:top w:w="60" w:type="dxa"/>
              <w:left w:w="100" w:type="dxa"/>
              <w:bottom w:w="60" w:type="dxa"/>
              <w:right w:w="100" w:type="dxa"/>
            </w:tcMar>
          </w:tcPr>
          <w:p w14:paraId="13C45B07">
            <w:r>
              <w:rPr>
                <w:sz w:val="19"/>
                <w:szCs w:val="19"/>
              </w:rPr>
              <w:t>44.9%</w:t>
            </w:r>
          </w:p>
        </w:tc>
      </w:tr>
      <w:tr w14:paraId="20C2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58D897BB">
            <w:r>
              <w:rPr>
                <w:sz w:val="19"/>
                <w:szCs w:val="19"/>
              </w:rPr>
              <w:t>China</w:t>
            </w:r>
          </w:p>
        </w:tc>
        <w:tc>
          <w:tcPr>
            <w:tcW w:w="2200" w:type="dxa"/>
            <w:shd w:val="clear" w:color="auto" w:fill="FFFFFF"/>
            <w:tcMar>
              <w:top w:w="60" w:type="dxa"/>
              <w:left w:w="100" w:type="dxa"/>
              <w:bottom w:w="60" w:type="dxa"/>
              <w:right w:w="100" w:type="dxa"/>
            </w:tcMar>
          </w:tcPr>
          <w:p w14:paraId="46AB9140">
            <w:r>
              <w:rPr>
                <w:sz w:val="19"/>
                <w:szCs w:val="19"/>
              </w:rPr>
              <w:t>484</w:t>
            </w:r>
          </w:p>
        </w:tc>
        <w:tc>
          <w:tcPr>
            <w:tcW w:w="2400" w:type="dxa"/>
            <w:shd w:val="clear" w:color="auto" w:fill="FFFFFF"/>
            <w:tcMar>
              <w:top w:w="60" w:type="dxa"/>
              <w:left w:w="100" w:type="dxa"/>
              <w:bottom w:w="60" w:type="dxa"/>
              <w:right w:w="100" w:type="dxa"/>
            </w:tcMar>
          </w:tcPr>
          <w:p w14:paraId="4BFA0437">
            <w:r>
              <w:rPr>
                <w:sz w:val="19"/>
                <w:szCs w:val="19"/>
              </w:rPr>
              <w:t>3.80</w:t>
            </w:r>
          </w:p>
        </w:tc>
        <w:tc>
          <w:tcPr>
            <w:tcW w:w="1400" w:type="dxa"/>
            <w:shd w:val="clear" w:color="auto" w:fill="FFFFFF"/>
            <w:tcMar>
              <w:top w:w="60" w:type="dxa"/>
              <w:left w:w="100" w:type="dxa"/>
              <w:bottom w:w="60" w:type="dxa"/>
              <w:right w:w="100" w:type="dxa"/>
            </w:tcMar>
          </w:tcPr>
          <w:p w14:paraId="49132100">
            <w:r>
              <w:rPr>
                <w:sz w:val="19"/>
                <w:szCs w:val="19"/>
              </w:rPr>
              <w:t>49.4%</w:t>
            </w:r>
          </w:p>
        </w:tc>
      </w:tr>
      <w:tr w14:paraId="4068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511AA74B">
            <w:r>
              <w:rPr>
                <w:sz w:val="19"/>
                <w:szCs w:val="19"/>
              </w:rPr>
              <w:t>Brazil</w:t>
            </w:r>
          </w:p>
        </w:tc>
        <w:tc>
          <w:tcPr>
            <w:tcW w:w="2200" w:type="dxa"/>
            <w:shd w:val="clear" w:color="auto" w:fill="F2F6FA"/>
            <w:tcMar>
              <w:top w:w="60" w:type="dxa"/>
              <w:left w:w="100" w:type="dxa"/>
              <w:bottom w:w="60" w:type="dxa"/>
              <w:right w:w="100" w:type="dxa"/>
            </w:tcMar>
          </w:tcPr>
          <w:p w14:paraId="357227AE">
            <w:r>
              <w:rPr>
                <w:sz w:val="19"/>
                <w:szCs w:val="19"/>
              </w:rPr>
              <w:t>474</w:t>
            </w:r>
          </w:p>
        </w:tc>
        <w:tc>
          <w:tcPr>
            <w:tcW w:w="2400" w:type="dxa"/>
            <w:shd w:val="clear" w:color="auto" w:fill="F2F6FA"/>
            <w:tcMar>
              <w:top w:w="60" w:type="dxa"/>
              <w:left w:w="100" w:type="dxa"/>
              <w:bottom w:w="60" w:type="dxa"/>
              <w:right w:w="100" w:type="dxa"/>
            </w:tcMar>
          </w:tcPr>
          <w:p w14:paraId="61A3370E">
            <w:r>
              <w:rPr>
                <w:sz w:val="19"/>
                <w:szCs w:val="19"/>
              </w:rPr>
              <w:t>3.95</w:t>
            </w:r>
          </w:p>
        </w:tc>
        <w:tc>
          <w:tcPr>
            <w:tcW w:w="1400" w:type="dxa"/>
            <w:shd w:val="clear" w:color="auto" w:fill="F2F6FA"/>
            <w:tcMar>
              <w:top w:w="60" w:type="dxa"/>
              <w:left w:w="100" w:type="dxa"/>
              <w:bottom w:w="60" w:type="dxa"/>
              <w:right w:w="100" w:type="dxa"/>
            </w:tcMar>
          </w:tcPr>
          <w:p w14:paraId="532390B2">
            <w:r>
              <w:rPr>
                <w:sz w:val="19"/>
                <w:szCs w:val="19"/>
              </w:rPr>
              <w:t>43.9%</w:t>
            </w:r>
          </w:p>
        </w:tc>
      </w:tr>
      <w:tr w14:paraId="25F7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2A251117">
            <w:r>
              <w:rPr>
                <w:sz w:val="19"/>
                <w:szCs w:val="19"/>
              </w:rPr>
              <w:t>Mexico</w:t>
            </w:r>
          </w:p>
        </w:tc>
        <w:tc>
          <w:tcPr>
            <w:tcW w:w="2200" w:type="dxa"/>
            <w:shd w:val="clear" w:color="auto" w:fill="FFFFFF"/>
            <w:tcMar>
              <w:top w:w="60" w:type="dxa"/>
              <w:left w:w="100" w:type="dxa"/>
              <w:bottom w:w="60" w:type="dxa"/>
              <w:right w:w="100" w:type="dxa"/>
            </w:tcMar>
          </w:tcPr>
          <w:p w14:paraId="4C55A49A">
            <w:r>
              <w:rPr>
                <w:sz w:val="19"/>
                <w:szCs w:val="19"/>
              </w:rPr>
              <w:t>409</w:t>
            </w:r>
          </w:p>
        </w:tc>
        <w:tc>
          <w:tcPr>
            <w:tcW w:w="2400" w:type="dxa"/>
            <w:shd w:val="clear" w:color="auto" w:fill="FFFFFF"/>
            <w:tcMar>
              <w:top w:w="60" w:type="dxa"/>
              <w:left w:w="100" w:type="dxa"/>
              <w:bottom w:w="60" w:type="dxa"/>
              <w:right w:w="100" w:type="dxa"/>
            </w:tcMar>
          </w:tcPr>
          <w:p w14:paraId="18D5C163">
            <w:r>
              <w:rPr>
                <w:sz w:val="19"/>
                <w:szCs w:val="19"/>
              </w:rPr>
              <w:t>3.81</w:t>
            </w:r>
          </w:p>
        </w:tc>
        <w:tc>
          <w:tcPr>
            <w:tcW w:w="1400" w:type="dxa"/>
            <w:shd w:val="clear" w:color="auto" w:fill="FFFFFF"/>
            <w:tcMar>
              <w:top w:w="60" w:type="dxa"/>
              <w:left w:w="100" w:type="dxa"/>
              <w:bottom w:w="60" w:type="dxa"/>
              <w:right w:w="100" w:type="dxa"/>
            </w:tcMar>
          </w:tcPr>
          <w:p w14:paraId="1B2BFCC2">
            <w:r>
              <w:rPr>
                <w:sz w:val="19"/>
                <w:szCs w:val="19"/>
              </w:rPr>
              <w:t>48.2%</w:t>
            </w:r>
          </w:p>
        </w:tc>
      </w:tr>
      <w:tr w14:paraId="6F7BD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6FA"/>
            <w:tcMar>
              <w:top w:w="60" w:type="dxa"/>
              <w:left w:w="100" w:type="dxa"/>
              <w:bottom w:w="60" w:type="dxa"/>
              <w:right w:w="100" w:type="dxa"/>
            </w:tcMar>
          </w:tcPr>
          <w:p w14:paraId="6F9EF5D5">
            <w:r>
              <w:rPr>
                <w:sz w:val="19"/>
                <w:szCs w:val="19"/>
              </w:rPr>
              <w:t>UAE</w:t>
            </w:r>
          </w:p>
        </w:tc>
        <w:tc>
          <w:tcPr>
            <w:tcW w:w="2200" w:type="dxa"/>
            <w:shd w:val="clear" w:color="auto" w:fill="F2F6FA"/>
            <w:tcMar>
              <w:top w:w="60" w:type="dxa"/>
              <w:left w:w="100" w:type="dxa"/>
              <w:bottom w:w="60" w:type="dxa"/>
              <w:right w:w="100" w:type="dxa"/>
            </w:tcMar>
          </w:tcPr>
          <w:p w14:paraId="24F0A3E8">
            <w:r>
              <w:rPr>
                <w:sz w:val="19"/>
                <w:szCs w:val="19"/>
              </w:rPr>
              <w:t>260</w:t>
            </w:r>
          </w:p>
        </w:tc>
        <w:tc>
          <w:tcPr>
            <w:tcW w:w="2400" w:type="dxa"/>
            <w:shd w:val="clear" w:color="auto" w:fill="F2F6FA"/>
            <w:tcMar>
              <w:top w:w="60" w:type="dxa"/>
              <w:left w:w="100" w:type="dxa"/>
              <w:bottom w:w="60" w:type="dxa"/>
              <w:right w:w="100" w:type="dxa"/>
            </w:tcMar>
          </w:tcPr>
          <w:p w14:paraId="5F9CA947">
            <w:r>
              <w:rPr>
                <w:sz w:val="19"/>
                <w:szCs w:val="19"/>
              </w:rPr>
              <w:t>3.43</w:t>
            </w:r>
          </w:p>
        </w:tc>
        <w:tc>
          <w:tcPr>
            <w:tcW w:w="1400" w:type="dxa"/>
            <w:shd w:val="clear" w:color="auto" w:fill="F2F6FA"/>
            <w:tcMar>
              <w:top w:w="60" w:type="dxa"/>
              <w:left w:w="100" w:type="dxa"/>
              <w:bottom w:w="60" w:type="dxa"/>
              <w:right w:w="100" w:type="dxa"/>
            </w:tcMar>
          </w:tcPr>
          <w:p w14:paraId="0D11F44A">
            <w:r>
              <w:rPr>
                <w:sz w:val="19"/>
                <w:szCs w:val="19"/>
              </w:rPr>
              <w:t>43.1%</w:t>
            </w:r>
          </w:p>
        </w:tc>
      </w:tr>
      <w:tr w14:paraId="4354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60" w:type="dxa"/>
              <w:left w:w="100" w:type="dxa"/>
              <w:bottom w:w="60" w:type="dxa"/>
              <w:right w:w="100" w:type="dxa"/>
            </w:tcMar>
          </w:tcPr>
          <w:p w14:paraId="30E0B29D">
            <w:r>
              <w:rPr>
                <w:sz w:val="19"/>
                <w:szCs w:val="19"/>
              </w:rPr>
              <w:t>South Africa</w:t>
            </w:r>
          </w:p>
        </w:tc>
        <w:tc>
          <w:tcPr>
            <w:tcW w:w="2200" w:type="dxa"/>
            <w:shd w:val="clear" w:color="auto" w:fill="FFFFFF"/>
            <w:tcMar>
              <w:top w:w="60" w:type="dxa"/>
              <w:left w:w="100" w:type="dxa"/>
              <w:bottom w:w="60" w:type="dxa"/>
              <w:right w:w="100" w:type="dxa"/>
            </w:tcMar>
          </w:tcPr>
          <w:p w14:paraId="0EF4E306">
            <w:r>
              <w:rPr>
                <w:sz w:val="19"/>
                <w:szCs w:val="19"/>
              </w:rPr>
              <w:t>242</w:t>
            </w:r>
          </w:p>
        </w:tc>
        <w:tc>
          <w:tcPr>
            <w:tcW w:w="2400" w:type="dxa"/>
            <w:shd w:val="clear" w:color="auto" w:fill="FFFFFF"/>
            <w:tcMar>
              <w:top w:w="60" w:type="dxa"/>
              <w:left w:w="100" w:type="dxa"/>
              <w:bottom w:w="60" w:type="dxa"/>
              <w:right w:w="100" w:type="dxa"/>
            </w:tcMar>
          </w:tcPr>
          <w:p w14:paraId="5BDB1BA7">
            <w:r>
              <w:rPr>
                <w:sz w:val="19"/>
                <w:szCs w:val="19"/>
              </w:rPr>
              <w:t>3.97</w:t>
            </w:r>
          </w:p>
        </w:tc>
        <w:tc>
          <w:tcPr>
            <w:tcW w:w="1400" w:type="dxa"/>
            <w:shd w:val="clear" w:color="auto" w:fill="FFFFFF"/>
            <w:tcMar>
              <w:top w:w="60" w:type="dxa"/>
              <w:left w:w="100" w:type="dxa"/>
              <w:bottom w:w="60" w:type="dxa"/>
              <w:right w:w="100" w:type="dxa"/>
            </w:tcMar>
          </w:tcPr>
          <w:p w14:paraId="7DE8EF28">
            <w:r>
              <w:rPr>
                <w:sz w:val="19"/>
                <w:szCs w:val="19"/>
              </w:rPr>
              <w:t>47.9%</w:t>
            </w:r>
          </w:p>
        </w:tc>
      </w:tr>
    </w:tbl>
    <w:p w14:paraId="6556845F">
      <w:pPr>
        <w:spacing w:after="1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DEA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AF3EA"/>
            <w:tcMar>
              <w:top w:w="140" w:type="dxa"/>
              <w:left w:w="180" w:type="dxa"/>
              <w:bottom w:w="140" w:type="dxa"/>
              <w:right w:w="180" w:type="dxa"/>
            </w:tcMar>
          </w:tcPr>
          <w:p w14:paraId="1E868364">
            <w:r>
              <w:rPr>
                <w:b/>
                <w:bCs/>
              </w:rPr>
              <w:t xml:space="preserve">Key finding: </w:t>
            </w:r>
            <w:r>
              <w:t>India records the highest ticket volume (2,259), while China has the weakest SLA performance at a 49.4% breach rate versus UAE's 43.1% — a gap worth investigating for regional staffing or process differences. Overall, 46.1% of all tickets breach SLA, which is high enough to be a headline operational concern rather than a country-specific one.</w:t>
            </w:r>
          </w:p>
        </w:tc>
      </w:tr>
    </w:tbl>
    <w:p w14:paraId="106783A8">
      <w:r>
        <w:br w:type="page"/>
      </w:r>
    </w:p>
    <w:p w14:paraId="0719B68A">
      <w:pPr>
        <w:pStyle w:val="2"/>
        <w:spacing w:before="300" w:after="150"/>
      </w:pPr>
      <w:r>
        <w:t>5. Milestone 4 (Week 7–8): Dashboard &amp; Documentation</w:t>
      </w:r>
    </w:p>
    <w:p w14:paraId="6EDD5CAD">
      <w:pPr>
        <w:pStyle w:val="3"/>
        <w:spacing w:before="240" w:after="120"/>
      </w:pPr>
      <w:r>
        <w:t>Module 7: Dashboard/Report Preparation</w:t>
      </w:r>
    </w:p>
    <w:p w14:paraId="75D1F930">
      <w:pPr>
        <w:spacing w:after="160"/>
      </w:pPr>
      <w:r>
        <w:t>All performance insights were consolidated into a single-page operational dashboard, organized around four core KPIs: Ticket Volume by Type, Top Problem Clusters, Average Resolution Duration by Type × Priority, and SLA Breach Rate by Country.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64FB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2F2F2"/>
            <w:tcMar>
              <w:top w:w="120" w:type="dxa"/>
              <w:left w:w="150" w:type="dxa"/>
              <w:bottom w:w="120" w:type="dxa"/>
              <w:right w:w="150" w:type="dxa"/>
            </w:tcMar>
          </w:tcPr>
          <w:p w14:paraId="551305C4">
            <w:pPr>
              <w:spacing w:after="20"/>
            </w:pPr>
            <w:r>
              <w:rPr>
                <w:rFonts w:ascii="Consolas" w:hAnsi="Consolas" w:eastAsia="Consolas" w:cs="Consolas"/>
                <w:sz w:val="18"/>
                <w:szCs w:val="18"/>
              </w:rPr>
              <w:t>import streamlit as st</w:t>
            </w:r>
          </w:p>
          <w:p w14:paraId="1E062E17">
            <w:pPr>
              <w:spacing w:after="20"/>
            </w:pPr>
            <w:r>
              <w:rPr>
                <w:rFonts w:ascii="Consolas" w:hAnsi="Consolas" w:eastAsia="Consolas" w:cs="Consolas"/>
                <w:sz w:val="18"/>
                <w:szCs w:val="18"/>
              </w:rPr>
              <w:t>import pandas as pd, plotly.express as px</w:t>
            </w:r>
          </w:p>
          <w:p w14:paraId="651A8D65">
            <w:pPr>
              <w:spacing w:after="20"/>
            </w:pPr>
          </w:p>
          <w:p w14:paraId="34FF7FE6">
            <w:pPr>
              <w:spacing w:after="20"/>
            </w:pPr>
            <w:r>
              <w:rPr>
                <w:rFonts w:ascii="Consolas" w:hAnsi="Consolas" w:eastAsia="Consolas" w:cs="Consolas"/>
                <w:sz w:val="18"/>
                <w:szCs w:val="18"/>
              </w:rPr>
              <w:t>st.set_page_config(page_title='Supportlytics | IT Operational Dashboard',</w:t>
            </w:r>
          </w:p>
          <w:p w14:paraId="6A672125">
            <w:pPr>
              <w:spacing w:after="20"/>
            </w:pPr>
            <w:r>
              <w:rPr>
                <w:rFonts w:ascii="Consolas" w:hAnsi="Consolas" w:eastAsia="Consolas" w:cs="Consolas"/>
                <w:sz w:val="18"/>
                <w:szCs w:val="18"/>
              </w:rPr>
              <w:t xml:space="preserve">                   page_icon='bar_chart', layout='wide')</w:t>
            </w:r>
          </w:p>
          <w:p w14:paraId="1F5E7FCB">
            <w:pPr>
              <w:spacing w:after="20"/>
            </w:pPr>
            <w:r>
              <w:rPr>
                <w:rFonts w:ascii="Consolas" w:hAnsi="Consolas" w:eastAsia="Consolas" w:cs="Consolas"/>
                <w:sz w:val="18"/>
                <w:szCs w:val="18"/>
              </w:rPr>
              <w:t>st.title('Supportlytics — IT Support Operational Dashboard')</w:t>
            </w:r>
          </w:p>
          <w:p w14:paraId="4BB720FC">
            <w:pPr>
              <w:spacing w:after="20"/>
            </w:pPr>
          </w:p>
          <w:p w14:paraId="59AC942C">
            <w:pPr>
              <w:spacing w:after="20"/>
            </w:pPr>
            <w:r>
              <w:rPr>
                <w:rFonts w:ascii="Consolas" w:hAnsi="Consolas" w:eastAsia="Consolas" w:cs="Consolas"/>
                <w:sz w:val="18"/>
                <w:szCs w:val="18"/>
              </w:rPr>
              <w:t># KPI cards: Avg Resolution Duration | Top Categories |</w:t>
            </w:r>
          </w:p>
          <w:p w14:paraId="6CB39208">
            <w:pPr>
              <w:spacing w:after="20"/>
            </w:pPr>
            <w:r>
              <w:rPr>
                <w:rFonts w:ascii="Consolas" w:hAnsi="Consolas" w:eastAsia="Consolas" w:cs="Consolas"/>
                <w:sz w:val="18"/>
                <w:szCs w:val="18"/>
              </w:rPr>
              <w:t># Cluster Similarity Index | SLA Breach Rate by Country</w:t>
            </w:r>
          </w:p>
          <w:p w14:paraId="37402E09">
            <w:pPr>
              <w:spacing w:after="20"/>
            </w:pPr>
            <w:r>
              <w:rPr>
                <w:rFonts w:ascii="Consolas" w:hAnsi="Consolas" w:eastAsia="Consolas" w:cs="Consolas"/>
                <w:sz w:val="18"/>
                <w:szCs w:val="18"/>
              </w:rPr>
              <w:t># Interactive charts filtered by Country, Priority, and Category</w:t>
            </w:r>
          </w:p>
        </w:tc>
      </w:tr>
    </w:tbl>
    <w:p w14:paraId="2A2EF3C6">
      <w:pPr>
        <w:spacing w:after="160"/>
      </w:pPr>
    </w:p>
    <w:p w14:paraId="361A8253">
      <w:pPr>
        <w:spacing w:after="80"/>
      </w:pPr>
      <w:r>
        <w:drawing>
          <wp:inline distT="0" distB="0" distL="0" distR="0">
            <wp:extent cx="457200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srcRect/>
                    <a:stretch>
                      <a:fillRect/>
                    </a:stretch>
                  </pic:blipFill>
                  <pic:spPr>
                    <a:xfrm>
                      <a:off x="0" y="0"/>
                      <a:ext cx="4572000" cy="3200400"/>
                    </a:xfrm>
                    <a:prstGeom prst="rect">
                      <a:avLst/>
                    </a:prstGeom>
                  </pic:spPr>
                </pic:pic>
              </a:graphicData>
            </a:graphic>
          </wp:inline>
        </w:drawing>
      </w:r>
    </w:p>
    <w:p w14:paraId="6EE0571D">
      <w:pPr>
        <w:spacing w:after="240"/>
        <w:jc w:val="left"/>
      </w:pPr>
      <w:r>
        <w:rPr>
          <w:i/>
          <w:iCs/>
          <w:color w:val="444444"/>
          <w:sz w:val="20"/>
          <w:szCs w:val="20"/>
        </w:rPr>
        <w:t>Fig 5.1: Static dashboard preview combining the four core KPIs. A live version can be built in Streamlit or Power BI using the same aggregations, with sidebar filters for Country, Priority, and Team.</w:t>
      </w:r>
    </w:p>
    <w:p w14:paraId="51E1A4B7">
      <w:pPr>
        <w:spacing w:after="160"/>
      </w:pPr>
      <w:r>
        <w:t>Across the full dataset, Access Management remains the most frequent ticket category (16.3% share) and average resolution duration holds at 3.7 days overall, while SLA breach rate (46.1%) and cluster similarity vary enough by segment that filtering by team, country, or cluster surfaces materially different pictures.</w:t>
      </w:r>
    </w:p>
    <w:p w14:paraId="61C142FE">
      <w:pPr>
        <w:pStyle w:val="3"/>
        <w:spacing w:before="240" w:after="120"/>
      </w:pPr>
      <w:r>
        <w:t>Module 8: Documentation and Presentation</w:t>
      </w:r>
    </w:p>
    <w:p w14:paraId="62760E83">
      <w:pPr>
        <w:pStyle w:val="18"/>
        <w:numPr>
          <w:ilvl w:val="0"/>
          <w:numId w:val="1"/>
        </w:numPr>
        <w:spacing w:after="80"/>
      </w:pPr>
      <w:r>
        <w:t>Final project report compiled summarizing objectives, methodology, and insights (this document).</w:t>
      </w:r>
    </w:p>
    <w:p w14:paraId="418314A0">
      <w:pPr>
        <w:pStyle w:val="18"/>
        <w:numPr>
          <w:ilvl w:val="0"/>
          <w:numId w:val="1"/>
        </w:numPr>
        <w:spacing w:after="80"/>
      </w:pPr>
      <w:r>
        <w:t>Presentation slides prepared highlighting key findings and recommendations.</w:t>
      </w:r>
    </w:p>
    <w:p w14:paraId="67DA1D99">
      <w:pPr>
        <w:pStyle w:val="18"/>
        <w:numPr>
          <w:ilvl w:val="0"/>
          <w:numId w:val="1"/>
        </w:numPr>
        <w:spacing w:after="80"/>
      </w:pPr>
      <w:r>
        <w:t>Code, visualizations, and processed dataset organized for submission / GitHub upload.</w:t>
      </w:r>
    </w:p>
    <w:p w14:paraId="3241BE0B">
      <w:r>
        <w:br w:type="page"/>
      </w:r>
    </w:p>
    <w:p w14:paraId="43E5F103">
      <w:pPr>
        <w:pStyle w:val="2"/>
        <w:spacing w:before="300" w:after="150"/>
      </w:pPr>
      <w:r>
        <w:t>6. Key Insights &amp; Recommendations</w:t>
      </w:r>
    </w:p>
    <w:p w14:paraId="7551DA18">
      <w:pPr>
        <w:pStyle w:val="3"/>
        <w:spacing w:before="240" w:after="120"/>
      </w:pPr>
      <w:r>
        <w:t>6.1 Key Insights</w:t>
      </w:r>
    </w:p>
    <w:p w14:paraId="3EF17B3A">
      <w:pPr>
        <w:pStyle w:val="18"/>
        <w:numPr>
          <w:ilvl w:val="0"/>
          <w:numId w:val="1"/>
        </w:numPr>
        <w:spacing w:after="80"/>
      </w:pPr>
      <w:r>
        <w:t>Incidents make up 45.1% of all ticket volume (5,415 of 12,000), making incident-handling efficiency the single biggest lever for overall performance.</w:t>
      </w:r>
    </w:p>
    <w:p w14:paraId="06845476">
      <w:pPr>
        <w:pStyle w:val="18"/>
        <w:numPr>
          <w:ilvl w:val="0"/>
          <w:numId w:val="1"/>
        </w:numPr>
        <w:spacing w:after="80"/>
      </w:pPr>
      <w:r>
        <w:t>Access Management is the dominant category (16.3% of tickets), indicating a need for stronger self-service password/access tooling to deflect routine requests.</w:t>
      </w:r>
    </w:p>
    <w:p w14:paraId="0D733811">
      <w:pPr>
        <w:pStyle w:val="18"/>
        <w:numPr>
          <w:ilvl w:val="0"/>
          <w:numId w:val="1"/>
        </w:numPr>
        <w:spacing w:after="80"/>
      </w:pPr>
      <w:r>
        <w:t>Cluster quality is uneven: similarity ranges from 0.57 to 0.96 across clusters. Login &amp; Access Failures, despite being one of the largest clusters (1,354 tickets), sits well below a 0.75 quality bar and is a strong candidate for re-clustering.</w:t>
      </w:r>
    </w:p>
    <w:p w14:paraId="661DC49B">
      <w:pPr>
        <w:pStyle w:val="18"/>
        <w:numPr>
          <w:ilvl w:val="0"/>
          <w:numId w:val="1"/>
        </w:numPr>
        <w:spacing w:after="80"/>
      </w:pPr>
      <w:r>
        <w:t>323 High/Critical priority tickets remain unresolved, concentrated in App Support and Security Team — a direct SLA risk.</w:t>
      </w:r>
    </w:p>
    <w:p w14:paraId="253AEDF1">
      <w:pPr>
        <w:pStyle w:val="18"/>
        <w:numPr>
          <w:ilvl w:val="0"/>
          <w:numId w:val="1"/>
        </w:numPr>
        <w:spacing w:after="80"/>
      </w:pPr>
      <w:r>
        <w:t>46.1% of all tickets breach SLA overall, and China underperforms further at 49.4% versus UAE's 43.1%, suggesting a regional process or staffing gap.</w:t>
      </w:r>
    </w:p>
    <w:p w14:paraId="2895640B">
      <w:pPr>
        <w:pStyle w:val="18"/>
        <w:numPr>
          <w:ilvl w:val="0"/>
          <w:numId w:val="1"/>
        </w:numPr>
        <w:spacing w:after="80"/>
      </w:pPr>
      <w:r>
        <w:t>7.3% of tickets are reopened after being marked resolved, a useful secondary signal of first-time-fix quality alongside resolution duration.</w:t>
      </w:r>
    </w:p>
    <w:p w14:paraId="61429BB6">
      <w:pPr>
        <w:pStyle w:val="3"/>
        <w:spacing w:before="240" w:after="120"/>
      </w:pPr>
      <w:r>
        <w:t>6.2 Recommendations</w:t>
      </w:r>
    </w:p>
    <w:p w14:paraId="0948A236">
      <w:pPr>
        <w:pStyle w:val="18"/>
        <w:numPr>
          <w:ilvl w:val="0"/>
          <w:numId w:val="1"/>
        </w:numPr>
        <w:spacing w:after="80"/>
      </w:pPr>
      <w:r>
        <w:t>Prioritize additional resourcing or automation in App Support and Security Team to reduce the backlog of unresolved High/Critical tickets.</w:t>
      </w:r>
    </w:p>
    <w:p w14:paraId="6FCF7EB7">
      <w:pPr>
        <w:pStyle w:val="18"/>
        <w:numPr>
          <w:ilvl w:val="0"/>
          <w:numId w:val="1"/>
        </w:numPr>
        <w:spacing w:after="80"/>
      </w:pPr>
      <w:r>
        <w:t>Investigate root causes behind the low similarity score in Login &amp; Access Failures and consider splitting it into more specific sub-clusters or dedicated routing rules.</w:t>
      </w:r>
    </w:p>
    <w:p w14:paraId="0CC95409">
      <w:pPr>
        <w:pStyle w:val="18"/>
        <w:numPr>
          <w:ilvl w:val="0"/>
          <w:numId w:val="1"/>
        </w:numPr>
        <w:spacing w:after="80"/>
      </w:pPr>
      <w:r>
        <w:t>Expand self-service documentation and automated workflows for Access Management issues, which dominate ticket volume.</w:t>
      </w:r>
    </w:p>
    <w:p w14:paraId="62784B57">
      <w:pPr>
        <w:pStyle w:val="18"/>
        <w:numPr>
          <w:ilvl w:val="0"/>
          <w:numId w:val="1"/>
        </w:numPr>
        <w:spacing w:after="80"/>
      </w:pPr>
      <w:r>
        <w:t>Review staffing and process consistency in China to close the regional SLA-compliance gap.</w:t>
      </w:r>
    </w:p>
    <w:p w14:paraId="13289E8F">
      <w:pPr>
        <w:pStyle w:val="18"/>
        <w:numPr>
          <w:ilvl w:val="0"/>
          <w:numId w:val="1"/>
        </w:numPr>
        <w:spacing w:after="80"/>
      </w:pPr>
      <w:r>
        <w:t>Continue monitoring similarity scores and reopen rates over time; clusters or regions drifting outside acceptable thresholds should trigger a targeted review.</w:t>
      </w:r>
    </w:p>
    <w:p w14:paraId="046847FA">
      <w:r>
        <w:br w:type="page"/>
      </w:r>
    </w:p>
    <w:p w14:paraId="34E619B6">
      <w:pPr>
        <w:pStyle w:val="2"/>
        <w:spacing w:before="300" w:after="150"/>
      </w:pPr>
      <w:r>
        <w:t>7. Conclusion</w:t>
      </w:r>
    </w:p>
    <w:p w14:paraId="62471C7B">
      <w:pPr>
        <w:spacing w:after="160"/>
      </w:pPr>
      <w:r>
        <w:t>This project demonstrates an end-to-end analytics workflow — from raw ticket data to actionable business recommendations. Through systematic data cleaning, exploratory analysis, clustering, and performance benchmarking, the project surfaced concrete opportunities to reduce resolution times, rebalance team workloads, and address regional SLA gaps. The resulting dashboard gives IT support leadership an ongoing tool to monitor these KPIs and make data-driven operational decisions.</w:t>
      </w:r>
    </w:p>
    <w:p w14:paraId="1B0C0C11">
      <w:pPr>
        <w:spacing w:after="160"/>
      </w:pPr>
      <w:r>
        <w:t>This project strengthened practical skills in Python-based data analysis, statistical visualization, clustering techniques, and dashboard development — forming a solid foundation for further work in data analytics and business intelligence.</w:t>
      </w:r>
    </w:p>
    <w:p w14:paraId="3D96E314">
      <w:pPr>
        <w:pBdr>
          <w:bottom w:val="single" w:color="999999" w:sz="6" w:space="1"/>
        </w:pBdr>
        <w:spacing w:after="240"/>
      </w:pPr>
    </w:p>
    <w:p w14:paraId="530DF0F1">
      <w:pPr>
        <w:pStyle w:val="2"/>
        <w:spacing w:before="300" w:after="150"/>
      </w:pPr>
      <w:r>
        <w:t>8. Tools &amp; References</w:t>
      </w:r>
    </w:p>
    <w:p w14:paraId="7B80055A">
      <w:pPr>
        <w:pStyle w:val="18"/>
        <w:numPr>
          <w:ilvl w:val="0"/>
          <w:numId w:val="1"/>
        </w:numPr>
        <w:spacing w:after="80"/>
      </w:pPr>
      <w:r>
        <w:t>Python Libraries: pandas, NumPy, Matplotlib, Seaborn</w:t>
      </w:r>
    </w:p>
    <w:p w14:paraId="34F11C0C">
      <w:pPr>
        <w:pStyle w:val="18"/>
        <w:numPr>
          <w:ilvl w:val="0"/>
          <w:numId w:val="1"/>
        </w:numPr>
        <w:spacing w:after="80"/>
      </w:pPr>
      <w:r>
        <w:t>Development Environment: Jupyter Notebook</w:t>
      </w:r>
    </w:p>
    <w:p w14:paraId="0B6F5F52">
      <w:pPr>
        <w:pStyle w:val="18"/>
        <w:numPr>
          <w:ilvl w:val="0"/>
          <w:numId w:val="1"/>
        </w:numPr>
        <w:spacing w:after="80"/>
      </w:pPr>
      <w:r>
        <w:t>Dataset: Internal IT Support Ticket System (IT_Support_Ticket_Dataset_Cleaned.csv)</w:t>
      </w:r>
    </w:p>
    <w:p w14:paraId="66D6C38A">
      <w:pPr>
        <w:pStyle w:val="18"/>
        <w:numPr>
          <w:ilvl w:val="0"/>
          <w:numId w:val="1"/>
        </w:numPr>
        <w:spacing w:after="80"/>
      </w:pPr>
      <w:r>
        <w:t>Program: [Your Internship / Course Program Name]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F4D62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2249</Words>
  <Characters>14711</Characters>
  <TotalTime>0</TotalTime>
  <ScaleCrop>false</ScaleCrop>
  <LinksUpToDate>false</LinksUpToDate>
  <CharactersWithSpaces>16795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2026-08-21T11:47:00Z</dcterms:created>
  <dc:creator>Un-named</dc:creator>
  <cp:lastModifiedBy>WPS_1772020609</cp:lastModifiedBy>
  <dcterms:modified xsi:type="dcterms:W3CDTF">2026-08-21T11:57:10Z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eyJoZGlkIjoiZWMwZTIxMGFmZmQzMWRmMmFjMWVkMDRmOGIwMjQzMjkiLCJ1c2VySWQiOiI1Njc2NjI5NzgyMzIifQ==</vt:lpwstr>
  </property>
  <property fmtid="{D5CDD505-2E9C-101B-9397-08002B2CF9AE}" pid="3" name="KSOProductBuildVer">
    <vt:lpwstr>1033-12.1.0.28032</vt:lpwstr>
  </property>
  <property fmtid="{D5CDD505-2E9C-101B-9397-08002B2CF9AE}" pid="4" name="ICV">
    <vt:lpwstr>9CCCFD65951747A3A7EC985EB0EC6DDC_12</vt:lpwstr>
  </property>
</Properties>
</file>