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98F88" w14:textId="77777777" w:rsidR="00CF7574" w:rsidRDefault="00000000">
      <w:pPr>
        <w:spacing w:before="1600"/>
        <w:jc w:val="center"/>
      </w:pPr>
      <w:r>
        <w:rPr>
          <w:b/>
          <w:bCs/>
          <w:color w:val="1E3A8A"/>
          <w:sz w:val="56"/>
          <w:szCs w:val="56"/>
        </w:rPr>
        <w:t>SUPPORTLYTICS</w:t>
      </w:r>
    </w:p>
    <w:p w14:paraId="7EB42FE4" w14:textId="77777777" w:rsidR="00CF7574" w:rsidRDefault="00000000">
      <w:pPr>
        <w:spacing w:before="200" w:after="100"/>
        <w:jc w:val="center"/>
      </w:pPr>
      <w:r>
        <w:rPr>
          <w:b/>
          <w:bCs/>
          <w:color w:val="2563EB"/>
          <w:sz w:val="28"/>
          <w:szCs w:val="28"/>
        </w:rPr>
        <w:t>Data-Driven Optimization of IT Support Team Performance</w:t>
      </w:r>
    </w:p>
    <w:p w14:paraId="619E35B6" w14:textId="77777777" w:rsidR="00CF7574" w:rsidRDefault="00000000">
      <w:pPr>
        <w:spacing w:after="800"/>
        <w:jc w:val="center"/>
      </w:pPr>
      <w:r>
        <w:rPr>
          <w:color w:val="334155"/>
          <w:sz w:val="24"/>
          <w:szCs w:val="24"/>
        </w:rPr>
        <w:t>Using Advanced Analytics</w:t>
      </w:r>
    </w:p>
    <w:p w14:paraId="0D7F78F0" w14:textId="77777777" w:rsidR="00CF7574" w:rsidRDefault="00000000">
      <w:pPr>
        <w:spacing w:after="80"/>
        <w:jc w:val="center"/>
      </w:pPr>
      <w:r>
        <w:rPr>
          <w:b/>
          <w:bCs/>
          <w:color w:val="0F172A"/>
          <w:sz w:val="24"/>
          <w:szCs w:val="24"/>
        </w:rPr>
        <w:t>Final Project Report</w:t>
      </w:r>
    </w:p>
    <w:p w14:paraId="6E4F3F4A" w14:textId="27CE7D69" w:rsidR="00CF7574" w:rsidRDefault="00000000" w:rsidP="00AD7647">
      <w:pPr>
        <w:spacing w:after="40"/>
        <w:ind w:left="3600" w:firstLine="720"/>
      </w:pPr>
      <w:r>
        <w:rPr>
          <w:color w:val="64748B"/>
          <w:sz w:val="20"/>
          <w:szCs w:val="20"/>
        </w:rPr>
        <w:t xml:space="preserve"> Modules 1–8</w:t>
      </w:r>
    </w:p>
    <w:p w14:paraId="713BEB3F" w14:textId="77777777" w:rsidR="00CF7574" w:rsidRDefault="00000000">
      <w:pPr>
        <w:spacing w:before="1200"/>
        <w:jc w:val="center"/>
      </w:pPr>
      <w:r>
        <w:rPr>
          <w:i/>
          <w:iCs/>
          <w:color w:val="64748B"/>
          <w:sz w:val="18"/>
          <w:szCs w:val="18"/>
        </w:rPr>
        <w:t>Dataset: customer_support_tickets_200k.csv  •  200,000 records  •  30 columns</w:t>
      </w:r>
    </w:p>
    <w:p w14:paraId="22BCC959" w14:textId="77777777" w:rsidR="00CF7574" w:rsidRDefault="00000000">
      <w:r>
        <w:br w:type="page"/>
      </w:r>
    </w:p>
    <w:p w14:paraId="3F851FBE" w14:textId="77777777" w:rsidR="00CF7574" w:rsidRDefault="00000000">
      <w:pPr>
        <w:pStyle w:val="Heading1"/>
        <w:spacing w:before="400" w:after="200"/>
      </w:pPr>
      <w:r>
        <w:lastRenderedPageBreak/>
        <w:t>Executive Summary</w:t>
      </w:r>
    </w:p>
    <w:p w14:paraId="711F8FA4" w14:textId="77777777" w:rsidR="00CF7574" w:rsidRDefault="00000000">
      <w:pPr>
        <w:spacing w:after="160" w:line="300" w:lineRule="auto"/>
      </w:pPr>
      <w:r>
        <w:rPr>
          <w:color w:val="1E293B"/>
        </w:rPr>
        <w:t xml:space="preserve">This project </w:t>
      </w:r>
      <w:proofErr w:type="spellStart"/>
      <w:r>
        <w:rPr>
          <w:color w:val="1E293B"/>
        </w:rPr>
        <w:t>analyzed</w:t>
      </w:r>
      <w:proofErr w:type="spellEnd"/>
      <w:r>
        <w:rPr>
          <w:color w:val="1E293B"/>
        </w:rPr>
        <w:t xml:space="preserve"> 200,000 IT support tickets to evaluate resolution performance, uncover operational bottlenecks, and provide data-backed recommendations for improving service efficiency. The analysis covered data cleaning and feature engineering, exploratory data analysis, K-Means clustering and similarity scoring, performance-trend and geographic analysis, and culminated in an interactive </w:t>
      </w:r>
      <w:proofErr w:type="spellStart"/>
      <w:r>
        <w:rPr>
          <w:color w:val="1E293B"/>
        </w:rPr>
        <w:t>Streamlit</w:t>
      </w:r>
      <w:proofErr w:type="spellEnd"/>
      <w:r>
        <w:rPr>
          <w:color w:val="1E293B"/>
        </w:rPr>
        <w:t xml:space="preserve"> dashboard.</w:t>
      </w:r>
    </w:p>
    <w:p w14:paraId="62D67BB0" w14:textId="77777777" w:rsidR="00CF7574" w:rsidRDefault="00000000">
      <w:pPr>
        <w:spacing w:after="160" w:line="300" w:lineRule="auto"/>
      </w:pPr>
      <w:r>
        <w:rPr>
          <w:color w:val="1E293B"/>
        </w:rPr>
        <w:t xml:space="preserve">The single most important finding is that resolution performance is a systemic problem, not a localized one. Priority level, product category, ticket channel, and geographic region all show almost no influence on how quickly a ticket gets resolved — every cut of the data converges on roughly the same ~165–170 hour average and ~26–27% SLA compliance rate. The one dimension that does explain the variation is </w:t>
      </w:r>
      <w:proofErr w:type="spellStart"/>
      <w:r>
        <w:rPr>
          <w:color w:val="1E293B"/>
        </w:rPr>
        <w:t>behavioral</w:t>
      </w:r>
      <w:proofErr w:type="spellEnd"/>
      <w:r>
        <w:rPr>
          <w:color w:val="1E293B"/>
        </w:rPr>
        <w:t xml:space="preserve"> clustering: K-Means segmentation surfaced one cluster (Cluster 1) that is disproportionately slow despite low issue complexity, making it the clearest, most actionable lever for improvement.</w:t>
      </w:r>
    </w:p>
    <w:p w14:paraId="59540B8B" w14:textId="77777777" w:rsidR="00CF7574" w:rsidRDefault="00000000">
      <w:pPr>
        <w:pStyle w:val="Heading3"/>
      </w:pPr>
      <w:r>
        <w:t>Key Numbers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0"/>
        <w:gridCol w:w="3000"/>
      </w:tblGrid>
      <w:tr w:rsidR="00CF7574" w14:paraId="4D029D92" w14:textId="77777777">
        <w:tblPrEx>
          <w:tblCellMar>
            <w:top w:w="0" w:type="dxa"/>
            <w:bottom w:w="0" w:type="dxa"/>
          </w:tblCellMar>
        </w:tblPrEx>
        <w:trPr>
          <w:tblHeader/>
        </w:trPr>
        <w:tc>
          <w:tcPr>
            <w:tcW w:w="5600" w:type="dxa"/>
            <w:shd w:val="clear" w:color="auto" w:fill="1E3A8A"/>
            <w:tcMar>
              <w:top w:w="80" w:type="dxa"/>
              <w:left w:w="120" w:type="dxa"/>
              <w:bottom w:w="80" w:type="dxa"/>
              <w:right w:w="120" w:type="dxa"/>
            </w:tcMar>
          </w:tcPr>
          <w:p w14:paraId="084BAFF6" w14:textId="77777777" w:rsidR="00CF7574" w:rsidRDefault="00000000">
            <w:r>
              <w:rPr>
                <w:b/>
                <w:bCs/>
                <w:color w:val="FFFFFF"/>
                <w:sz w:val="20"/>
                <w:szCs w:val="20"/>
              </w:rPr>
              <w:t>Metric</w:t>
            </w:r>
          </w:p>
        </w:tc>
        <w:tc>
          <w:tcPr>
            <w:tcW w:w="3000" w:type="dxa"/>
            <w:shd w:val="clear" w:color="auto" w:fill="1E3A8A"/>
            <w:tcMar>
              <w:top w:w="80" w:type="dxa"/>
              <w:left w:w="120" w:type="dxa"/>
              <w:bottom w:w="80" w:type="dxa"/>
              <w:right w:w="120" w:type="dxa"/>
            </w:tcMar>
          </w:tcPr>
          <w:p w14:paraId="5AAA2963" w14:textId="77777777" w:rsidR="00CF7574" w:rsidRDefault="00000000">
            <w:r>
              <w:rPr>
                <w:b/>
                <w:bCs/>
                <w:color w:val="FFFFFF"/>
                <w:sz w:val="20"/>
                <w:szCs w:val="20"/>
              </w:rPr>
              <w:t>Value</w:t>
            </w:r>
          </w:p>
        </w:tc>
      </w:tr>
      <w:tr w:rsidR="00CF7574" w14:paraId="2B25BB80" w14:textId="77777777">
        <w:tblPrEx>
          <w:tblCellMar>
            <w:top w:w="0" w:type="dxa"/>
            <w:bottom w:w="0" w:type="dxa"/>
          </w:tblCellMar>
        </w:tblPrEx>
        <w:tc>
          <w:tcPr>
            <w:tcW w:w="5600" w:type="dxa"/>
            <w:shd w:val="clear" w:color="auto" w:fill="FFFFFF"/>
            <w:tcMar>
              <w:top w:w="80" w:type="dxa"/>
              <w:left w:w="120" w:type="dxa"/>
              <w:bottom w:w="80" w:type="dxa"/>
              <w:right w:w="120" w:type="dxa"/>
            </w:tcMar>
          </w:tcPr>
          <w:p w14:paraId="7863C560" w14:textId="77777777" w:rsidR="00CF7574" w:rsidRDefault="00000000">
            <w:r>
              <w:rPr>
                <w:color w:val="1E293B"/>
                <w:sz w:val="20"/>
                <w:szCs w:val="20"/>
              </w:rPr>
              <w:t xml:space="preserve">Total tickets </w:t>
            </w:r>
            <w:proofErr w:type="spellStart"/>
            <w:r>
              <w:rPr>
                <w:color w:val="1E293B"/>
                <w:sz w:val="20"/>
                <w:szCs w:val="20"/>
              </w:rPr>
              <w:t>analyzed</w:t>
            </w:r>
            <w:proofErr w:type="spellEnd"/>
          </w:p>
        </w:tc>
        <w:tc>
          <w:tcPr>
            <w:tcW w:w="3000" w:type="dxa"/>
            <w:shd w:val="clear" w:color="auto" w:fill="FFFFFF"/>
            <w:tcMar>
              <w:top w:w="80" w:type="dxa"/>
              <w:left w:w="120" w:type="dxa"/>
              <w:bottom w:w="80" w:type="dxa"/>
              <w:right w:w="120" w:type="dxa"/>
            </w:tcMar>
          </w:tcPr>
          <w:p w14:paraId="2697DDD3" w14:textId="77777777" w:rsidR="00CF7574" w:rsidRDefault="00000000">
            <w:r>
              <w:rPr>
                <w:color w:val="1E293B"/>
                <w:sz w:val="20"/>
                <w:szCs w:val="20"/>
              </w:rPr>
              <w:t>200,000</w:t>
            </w:r>
          </w:p>
        </w:tc>
      </w:tr>
      <w:tr w:rsidR="00CF7574" w14:paraId="081562D8" w14:textId="77777777">
        <w:tblPrEx>
          <w:tblCellMar>
            <w:top w:w="0" w:type="dxa"/>
            <w:bottom w:w="0" w:type="dxa"/>
          </w:tblCellMar>
        </w:tblPrEx>
        <w:tc>
          <w:tcPr>
            <w:tcW w:w="5600" w:type="dxa"/>
            <w:shd w:val="clear" w:color="auto" w:fill="F8FAFC"/>
            <w:tcMar>
              <w:top w:w="80" w:type="dxa"/>
              <w:left w:w="120" w:type="dxa"/>
              <w:bottom w:w="80" w:type="dxa"/>
              <w:right w:w="120" w:type="dxa"/>
            </w:tcMar>
          </w:tcPr>
          <w:p w14:paraId="6196DACA" w14:textId="77777777" w:rsidR="00CF7574" w:rsidRDefault="00000000">
            <w:r>
              <w:rPr>
                <w:color w:val="1E293B"/>
                <w:sz w:val="20"/>
                <w:szCs w:val="20"/>
              </w:rPr>
              <w:t>Global average resolution time</w:t>
            </w:r>
          </w:p>
        </w:tc>
        <w:tc>
          <w:tcPr>
            <w:tcW w:w="3000" w:type="dxa"/>
            <w:shd w:val="clear" w:color="auto" w:fill="F8FAFC"/>
            <w:tcMar>
              <w:top w:w="80" w:type="dxa"/>
              <w:left w:w="120" w:type="dxa"/>
              <w:bottom w:w="80" w:type="dxa"/>
              <w:right w:w="120" w:type="dxa"/>
            </w:tcMar>
          </w:tcPr>
          <w:p w14:paraId="7354678C" w14:textId="77777777" w:rsidR="00CF7574" w:rsidRDefault="00000000">
            <w:r>
              <w:rPr>
                <w:color w:val="1E293B"/>
                <w:sz w:val="20"/>
                <w:szCs w:val="20"/>
              </w:rPr>
              <w:t>168.2 hours (~7 days)</w:t>
            </w:r>
          </w:p>
        </w:tc>
      </w:tr>
      <w:tr w:rsidR="00CF7574" w14:paraId="07B34133" w14:textId="77777777">
        <w:tblPrEx>
          <w:tblCellMar>
            <w:top w:w="0" w:type="dxa"/>
            <w:bottom w:w="0" w:type="dxa"/>
          </w:tblCellMar>
        </w:tblPrEx>
        <w:tc>
          <w:tcPr>
            <w:tcW w:w="5600" w:type="dxa"/>
            <w:shd w:val="clear" w:color="auto" w:fill="FFFFFF"/>
            <w:tcMar>
              <w:top w:w="80" w:type="dxa"/>
              <w:left w:w="120" w:type="dxa"/>
              <w:bottom w:w="80" w:type="dxa"/>
              <w:right w:w="120" w:type="dxa"/>
            </w:tcMar>
          </w:tcPr>
          <w:p w14:paraId="377DAB0C" w14:textId="77777777" w:rsidR="00CF7574" w:rsidRDefault="00000000">
            <w:r>
              <w:rPr>
                <w:color w:val="1E293B"/>
                <w:sz w:val="20"/>
                <w:szCs w:val="20"/>
              </w:rPr>
              <w:t>Overall SLA compliance rate (≤72h)</w:t>
            </w:r>
          </w:p>
        </w:tc>
        <w:tc>
          <w:tcPr>
            <w:tcW w:w="3000" w:type="dxa"/>
            <w:shd w:val="clear" w:color="auto" w:fill="FFFFFF"/>
            <w:tcMar>
              <w:top w:w="80" w:type="dxa"/>
              <w:left w:w="120" w:type="dxa"/>
              <w:bottom w:w="80" w:type="dxa"/>
              <w:right w:w="120" w:type="dxa"/>
            </w:tcMar>
          </w:tcPr>
          <w:p w14:paraId="6B17B623" w14:textId="77777777" w:rsidR="00CF7574" w:rsidRDefault="00000000">
            <w:r>
              <w:rPr>
                <w:color w:val="1E293B"/>
                <w:sz w:val="20"/>
                <w:szCs w:val="20"/>
              </w:rPr>
              <w:t>26.7%</w:t>
            </w:r>
          </w:p>
        </w:tc>
      </w:tr>
      <w:tr w:rsidR="00CF7574" w14:paraId="60F1230F" w14:textId="77777777">
        <w:tblPrEx>
          <w:tblCellMar>
            <w:top w:w="0" w:type="dxa"/>
            <w:bottom w:w="0" w:type="dxa"/>
          </w:tblCellMar>
        </w:tblPrEx>
        <w:tc>
          <w:tcPr>
            <w:tcW w:w="5600" w:type="dxa"/>
            <w:shd w:val="clear" w:color="auto" w:fill="F8FAFC"/>
            <w:tcMar>
              <w:top w:w="80" w:type="dxa"/>
              <w:left w:w="120" w:type="dxa"/>
              <w:bottom w:w="80" w:type="dxa"/>
              <w:right w:w="120" w:type="dxa"/>
            </w:tcMar>
          </w:tcPr>
          <w:p w14:paraId="02D8E4F9" w14:textId="77777777" w:rsidR="00CF7574" w:rsidRDefault="00000000">
            <w:r>
              <w:rPr>
                <w:color w:val="1E293B"/>
                <w:sz w:val="20"/>
                <w:szCs w:val="20"/>
              </w:rPr>
              <w:t>Global average CSAT (1–5)</w:t>
            </w:r>
          </w:p>
        </w:tc>
        <w:tc>
          <w:tcPr>
            <w:tcW w:w="3000" w:type="dxa"/>
            <w:shd w:val="clear" w:color="auto" w:fill="F8FAFC"/>
            <w:tcMar>
              <w:top w:w="80" w:type="dxa"/>
              <w:left w:w="120" w:type="dxa"/>
              <w:bottom w:w="80" w:type="dxa"/>
              <w:right w:w="120" w:type="dxa"/>
            </w:tcMar>
          </w:tcPr>
          <w:p w14:paraId="55D4D4B6" w14:textId="77777777" w:rsidR="00CF7574" w:rsidRDefault="00000000">
            <w:r>
              <w:rPr>
                <w:color w:val="1E293B"/>
                <w:sz w:val="20"/>
                <w:szCs w:val="20"/>
              </w:rPr>
              <w:t>3.00</w:t>
            </w:r>
          </w:p>
        </w:tc>
      </w:tr>
      <w:tr w:rsidR="00CF7574" w14:paraId="54C69162" w14:textId="77777777">
        <w:tblPrEx>
          <w:tblCellMar>
            <w:top w:w="0" w:type="dxa"/>
            <w:bottom w:w="0" w:type="dxa"/>
          </w:tblCellMar>
        </w:tblPrEx>
        <w:tc>
          <w:tcPr>
            <w:tcW w:w="5600" w:type="dxa"/>
            <w:shd w:val="clear" w:color="auto" w:fill="FFFFFF"/>
            <w:tcMar>
              <w:top w:w="80" w:type="dxa"/>
              <w:left w:w="120" w:type="dxa"/>
              <w:bottom w:w="80" w:type="dxa"/>
              <w:right w:w="120" w:type="dxa"/>
            </w:tcMar>
          </w:tcPr>
          <w:p w14:paraId="1DDAD83C" w14:textId="77777777" w:rsidR="00CF7574" w:rsidRDefault="00000000">
            <w:r>
              <w:rPr>
                <w:color w:val="1E293B"/>
                <w:sz w:val="20"/>
                <w:szCs w:val="20"/>
              </w:rPr>
              <w:t>Active critical backlog (unresolved High/Urgent)</w:t>
            </w:r>
          </w:p>
        </w:tc>
        <w:tc>
          <w:tcPr>
            <w:tcW w:w="3000" w:type="dxa"/>
            <w:shd w:val="clear" w:color="auto" w:fill="FFFFFF"/>
            <w:tcMar>
              <w:top w:w="80" w:type="dxa"/>
              <w:left w:w="120" w:type="dxa"/>
              <w:bottom w:w="80" w:type="dxa"/>
              <w:right w:w="120" w:type="dxa"/>
            </w:tcMar>
          </w:tcPr>
          <w:p w14:paraId="6FA62AD8" w14:textId="77777777" w:rsidR="00CF7574" w:rsidRDefault="00000000">
            <w:r>
              <w:rPr>
                <w:color w:val="1E293B"/>
                <w:sz w:val="20"/>
                <w:szCs w:val="20"/>
              </w:rPr>
              <w:t>40,133 tickets</w:t>
            </w:r>
          </w:p>
        </w:tc>
      </w:tr>
      <w:tr w:rsidR="00CF7574" w14:paraId="76CF3F7C" w14:textId="77777777">
        <w:tblPrEx>
          <w:tblCellMar>
            <w:top w:w="0" w:type="dxa"/>
            <w:bottom w:w="0" w:type="dxa"/>
          </w:tblCellMar>
        </w:tblPrEx>
        <w:tc>
          <w:tcPr>
            <w:tcW w:w="5600" w:type="dxa"/>
            <w:shd w:val="clear" w:color="auto" w:fill="F8FAFC"/>
            <w:tcMar>
              <w:top w:w="80" w:type="dxa"/>
              <w:left w:w="120" w:type="dxa"/>
              <w:bottom w:w="80" w:type="dxa"/>
              <w:right w:w="120" w:type="dxa"/>
            </w:tcMar>
          </w:tcPr>
          <w:p w14:paraId="60C4529D" w14:textId="77777777" w:rsidR="00CF7574" w:rsidRDefault="00000000">
            <w:r>
              <w:rPr>
                <w:color w:val="1E293B"/>
                <w:sz w:val="20"/>
                <w:szCs w:val="20"/>
              </w:rPr>
              <w:t>K-Means clusters identified</w:t>
            </w:r>
          </w:p>
        </w:tc>
        <w:tc>
          <w:tcPr>
            <w:tcW w:w="3000" w:type="dxa"/>
            <w:shd w:val="clear" w:color="auto" w:fill="F8FAFC"/>
            <w:tcMar>
              <w:top w:w="80" w:type="dxa"/>
              <w:left w:w="120" w:type="dxa"/>
              <w:bottom w:w="80" w:type="dxa"/>
              <w:right w:w="120" w:type="dxa"/>
            </w:tcMar>
          </w:tcPr>
          <w:p w14:paraId="66A22E18" w14:textId="77777777" w:rsidR="00CF7574" w:rsidRDefault="00000000">
            <w:r>
              <w:rPr>
                <w:color w:val="1E293B"/>
                <w:sz w:val="20"/>
                <w:szCs w:val="20"/>
              </w:rPr>
              <w:t>4</w:t>
            </w:r>
          </w:p>
        </w:tc>
      </w:tr>
      <w:tr w:rsidR="00CF7574" w14:paraId="12FD9C71" w14:textId="77777777">
        <w:tblPrEx>
          <w:tblCellMar>
            <w:top w:w="0" w:type="dxa"/>
            <w:bottom w:w="0" w:type="dxa"/>
          </w:tblCellMar>
        </w:tblPrEx>
        <w:tc>
          <w:tcPr>
            <w:tcW w:w="5600" w:type="dxa"/>
            <w:shd w:val="clear" w:color="auto" w:fill="FFFFFF"/>
            <w:tcMar>
              <w:top w:w="80" w:type="dxa"/>
              <w:left w:w="120" w:type="dxa"/>
              <w:bottom w:w="80" w:type="dxa"/>
              <w:right w:w="120" w:type="dxa"/>
            </w:tcMar>
          </w:tcPr>
          <w:p w14:paraId="07C3600D" w14:textId="77777777" w:rsidR="00CF7574" w:rsidRDefault="00000000">
            <w:r>
              <w:rPr>
                <w:color w:val="1E293B"/>
                <w:sz w:val="20"/>
                <w:szCs w:val="20"/>
              </w:rPr>
              <w:t>Weakest cluster performance score</w:t>
            </w:r>
          </w:p>
        </w:tc>
        <w:tc>
          <w:tcPr>
            <w:tcW w:w="3000" w:type="dxa"/>
            <w:shd w:val="clear" w:color="auto" w:fill="FFFFFF"/>
            <w:tcMar>
              <w:top w:w="80" w:type="dxa"/>
              <w:left w:w="120" w:type="dxa"/>
              <w:bottom w:w="80" w:type="dxa"/>
              <w:right w:w="120" w:type="dxa"/>
            </w:tcMar>
          </w:tcPr>
          <w:p w14:paraId="6D488AB1" w14:textId="77777777" w:rsidR="00CF7574" w:rsidRDefault="00000000">
            <w:r>
              <w:rPr>
                <w:color w:val="1E293B"/>
                <w:sz w:val="20"/>
                <w:szCs w:val="20"/>
              </w:rPr>
              <w:t>30.4 / 100 (Cluster 1)</w:t>
            </w:r>
          </w:p>
        </w:tc>
      </w:tr>
      <w:tr w:rsidR="00CF7574" w14:paraId="18A7B142" w14:textId="77777777">
        <w:tblPrEx>
          <w:tblCellMar>
            <w:top w:w="0" w:type="dxa"/>
            <w:bottom w:w="0" w:type="dxa"/>
          </w:tblCellMar>
        </w:tblPrEx>
        <w:tc>
          <w:tcPr>
            <w:tcW w:w="5600" w:type="dxa"/>
            <w:shd w:val="clear" w:color="auto" w:fill="F8FAFC"/>
            <w:tcMar>
              <w:top w:w="80" w:type="dxa"/>
              <w:left w:w="120" w:type="dxa"/>
              <w:bottom w:w="80" w:type="dxa"/>
              <w:right w:w="120" w:type="dxa"/>
            </w:tcMar>
          </w:tcPr>
          <w:p w14:paraId="26676382" w14:textId="77777777" w:rsidR="00CF7574" w:rsidRDefault="00000000">
            <w:r>
              <w:rPr>
                <w:color w:val="1E293B"/>
                <w:sz w:val="20"/>
                <w:szCs w:val="20"/>
              </w:rPr>
              <w:t>Strongest cluster performance score</w:t>
            </w:r>
          </w:p>
        </w:tc>
        <w:tc>
          <w:tcPr>
            <w:tcW w:w="3000" w:type="dxa"/>
            <w:shd w:val="clear" w:color="auto" w:fill="F8FAFC"/>
            <w:tcMar>
              <w:top w:w="80" w:type="dxa"/>
              <w:left w:w="120" w:type="dxa"/>
              <w:bottom w:w="80" w:type="dxa"/>
              <w:right w:w="120" w:type="dxa"/>
            </w:tcMar>
          </w:tcPr>
          <w:p w14:paraId="67613E80" w14:textId="77777777" w:rsidR="00CF7574" w:rsidRDefault="00000000">
            <w:r>
              <w:rPr>
                <w:color w:val="1E293B"/>
                <w:sz w:val="20"/>
                <w:szCs w:val="20"/>
              </w:rPr>
              <w:t>59.3 / 100 (Cluster 3)</w:t>
            </w:r>
          </w:p>
        </w:tc>
      </w:tr>
    </w:tbl>
    <w:p w14:paraId="7447F502" w14:textId="77777777" w:rsidR="00CF7574" w:rsidRDefault="00000000">
      <w:pPr>
        <w:pStyle w:val="Heading1"/>
        <w:spacing w:before="400" w:after="200"/>
      </w:pPr>
      <w:r>
        <w:t>1. Project Objectives &amp; KPIs</w:t>
      </w:r>
    </w:p>
    <w:p w14:paraId="078F4B3C" w14:textId="77777777" w:rsidR="00CF7574" w:rsidRDefault="00000000">
      <w:pPr>
        <w:spacing w:after="160" w:line="300" w:lineRule="auto"/>
      </w:pPr>
      <w:r>
        <w:rPr>
          <w:color w:val="1E293B"/>
        </w:rPr>
        <w:t xml:space="preserve">Primary Goal: </w:t>
      </w:r>
      <w:proofErr w:type="spellStart"/>
      <w:r>
        <w:rPr>
          <w:color w:val="1E293B"/>
        </w:rPr>
        <w:t>Analyze</w:t>
      </w:r>
      <w:proofErr w:type="spellEnd"/>
      <w:r>
        <w:rPr>
          <w:color w:val="1E293B"/>
        </w:rPr>
        <w:t xml:space="preserve"> IT support ticket data to identify key performance trends, optimize resolution times, and enhance service efficiency through data analysis and visualization.</w:t>
      </w:r>
    </w:p>
    <w:p w14:paraId="1F45F9DE" w14:textId="77777777" w:rsidR="00CF7574" w:rsidRDefault="00000000">
      <w:pPr>
        <w:pStyle w:val="Heading3"/>
      </w:pPr>
      <w:r>
        <w:t>Secondary Goals</w:t>
      </w:r>
    </w:p>
    <w:p w14:paraId="5A8F6E8C" w14:textId="77777777" w:rsidR="00CF7574" w:rsidRDefault="00000000">
      <w:pPr>
        <w:pStyle w:val="ListParagraph"/>
        <w:numPr>
          <w:ilvl w:val="0"/>
          <w:numId w:val="1"/>
        </w:numPr>
        <w:spacing w:after="80" w:line="280" w:lineRule="auto"/>
      </w:pPr>
      <w:r>
        <w:rPr>
          <w:color w:val="1E293B"/>
        </w:rPr>
        <w:t>Identify performance trends across regions and ticket types.</w:t>
      </w:r>
    </w:p>
    <w:p w14:paraId="4B90D3D7" w14:textId="77777777" w:rsidR="00CF7574" w:rsidRDefault="00000000">
      <w:pPr>
        <w:pStyle w:val="ListParagraph"/>
        <w:numPr>
          <w:ilvl w:val="0"/>
          <w:numId w:val="1"/>
        </w:numPr>
        <w:spacing w:after="80" w:line="280" w:lineRule="auto"/>
      </w:pPr>
      <w:r>
        <w:rPr>
          <w:color w:val="1E293B"/>
        </w:rPr>
        <w:t>Find common customer requests and technical issues.</w:t>
      </w:r>
    </w:p>
    <w:p w14:paraId="0E1BB6ED" w14:textId="77777777" w:rsidR="00CF7574" w:rsidRDefault="00000000">
      <w:pPr>
        <w:pStyle w:val="ListParagraph"/>
        <w:numPr>
          <w:ilvl w:val="0"/>
          <w:numId w:val="1"/>
        </w:numPr>
        <w:spacing w:after="80" w:line="280" w:lineRule="auto"/>
      </w:pPr>
      <w:r>
        <w:rPr>
          <w:color w:val="1E293B"/>
        </w:rPr>
        <w:t>Group similar issues to improve resource allocation.</w:t>
      </w:r>
    </w:p>
    <w:p w14:paraId="58455114" w14:textId="77777777" w:rsidR="00CF7574" w:rsidRDefault="00000000">
      <w:pPr>
        <w:pStyle w:val="ListParagraph"/>
        <w:numPr>
          <w:ilvl w:val="0"/>
          <w:numId w:val="1"/>
        </w:numPr>
        <w:spacing w:after="80" w:line="280" w:lineRule="auto"/>
      </w:pPr>
      <w:r>
        <w:rPr>
          <w:color w:val="1E293B"/>
        </w:rPr>
        <w:t>Suggest workflow improvements based on data analysis.</w:t>
      </w:r>
    </w:p>
    <w:p w14:paraId="764441D5" w14:textId="77777777" w:rsidR="00CF7574" w:rsidRDefault="00000000">
      <w:pPr>
        <w:pStyle w:val="Heading3"/>
      </w:pPr>
      <w:r>
        <w:t>Key Performance Indicators Tracked</w:t>
      </w:r>
    </w:p>
    <w:p w14:paraId="339E72DA" w14:textId="77777777" w:rsidR="00CF7574" w:rsidRDefault="00000000">
      <w:pPr>
        <w:pStyle w:val="ListParagraph"/>
        <w:numPr>
          <w:ilvl w:val="0"/>
          <w:numId w:val="1"/>
        </w:numPr>
        <w:spacing w:after="80" w:line="280" w:lineRule="auto"/>
      </w:pPr>
      <w:r>
        <w:rPr>
          <w:color w:val="1E293B"/>
        </w:rPr>
        <w:t>Average Resolution Time — average time taken to resolve a ticket, in hours.</w:t>
      </w:r>
    </w:p>
    <w:p w14:paraId="60A8F361" w14:textId="77777777" w:rsidR="00CF7574" w:rsidRDefault="00000000">
      <w:pPr>
        <w:pStyle w:val="ListParagraph"/>
        <w:numPr>
          <w:ilvl w:val="0"/>
          <w:numId w:val="1"/>
        </w:numPr>
        <w:spacing w:after="80" w:line="280" w:lineRule="auto"/>
      </w:pPr>
      <w:r>
        <w:rPr>
          <w:color w:val="1E293B"/>
        </w:rPr>
        <w:t>Most Frequent Categories — highest-volume issue categories driving contact volume.</w:t>
      </w:r>
    </w:p>
    <w:p w14:paraId="4C8DB671" w14:textId="77777777" w:rsidR="00CF7574" w:rsidRDefault="00000000">
      <w:pPr>
        <w:pStyle w:val="ListParagraph"/>
        <w:numPr>
          <w:ilvl w:val="0"/>
          <w:numId w:val="1"/>
        </w:numPr>
        <w:spacing w:after="80" w:line="280" w:lineRule="auto"/>
      </w:pPr>
      <w:r>
        <w:rPr>
          <w:color w:val="1E293B"/>
        </w:rPr>
        <w:lastRenderedPageBreak/>
        <w:t xml:space="preserve">Cluster Similarity Index — cohesion of </w:t>
      </w:r>
      <w:proofErr w:type="spellStart"/>
      <w:r>
        <w:rPr>
          <w:color w:val="1E293B"/>
        </w:rPr>
        <w:t>behaviorally</w:t>
      </w:r>
      <w:proofErr w:type="spellEnd"/>
      <w:r>
        <w:rPr>
          <w:color w:val="1E293B"/>
        </w:rPr>
        <w:t xml:space="preserve"> similar ticket groups.</w:t>
      </w:r>
    </w:p>
    <w:p w14:paraId="739CDD99" w14:textId="77777777" w:rsidR="00CF7574" w:rsidRDefault="00000000">
      <w:pPr>
        <w:pStyle w:val="ListParagraph"/>
        <w:numPr>
          <w:ilvl w:val="0"/>
          <w:numId w:val="1"/>
        </w:numPr>
        <w:spacing w:after="80" w:line="280" w:lineRule="auto"/>
      </w:pPr>
      <w:r>
        <w:rPr>
          <w:color w:val="1E293B"/>
        </w:rPr>
        <w:t>Top Performing Regions — regions with the fastest resolution / highest SLA compliance.</w:t>
      </w:r>
    </w:p>
    <w:p w14:paraId="63EE1A89" w14:textId="77777777" w:rsidR="00CF7574" w:rsidRDefault="00000000">
      <w:pPr>
        <w:pStyle w:val="Heading1"/>
        <w:spacing w:before="400" w:after="200"/>
      </w:pPr>
      <w:r>
        <w:t>2. Dataset Overview</w:t>
      </w:r>
    </w:p>
    <w:p w14:paraId="407CDF99" w14:textId="77777777" w:rsidR="00CF7574" w:rsidRDefault="00000000">
      <w:pPr>
        <w:spacing w:after="160" w:line="300" w:lineRule="auto"/>
      </w:pPr>
      <w:r>
        <w:rPr>
          <w:color w:val="1E293B"/>
        </w:rPr>
        <w:t>Source: Internal IT Support Ticket System. The raw dataset contains 200,000 records across 30 columns (8 numeric, 22 categorical).</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400"/>
      </w:tblGrid>
      <w:tr w:rsidR="00CF7574" w14:paraId="67355E16" w14:textId="77777777">
        <w:tblPrEx>
          <w:tblCellMar>
            <w:top w:w="0" w:type="dxa"/>
            <w:bottom w:w="0" w:type="dxa"/>
          </w:tblCellMar>
        </w:tblPrEx>
        <w:trPr>
          <w:tblHeader/>
        </w:trPr>
        <w:tc>
          <w:tcPr>
            <w:tcW w:w="3200" w:type="dxa"/>
            <w:shd w:val="clear" w:color="auto" w:fill="1E3A8A"/>
            <w:tcMar>
              <w:top w:w="80" w:type="dxa"/>
              <w:left w:w="120" w:type="dxa"/>
              <w:bottom w:w="80" w:type="dxa"/>
              <w:right w:w="120" w:type="dxa"/>
            </w:tcMar>
          </w:tcPr>
          <w:p w14:paraId="119AC4A8" w14:textId="77777777" w:rsidR="00CF7574" w:rsidRDefault="00000000">
            <w:r>
              <w:rPr>
                <w:b/>
                <w:bCs/>
                <w:color w:val="FFFFFF"/>
                <w:sz w:val="20"/>
                <w:szCs w:val="20"/>
              </w:rPr>
              <w:t>Dimension</w:t>
            </w:r>
          </w:p>
        </w:tc>
        <w:tc>
          <w:tcPr>
            <w:tcW w:w="5400" w:type="dxa"/>
            <w:shd w:val="clear" w:color="auto" w:fill="1E3A8A"/>
            <w:tcMar>
              <w:top w:w="80" w:type="dxa"/>
              <w:left w:w="120" w:type="dxa"/>
              <w:bottom w:w="80" w:type="dxa"/>
              <w:right w:w="120" w:type="dxa"/>
            </w:tcMar>
          </w:tcPr>
          <w:p w14:paraId="79770CDC" w14:textId="77777777" w:rsidR="00CF7574" w:rsidRDefault="00000000">
            <w:r>
              <w:rPr>
                <w:b/>
                <w:bCs/>
                <w:color w:val="FFFFFF"/>
                <w:sz w:val="20"/>
                <w:szCs w:val="20"/>
              </w:rPr>
              <w:t>Detail</w:t>
            </w:r>
          </w:p>
        </w:tc>
      </w:tr>
      <w:tr w:rsidR="00CF7574" w14:paraId="10F68B32" w14:textId="77777777">
        <w:tblPrEx>
          <w:tblCellMar>
            <w:top w:w="0" w:type="dxa"/>
            <w:bottom w:w="0" w:type="dxa"/>
          </w:tblCellMar>
        </w:tblPrEx>
        <w:tc>
          <w:tcPr>
            <w:tcW w:w="3200" w:type="dxa"/>
            <w:shd w:val="clear" w:color="auto" w:fill="FFFFFF"/>
            <w:tcMar>
              <w:top w:w="80" w:type="dxa"/>
              <w:left w:w="120" w:type="dxa"/>
              <w:bottom w:w="80" w:type="dxa"/>
              <w:right w:w="120" w:type="dxa"/>
            </w:tcMar>
          </w:tcPr>
          <w:p w14:paraId="0567701A" w14:textId="77777777" w:rsidR="00CF7574" w:rsidRDefault="00000000">
            <w:r>
              <w:rPr>
                <w:color w:val="1E293B"/>
                <w:sz w:val="20"/>
                <w:szCs w:val="20"/>
              </w:rPr>
              <w:t>Rows</w:t>
            </w:r>
          </w:p>
        </w:tc>
        <w:tc>
          <w:tcPr>
            <w:tcW w:w="5400" w:type="dxa"/>
            <w:shd w:val="clear" w:color="auto" w:fill="FFFFFF"/>
            <w:tcMar>
              <w:top w:w="80" w:type="dxa"/>
              <w:left w:w="120" w:type="dxa"/>
              <w:bottom w:w="80" w:type="dxa"/>
              <w:right w:w="120" w:type="dxa"/>
            </w:tcMar>
          </w:tcPr>
          <w:p w14:paraId="6C443D74" w14:textId="77777777" w:rsidR="00CF7574" w:rsidRDefault="00000000">
            <w:r>
              <w:rPr>
                <w:color w:val="1E293B"/>
                <w:sz w:val="20"/>
                <w:szCs w:val="20"/>
              </w:rPr>
              <w:t>200,000 tickets</w:t>
            </w:r>
          </w:p>
        </w:tc>
      </w:tr>
      <w:tr w:rsidR="00CF7574" w14:paraId="29107DCE" w14:textId="77777777">
        <w:tblPrEx>
          <w:tblCellMar>
            <w:top w:w="0" w:type="dxa"/>
            <w:bottom w:w="0" w:type="dxa"/>
          </w:tblCellMar>
        </w:tblPrEx>
        <w:tc>
          <w:tcPr>
            <w:tcW w:w="3200" w:type="dxa"/>
            <w:shd w:val="clear" w:color="auto" w:fill="F8FAFC"/>
            <w:tcMar>
              <w:top w:w="80" w:type="dxa"/>
              <w:left w:w="120" w:type="dxa"/>
              <w:bottom w:w="80" w:type="dxa"/>
              <w:right w:w="120" w:type="dxa"/>
            </w:tcMar>
          </w:tcPr>
          <w:p w14:paraId="5D46C0F9" w14:textId="77777777" w:rsidR="00CF7574" w:rsidRDefault="00000000">
            <w:r>
              <w:rPr>
                <w:color w:val="1E293B"/>
                <w:sz w:val="20"/>
                <w:szCs w:val="20"/>
              </w:rPr>
              <w:t>Columns</w:t>
            </w:r>
          </w:p>
        </w:tc>
        <w:tc>
          <w:tcPr>
            <w:tcW w:w="5400" w:type="dxa"/>
            <w:shd w:val="clear" w:color="auto" w:fill="F8FAFC"/>
            <w:tcMar>
              <w:top w:w="80" w:type="dxa"/>
              <w:left w:w="120" w:type="dxa"/>
              <w:bottom w:w="80" w:type="dxa"/>
              <w:right w:w="120" w:type="dxa"/>
            </w:tcMar>
          </w:tcPr>
          <w:p w14:paraId="7E65F90E" w14:textId="77777777" w:rsidR="00CF7574" w:rsidRDefault="00000000">
            <w:r>
              <w:rPr>
                <w:color w:val="1E293B"/>
                <w:sz w:val="20"/>
                <w:szCs w:val="20"/>
              </w:rPr>
              <w:t>30 (8 numeric, 22 categorical)</w:t>
            </w:r>
          </w:p>
        </w:tc>
      </w:tr>
      <w:tr w:rsidR="00CF7574" w14:paraId="6A59507A" w14:textId="77777777">
        <w:tblPrEx>
          <w:tblCellMar>
            <w:top w:w="0" w:type="dxa"/>
            <w:bottom w:w="0" w:type="dxa"/>
          </w:tblCellMar>
        </w:tblPrEx>
        <w:tc>
          <w:tcPr>
            <w:tcW w:w="3200" w:type="dxa"/>
            <w:shd w:val="clear" w:color="auto" w:fill="FFFFFF"/>
            <w:tcMar>
              <w:top w:w="80" w:type="dxa"/>
              <w:left w:w="120" w:type="dxa"/>
              <w:bottom w:w="80" w:type="dxa"/>
              <w:right w:w="120" w:type="dxa"/>
            </w:tcMar>
          </w:tcPr>
          <w:p w14:paraId="78B71B14" w14:textId="77777777" w:rsidR="00CF7574" w:rsidRDefault="00000000">
            <w:r>
              <w:rPr>
                <w:color w:val="1E293B"/>
                <w:sz w:val="20"/>
                <w:szCs w:val="20"/>
              </w:rPr>
              <w:t>Core fields</w:t>
            </w:r>
          </w:p>
        </w:tc>
        <w:tc>
          <w:tcPr>
            <w:tcW w:w="5400" w:type="dxa"/>
            <w:shd w:val="clear" w:color="auto" w:fill="FFFFFF"/>
            <w:tcMar>
              <w:top w:w="80" w:type="dxa"/>
              <w:left w:w="120" w:type="dxa"/>
              <w:bottom w:w="80" w:type="dxa"/>
              <w:right w:w="120" w:type="dxa"/>
            </w:tcMar>
          </w:tcPr>
          <w:p w14:paraId="2396C6E7" w14:textId="77777777" w:rsidR="00CF7574" w:rsidRDefault="00000000">
            <w:proofErr w:type="spellStart"/>
            <w:r>
              <w:rPr>
                <w:color w:val="1E293B"/>
                <w:sz w:val="20"/>
                <w:szCs w:val="20"/>
              </w:rPr>
              <w:t>ticket_id</w:t>
            </w:r>
            <w:proofErr w:type="spellEnd"/>
            <w:r>
              <w:rPr>
                <w:color w:val="1E293B"/>
                <w:sz w:val="20"/>
                <w:szCs w:val="20"/>
              </w:rPr>
              <w:t>, product, category, priority, status, channel, region, dates, CSAT, complexity score</w:t>
            </w:r>
          </w:p>
        </w:tc>
      </w:tr>
      <w:tr w:rsidR="00CF7574" w14:paraId="0FA8CEE2" w14:textId="77777777">
        <w:tblPrEx>
          <w:tblCellMar>
            <w:top w:w="0" w:type="dxa"/>
            <w:bottom w:w="0" w:type="dxa"/>
          </w:tblCellMar>
        </w:tblPrEx>
        <w:tc>
          <w:tcPr>
            <w:tcW w:w="3200" w:type="dxa"/>
            <w:shd w:val="clear" w:color="auto" w:fill="F8FAFC"/>
            <w:tcMar>
              <w:top w:w="80" w:type="dxa"/>
              <w:left w:w="120" w:type="dxa"/>
              <w:bottom w:w="80" w:type="dxa"/>
              <w:right w:w="120" w:type="dxa"/>
            </w:tcMar>
          </w:tcPr>
          <w:p w14:paraId="7F7139E0" w14:textId="77777777" w:rsidR="00CF7574" w:rsidRDefault="00000000">
            <w:r>
              <w:rPr>
                <w:color w:val="1E293B"/>
                <w:sz w:val="20"/>
                <w:szCs w:val="20"/>
              </w:rPr>
              <w:t>Missing data</w:t>
            </w:r>
          </w:p>
        </w:tc>
        <w:tc>
          <w:tcPr>
            <w:tcW w:w="5400" w:type="dxa"/>
            <w:shd w:val="clear" w:color="auto" w:fill="F8FAFC"/>
            <w:tcMar>
              <w:top w:w="80" w:type="dxa"/>
              <w:left w:w="120" w:type="dxa"/>
              <w:bottom w:w="80" w:type="dxa"/>
              <w:right w:w="120" w:type="dxa"/>
            </w:tcMar>
          </w:tcPr>
          <w:p w14:paraId="35C6333F" w14:textId="77777777" w:rsidR="00CF7574" w:rsidRDefault="00000000">
            <w:r>
              <w:rPr>
                <w:color w:val="1E293B"/>
                <w:sz w:val="20"/>
                <w:szCs w:val="20"/>
              </w:rPr>
              <w:t>Only the 'browser' column had nulls (~40,023 rows, ~20%) — filled as 'Other/Not Applicable'</w:t>
            </w:r>
          </w:p>
        </w:tc>
      </w:tr>
    </w:tbl>
    <w:p w14:paraId="5A156328" w14:textId="77777777" w:rsidR="00CF7574" w:rsidRDefault="00000000">
      <w:pPr>
        <w:pStyle w:val="Heading3"/>
      </w:pPr>
      <w:r>
        <w:t>Initial Distribution Checks</w:t>
      </w:r>
    </w:p>
    <w:p w14:paraId="0189D212" w14:textId="77777777" w:rsidR="00CF7574" w:rsidRDefault="00000000">
      <w:pPr>
        <w:spacing w:after="160" w:line="300" w:lineRule="auto"/>
      </w:pPr>
      <w:r>
        <w:rPr>
          <w:color w:val="1E293B"/>
        </w:rPr>
        <w:t xml:space="preserve">Priority, category, product, and channel were all found to be almost perfectly balanced by design — each priority tier holds ~49,700–50,300 tickets (~25% each), each of the 10 categories holds ~19,900–20,200 tickets (~10% each), and each of the 5 channels accounts for ~20% of volume. This uniformity itself is a finding: it rules out simple volume or intake-channel imbalance as the cause of slow resolutions, pointing the investigation toward </w:t>
      </w:r>
      <w:proofErr w:type="spellStart"/>
      <w:r>
        <w:rPr>
          <w:color w:val="1E293B"/>
        </w:rPr>
        <w:t>behavioral</w:t>
      </w:r>
      <w:proofErr w:type="spellEnd"/>
      <w:r>
        <w:rPr>
          <w:color w:val="1E293B"/>
        </w:rPr>
        <w:t>/operational factors instead.</w:t>
      </w:r>
    </w:p>
    <w:p w14:paraId="1F4CBC88" w14:textId="77777777" w:rsidR="00CF7574" w:rsidRDefault="00000000">
      <w:pPr>
        <w:spacing w:before="200"/>
        <w:jc w:val="center"/>
      </w:pPr>
      <w:r>
        <w:rPr>
          <w:noProof/>
        </w:rPr>
        <w:drawing>
          <wp:inline distT="0" distB="0" distL="0" distR="0" wp14:anchorId="72AC6585" wp14:editId="5ABF83CB">
            <wp:extent cx="4476750" cy="3190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476750" cy="3190875"/>
                    </a:xfrm>
                    <a:prstGeom prst="rect">
                      <a:avLst/>
                    </a:prstGeom>
                  </pic:spPr>
                </pic:pic>
              </a:graphicData>
            </a:graphic>
          </wp:inline>
        </w:drawing>
      </w:r>
    </w:p>
    <w:p w14:paraId="5DE96587" w14:textId="77777777" w:rsidR="00CF7574" w:rsidRDefault="00000000">
      <w:pPr>
        <w:spacing w:before="80" w:after="260"/>
        <w:jc w:val="center"/>
      </w:pPr>
      <w:r>
        <w:rPr>
          <w:i/>
          <w:iCs/>
          <w:color w:val="64748B"/>
          <w:sz w:val="18"/>
          <w:szCs w:val="18"/>
        </w:rPr>
        <w:t>Figure 1 — Top 10 ticket categories by volume (near-uniform distribution).</w:t>
      </w:r>
    </w:p>
    <w:p w14:paraId="5DE8D341" w14:textId="77777777" w:rsidR="00CF7574" w:rsidRDefault="00000000">
      <w:pPr>
        <w:pStyle w:val="Heading1"/>
        <w:spacing w:before="400" w:after="200"/>
      </w:pPr>
      <w:r>
        <w:lastRenderedPageBreak/>
        <w:t>3. Methodology</w:t>
      </w:r>
    </w:p>
    <w:p w14:paraId="47FD59A7" w14:textId="77777777" w:rsidR="00CF7574" w:rsidRDefault="00000000">
      <w:pPr>
        <w:pStyle w:val="Heading2"/>
        <w:spacing w:before="300" w:after="150"/>
      </w:pPr>
      <w:r>
        <w:t>3.1 Data Cleaning &amp; Feature Engineering (Module 1–2)</w:t>
      </w:r>
    </w:p>
    <w:p w14:paraId="5D652ADE" w14:textId="77777777" w:rsidR="00CF7574" w:rsidRDefault="00000000">
      <w:pPr>
        <w:pStyle w:val="ListParagraph"/>
        <w:numPr>
          <w:ilvl w:val="0"/>
          <w:numId w:val="1"/>
        </w:numPr>
        <w:spacing w:after="80" w:line="280" w:lineRule="auto"/>
      </w:pPr>
      <w:r>
        <w:rPr>
          <w:color w:val="1E293B"/>
        </w:rPr>
        <w:t>Filled missing 'browser' values with 'Other/Not Applicable'; stripped whitespace from all text fields.</w:t>
      </w:r>
    </w:p>
    <w:p w14:paraId="0D2A6044" w14:textId="77777777" w:rsidR="00CF7574" w:rsidRDefault="00000000">
      <w:pPr>
        <w:pStyle w:val="ListParagraph"/>
        <w:numPr>
          <w:ilvl w:val="0"/>
          <w:numId w:val="1"/>
        </w:numPr>
        <w:spacing w:after="80" w:line="280" w:lineRule="auto"/>
      </w:pPr>
      <w:r>
        <w:rPr>
          <w:color w:val="1E293B"/>
        </w:rPr>
        <w:t xml:space="preserve">Converted </w:t>
      </w:r>
      <w:proofErr w:type="spellStart"/>
      <w:r>
        <w:rPr>
          <w:color w:val="1E293B"/>
        </w:rPr>
        <w:t>ticket_created_date</w:t>
      </w:r>
      <w:proofErr w:type="spellEnd"/>
      <w:r>
        <w:rPr>
          <w:color w:val="1E293B"/>
        </w:rPr>
        <w:t xml:space="preserve"> and </w:t>
      </w:r>
      <w:proofErr w:type="spellStart"/>
      <w:r>
        <w:rPr>
          <w:color w:val="1E293B"/>
        </w:rPr>
        <w:t>ticket_resolved_date</w:t>
      </w:r>
      <w:proofErr w:type="spellEnd"/>
      <w:r>
        <w:rPr>
          <w:color w:val="1E293B"/>
        </w:rPr>
        <w:t xml:space="preserve"> to datetime.</w:t>
      </w:r>
    </w:p>
    <w:p w14:paraId="2DBBCD79" w14:textId="77777777" w:rsidR="00CF7574" w:rsidRDefault="00000000">
      <w:pPr>
        <w:pStyle w:val="ListParagraph"/>
        <w:numPr>
          <w:ilvl w:val="0"/>
          <w:numId w:val="1"/>
        </w:numPr>
        <w:spacing w:after="80" w:line="280" w:lineRule="auto"/>
      </w:pPr>
      <w:r>
        <w:rPr>
          <w:color w:val="1E293B"/>
        </w:rPr>
        <w:t xml:space="preserve">Engineered </w:t>
      </w:r>
      <w:proofErr w:type="spellStart"/>
      <w:r>
        <w:rPr>
          <w:color w:val="1E293B"/>
        </w:rPr>
        <w:t>Resolution_Duration</w:t>
      </w:r>
      <w:proofErr w:type="spellEnd"/>
      <w:r>
        <w:rPr>
          <w:color w:val="1E293B"/>
        </w:rPr>
        <w:t xml:space="preserve"> = (resolved date − created date) in hours.</w:t>
      </w:r>
    </w:p>
    <w:p w14:paraId="18C65A59" w14:textId="77777777" w:rsidR="00CF7574" w:rsidRDefault="00000000">
      <w:pPr>
        <w:pStyle w:val="ListParagraph"/>
        <w:numPr>
          <w:ilvl w:val="0"/>
          <w:numId w:val="1"/>
        </w:numPr>
        <w:spacing w:after="80" w:line="280" w:lineRule="auto"/>
      </w:pPr>
      <w:r>
        <w:rPr>
          <w:color w:val="1E293B"/>
        </w:rPr>
        <w:t xml:space="preserve">Engineered </w:t>
      </w:r>
      <w:proofErr w:type="spellStart"/>
      <w:r>
        <w:rPr>
          <w:color w:val="1E293B"/>
        </w:rPr>
        <w:t>Priority_Score</w:t>
      </w:r>
      <w:proofErr w:type="spellEnd"/>
      <w:r>
        <w:rPr>
          <w:color w:val="1E293B"/>
        </w:rPr>
        <w:t xml:space="preserve"> by mapping Low/Medium/High/Urgent → 1/2/3/4.</w:t>
      </w:r>
    </w:p>
    <w:p w14:paraId="0C84D570" w14:textId="77777777" w:rsidR="00CF7574" w:rsidRDefault="00000000">
      <w:pPr>
        <w:pStyle w:val="ListParagraph"/>
        <w:numPr>
          <w:ilvl w:val="0"/>
          <w:numId w:val="1"/>
        </w:numPr>
        <w:spacing w:after="80" w:line="280" w:lineRule="auto"/>
      </w:pPr>
      <w:r>
        <w:rPr>
          <w:color w:val="1E293B"/>
        </w:rPr>
        <w:t xml:space="preserve">Bucketed resolution speed into </w:t>
      </w:r>
      <w:proofErr w:type="spellStart"/>
      <w:r>
        <w:rPr>
          <w:color w:val="1E293B"/>
        </w:rPr>
        <w:t>Performance_Bucket</w:t>
      </w:r>
      <w:proofErr w:type="spellEnd"/>
      <w:r>
        <w:rPr>
          <w:color w:val="1E293B"/>
        </w:rPr>
        <w:t>: Fast (&lt;24h), Normal (24–72h), Slow (&gt;72h).</w:t>
      </w:r>
    </w:p>
    <w:p w14:paraId="5EFCD9A4" w14:textId="77777777" w:rsidR="00CF7574" w:rsidRDefault="00000000">
      <w:pPr>
        <w:pStyle w:val="ListParagraph"/>
        <w:numPr>
          <w:ilvl w:val="0"/>
          <w:numId w:val="1"/>
        </w:numPr>
        <w:spacing w:after="80" w:line="280" w:lineRule="auto"/>
      </w:pPr>
      <w:r>
        <w:rPr>
          <w:color w:val="1E293B"/>
        </w:rPr>
        <w:t>Saved the engineered dataset as processed_customer_support_tickets.csv for downstream analysis and the dashboard.</w:t>
      </w:r>
    </w:p>
    <w:p w14:paraId="25364C03" w14:textId="77777777" w:rsidR="00CF7574" w:rsidRDefault="00000000">
      <w:pPr>
        <w:pStyle w:val="Heading2"/>
        <w:spacing w:before="300" w:after="150"/>
      </w:pPr>
      <w:r>
        <w:t>3.2 Exploratory Data Analysis (Module 3)</w:t>
      </w:r>
    </w:p>
    <w:p w14:paraId="2F0EC3FE" w14:textId="77777777" w:rsidR="00CF7574" w:rsidRDefault="00000000">
      <w:pPr>
        <w:spacing w:after="160" w:line="300" w:lineRule="auto"/>
      </w:pPr>
      <w:r>
        <w:rPr>
          <w:color w:val="1E293B"/>
        </w:rPr>
        <w:t xml:space="preserve">EDA covered ticket-type/channel distribution, category and product volume, priority severity grading, queue/channel workload composition, and variance analysis (boxplots, violin plots) of CSAT and resolution duration by priority and category. Across nearly every cut, the underlying distributions were uniform — indicating the dataset's variance is driven by </w:t>
      </w:r>
      <w:proofErr w:type="spellStart"/>
      <w:r>
        <w:rPr>
          <w:color w:val="1E293B"/>
        </w:rPr>
        <w:t>behavioral</w:t>
      </w:r>
      <w:proofErr w:type="spellEnd"/>
      <w:r>
        <w:rPr>
          <w:color w:val="1E293B"/>
        </w:rPr>
        <w:t xml:space="preserve"> clustering rather than any single categorical attribute.</w:t>
      </w:r>
    </w:p>
    <w:p w14:paraId="6481A3E3" w14:textId="77777777" w:rsidR="00CF7574" w:rsidRDefault="00000000">
      <w:pPr>
        <w:pStyle w:val="Heading2"/>
        <w:spacing w:before="300" w:after="150"/>
      </w:pPr>
      <w:r>
        <w:t>3.3 Clustering &amp; Similarity Analysis (Module 4)</w:t>
      </w:r>
    </w:p>
    <w:p w14:paraId="5C7939A5" w14:textId="77777777" w:rsidR="00CF7574" w:rsidRDefault="00000000">
      <w:pPr>
        <w:spacing w:after="160" w:line="300" w:lineRule="auto"/>
      </w:pPr>
      <w:r>
        <w:rPr>
          <w:color w:val="1E293B"/>
        </w:rPr>
        <w:t xml:space="preserve">K-Means clustering (k=4) was applied to four standardized features: </w:t>
      </w:r>
      <w:proofErr w:type="spellStart"/>
      <w:r>
        <w:rPr>
          <w:color w:val="1E293B"/>
        </w:rPr>
        <w:t>Resolution_Duration</w:t>
      </w:r>
      <w:proofErr w:type="spellEnd"/>
      <w:r>
        <w:rPr>
          <w:color w:val="1E293B"/>
        </w:rPr>
        <w:t xml:space="preserve">, </w:t>
      </w:r>
      <w:proofErr w:type="spellStart"/>
      <w:r>
        <w:rPr>
          <w:color w:val="1E293B"/>
        </w:rPr>
        <w:t>issue_complexity_score</w:t>
      </w:r>
      <w:proofErr w:type="spellEnd"/>
      <w:r>
        <w:rPr>
          <w:color w:val="1E293B"/>
        </w:rPr>
        <w:t xml:space="preserve">, </w:t>
      </w:r>
      <w:proofErr w:type="spellStart"/>
      <w:r>
        <w:rPr>
          <w:color w:val="1E293B"/>
        </w:rPr>
        <w:t>customer_satisfaction_score</w:t>
      </w:r>
      <w:proofErr w:type="spellEnd"/>
      <w:r>
        <w:rPr>
          <w:color w:val="1E293B"/>
        </w:rPr>
        <w:t xml:space="preserve">, and </w:t>
      </w:r>
      <w:proofErr w:type="spellStart"/>
      <w:r>
        <w:rPr>
          <w:color w:val="1E293B"/>
        </w:rPr>
        <w:t>Priority_Score</w:t>
      </w:r>
      <w:proofErr w:type="spellEnd"/>
      <w:r>
        <w:rPr>
          <w:color w:val="1E293B"/>
        </w:rPr>
        <w:t xml:space="preserve">. A per-ticket </w:t>
      </w:r>
      <w:proofErr w:type="spellStart"/>
      <w:r>
        <w:rPr>
          <w:color w:val="1E293B"/>
        </w:rPr>
        <w:t>Similarity_Score</w:t>
      </w:r>
      <w:proofErr w:type="spellEnd"/>
      <w:r>
        <w:rPr>
          <w:color w:val="1E293B"/>
        </w:rPr>
        <w:t xml:space="preserve"> (0–1) was then computed as the inverse of each ticket's Euclidean distance to its cluster centroid, indicating how tightly each ticket matches its cluster's typical profile.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200"/>
        <w:gridCol w:w="1700"/>
        <w:gridCol w:w="1500"/>
        <w:gridCol w:w="1700"/>
      </w:tblGrid>
      <w:tr w:rsidR="00CF7574" w14:paraId="7CCB87C5" w14:textId="77777777">
        <w:tblPrEx>
          <w:tblCellMar>
            <w:top w:w="0" w:type="dxa"/>
            <w:bottom w:w="0" w:type="dxa"/>
          </w:tblCellMar>
        </w:tblPrEx>
        <w:trPr>
          <w:tblHeader/>
        </w:trPr>
        <w:tc>
          <w:tcPr>
            <w:tcW w:w="900" w:type="dxa"/>
            <w:shd w:val="clear" w:color="auto" w:fill="1E3A8A"/>
            <w:tcMar>
              <w:top w:w="80" w:type="dxa"/>
              <w:left w:w="120" w:type="dxa"/>
              <w:bottom w:w="80" w:type="dxa"/>
              <w:right w:w="120" w:type="dxa"/>
            </w:tcMar>
          </w:tcPr>
          <w:p w14:paraId="31A54449" w14:textId="77777777" w:rsidR="00CF7574" w:rsidRDefault="00000000">
            <w:r>
              <w:rPr>
                <w:b/>
                <w:bCs/>
                <w:color w:val="FFFFFF"/>
                <w:sz w:val="20"/>
                <w:szCs w:val="20"/>
              </w:rPr>
              <w:t>Cluster</w:t>
            </w:r>
          </w:p>
        </w:tc>
        <w:tc>
          <w:tcPr>
            <w:tcW w:w="3200" w:type="dxa"/>
            <w:shd w:val="clear" w:color="auto" w:fill="1E3A8A"/>
            <w:tcMar>
              <w:top w:w="80" w:type="dxa"/>
              <w:left w:w="120" w:type="dxa"/>
              <w:bottom w:w="80" w:type="dxa"/>
              <w:right w:w="120" w:type="dxa"/>
            </w:tcMar>
          </w:tcPr>
          <w:p w14:paraId="2C397A17" w14:textId="77777777" w:rsidR="00CF7574" w:rsidRDefault="00000000">
            <w:r>
              <w:rPr>
                <w:b/>
                <w:bCs/>
                <w:color w:val="FFFFFF"/>
                <w:sz w:val="20"/>
                <w:szCs w:val="20"/>
              </w:rPr>
              <w:t>Profile</w:t>
            </w:r>
          </w:p>
        </w:tc>
        <w:tc>
          <w:tcPr>
            <w:tcW w:w="1700" w:type="dxa"/>
            <w:shd w:val="clear" w:color="auto" w:fill="1E3A8A"/>
            <w:tcMar>
              <w:top w:w="80" w:type="dxa"/>
              <w:left w:w="120" w:type="dxa"/>
              <w:bottom w:w="80" w:type="dxa"/>
              <w:right w:w="120" w:type="dxa"/>
            </w:tcMar>
          </w:tcPr>
          <w:p w14:paraId="340D8877" w14:textId="77777777" w:rsidR="00CF7574" w:rsidRDefault="00000000">
            <w:r>
              <w:rPr>
                <w:b/>
                <w:bCs/>
                <w:color w:val="FFFFFF"/>
                <w:sz w:val="20"/>
                <w:szCs w:val="20"/>
              </w:rPr>
              <w:t>Avg. Resolution</w:t>
            </w:r>
          </w:p>
        </w:tc>
        <w:tc>
          <w:tcPr>
            <w:tcW w:w="1500" w:type="dxa"/>
            <w:shd w:val="clear" w:color="auto" w:fill="1E3A8A"/>
            <w:tcMar>
              <w:top w:w="80" w:type="dxa"/>
              <w:left w:w="120" w:type="dxa"/>
              <w:bottom w:w="80" w:type="dxa"/>
              <w:right w:w="120" w:type="dxa"/>
            </w:tcMar>
          </w:tcPr>
          <w:p w14:paraId="06391B58" w14:textId="77777777" w:rsidR="00CF7574" w:rsidRDefault="00000000">
            <w:r>
              <w:rPr>
                <w:b/>
                <w:bCs/>
                <w:color w:val="FFFFFF"/>
                <w:sz w:val="20"/>
                <w:szCs w:val="20"/>
              </w:rPr>
              <w:t>Complexity</w:t>
            </w:r>
          </w:p>
        </w:tc>
        <w:tc>
          <w:tcPr>
            <w:tcW w:w="1700" w:type="dxa"/>
            <w:shd w:val="clear" w:color="auto" w:fill="1E3A8A"/>
            <w:tcMar>
              <w:top w:w="80" w:type="dxa"/>
              <w:left w:w="120" w:type="dxa"/>
              <w:bottom w:w="80" w:type="dxa"/>
              <w:right w:w="120" w:type="dxa"/>
            </w:tcMar>
          </w:tcPr>
          <w:p w14:paraId="57DAB7D7" w14:textId="77777777" w:rsidR="00CF7574" w:rsidRDefault="00000000">
            <w:r>
              <w:rPr>
                <w:b/>
                <w:bCs/>
                <w:color w:val="FFFFFF"/>
                <w:sz w:val="20"/>
                <w:szCs w:val="20"/>
              </w:rPr>
              <w:t>Ticket Volume</w:t>
            </w:r>
          </w:p>
        </w:tc>
      </w:tr>
      <w:tr w:rsidR="00CF7574" w14:paraId="29FE5876" w14:textId="77777777">
        <w:tblPrEx>
          <w:tblCellMar>
            <w:top w:w="0" w:type="dxa"/>
            <w:bottom w:w="0" w:type="dxa"/>
          </w:tblCellMar>
        </w:tblPrEx>
        <w:tc>
          <w:tcPr>
            <w:tcW w:w="900" w:type="dxa"/>
            <w:shd w:val="clear" w:color="auto" w:fill="FFFFFF"/>
            <w:tcMar>
              <w:top w:w="80" w:type="dxa"/>
              <w:left w:w="120" w:type="dxa"/>
              <w:bottom w:w="80" w:type="dxa"/>
              <w:right w:w="120" w:type="dxa"/>
            </w:tcMar>
          </w:tcPr>
          <w:p w14:paraId="27249A83" w14:textId="77777777" w:rsidR="00CF7574" w:rsidRDefault="00000000">
            <w:r>
              <w:rPr>
                <w:color w:val="1E293B"/>
                <w:sz w:val="20"/>
                <w:szCs w:val="20"/>
              </w:rPr>
              <w:t>0</w:t>
            </w:r>
          </w:p>
        </w:tc>
        <w:tc>
          <w:tcPr>
            <w:tcW w:w="3200" w:type="dxa"/>
            <w:shd w:val="clear" w:color="auto" w:fill="FFFFFF"/>
            <w:tcMar>
              <w:top w:w="80" w:type="dxa"/>
              <w:left w:w="120" w:type="dxa"/>
              <w:bottom w:w="80" w:type="dxa"/>
              <w:right w:w="120" w:type="dxa"/>
            </w:tcMar>
          </w:tcPr>
          <w:p w14:paraId="42485680" w14:textId="77777777" w:rsidR="00CF7574" w:rsidRDefault="00000000">
            <w:r>
              <w:rPr>
                <w:color w:val="1E293B"/>
                <w:sz w:val="20"/>
                <w:szCs w:val="20"/>
              </w:rPr>
              <w:t>High Complexity, Low Priority</w:t>
            </w:r>
          </w:p>
        </w:tc>
        <w:tc>
          <w:tcPr>
            <w:tcW w:w="1700" w:type="dxa"/>
            <w:shd w:val="clear" w:color="auto" w:fill="FFFFFF"/>
            <w:tcMar>
              <w:top w:w="80" w:type="dxa"/>
              <w:left w:w="120" w:type="dxa"/>
              <w:bottom w:w="80" w:type="dxa"/>
              <w:right w:w="120" w:type="dxa"/>
            </w:tcMar>
          </w:tcPr>
          <w:p w14:paraId="6C2B4E34" w14:textId="77777777" w:rsidR="00CF7574" w:rsidRDefault="00000000">
            <w:r>
              <w:rPr>
                <w:color w:val="1E293B"/>
                <w:sz w:val="20"/>
                <w:szCs w:val="20"/>
              </w:rPr>
              <w:t>167.8 hrs</w:t>
            </w:r>
          </w:p>
        </w:tc>
        <w:tc>
          <w:tcPr>
            <w:tcW w:w="1500" w:type="dxa"/>
            <w:shd w:val="clear" w:color="auto" w:fill="FFFFFF"/>
            <w:tcMar>
              <w:top w:w="80" w:type="dxa"/>
              <w:left w:w="120" w:type="dxa"/>
              <w:bottom w:w="80" w:type="dxa"/>
              <w:right w:w="120" w:type="dxa"/>
            </w:tcMar>
          </w:tcPr>
          <w:p w14:paraId="54641BB2" w14:textId="77777777" w:rsidR="00CF7574" w:rsidRDefault="00000000">
            <w:r>
              <w:rPr>
                <w:color w:val="1E293B"/>
                <w:sz w:val="20"/>
                <w:szCs w:val="20"/>
              </w:rPr>
              <w:t>7.81 / 10</w:t>
            </w:r>
          </w:p>
        </w:tc>
        <w:tc>
          <w:tcPr>
            <w:tcW w:w="1700" w:type="dxa"/>
            <w:shd w:val="clear" w:color="auto" w:fill="FFFFFF"/>
            <w:tcMar>
              <w:top w:w="80" w:type="dxa"/>
              <w:left w:w="120" w:type="dxa"/>
              <w:bottom w:w="80" w:type="dxa"/>
              <w:right w:w="120" w:type="dxa"/>
            </w:tcMar>
          </w:tcPr>
          <w:p w14:paraId="1F8770C7" w14:textId="77777777" w:rsidR="00CF7574" w:rsidRDefault="00000000">
            <w:r>
              <w:rPr>
                <w:color w:val="1E293B"/>
                <w:sz w:val="20"/>
                <w:szCs w:val="20"/>
              </w:rPr>
              <w:t>51,062 (25.5%)</w:t>
            </w:r>
          </w:p>
        </w:tc>
      </w:tr>
      <w:tr w:rsidR="00CF7574" w14:paraId="5736DFFF" w14:textId="77777777">
        <w:tblPrEx>
          <w:tblCellMar>
            <w:top w:w="0" w:type="dxa"/>
            <w:bottom w:w="0" w:type="dxa"/>
          </w:tblCellMar>
        </w:tblPrEx>
        <w:tc>
          <w:tcPr>
            <w:tcW w:w="900" w:type="dxa"/>
            <w:shd w:val="clear" w:color="auto" w:fill="F8FAFC"/>
            <w:tcMar>
              <w:top w:w="80" w:type="dxa"/>
              <w:left w:w="120" w:type="dxa"/>
              <w:bottom w:w="80" w:type="dxa"/>
              <w:right w:w="120" w:type="dxa"/>
            </w:tcMar>
          </w:tcPr>
          <w:p w14:paraId="1D947C5D" w14:textId="77777777" w:rsidR="00CF7574" w:rsidRDefault="00000000">
            <w:r>
              <w:rPr>
                <w:color w:val="1E293B"/>
                <w:sz w:val="20"/>
                <w:szCs w:val="20"/>
              </w:rPr>
              <w:t>1</w:t>
            </w:r>
          </w:p>
        </w:tc>
        <w:tc>
          <w:tcPr>
            <w:tcW w:w="3200" w:type="dxa"/>
            <w:shd w:val="clear" w:color="auto" w:fill="F8FAFC"/>
            <w:tcMar>
              <w:top w:w="80" w:type="dxa"/>
              <w:left w:w="120" w:type="dxa"/>
              <w:bottom w:w="80" w:type="dxa"/>
              <w:right w:w="120" w:type="dxa"/>
            </w:tcMar>
          </w:tcPr>
          <w:p w14:paraId="6473B8ED" w14:textId="77777777" w:rsidR="00CF7574" w:rsidRDefault="00000000">
            <w:r>
              <w:rPr>
                <w:color w:val="1E293B"/>
                <w:sz w:val="20"/>
                <w:szCs w:val="20"/>
              </w:rPr>
              <w:t>Low Complexity, Slowest Resolution (bottleneck)</w:t>
            </w:r>
          </w:p>
        </w:tc>
        <w:tc>
          <w:tcPr>
            <w:tcW w:w="1700" w:type="dxa"/>
            <w:shd w:val="clear" w:color="auto" w:fill="F8FAFC"/>
            <w:tcMar>
              <w:top w:w="80" w:type="dxa"/>
              <w:left w:w="120" w:type="dxa"/>
              <w:bottom w:w="80" w:type="dxa"/>
              <w:right w:w="120" w:type="dxa"/>
            </w:tcMar>
          </w:tcPr>
          <w:p w14:paraId="468A3E54" w14:textId="77777777" w:rsidR="00CF7574" w:rsidRDefault="00000000">
            <w:r>
              <w:rPr>
                <w:color w:val="1E293B"/>
                <w:sz w:val="20"/>
                <w:szCs w:val="20"/>
              </w:rPr>
              <w:t>268.7 hrs</w:t>
            </w:r>
          </w:p>
        </w:tc>
        <w:tc>
          <w:tcPr>
            <w:tcW w:w="1500" w:type="dxa"/>
            <w:shd w:val="clear" w:color="auto" w:fill="F8FAFC"/>
            <w:tcMar>
              <w:top w:w="80" w:type="dxa"/>
              <w:left w:w="120" w:type="dxa"/>
              <w:bottom w:w="80" w:type="dxa"/>
              <w:right w:w="120" w:type="dxa"/>
            </w:tcMar>
          </w:tcPr>
          <w:p w14:paraId="4085FB60" w14:textId="77777777" w:rsidR="00CF7574" w:rsidRDefault="00000000">
            <w:r>
              <w:rPr>
                <w:color w:val="1E293B"/>
                <w:sz w:val="20"/>
                <w:szCs w:val="20"/>
              </w:rPr>
              <w:t>3.16 / 10</w:t>
            </w:r>
          </w:p>
        </w:tc>
        <w:tc>
          <w:tcPr>
            <w:tcW w:w="1700" w:type="dxa"/>
            <w:shd w:val="clear" w:color="auto" w:fill="F8FAFC"/>
            <w:tcMar>
              <w:top w:w="80" w:type="dxa"/>
              <w:left w:w="120" w:type="dxa"/>
              <w:bottom w:w="80" w:type="dxa"/>
              <w:right w:w="120" w:type="dxa"/>
            </w:tcMar>
          </w:tcPr>
          <w:p w14:paraId="6F096A10" w14:textId="77777777" w:rsidR="00CF7574" w:rsidRDefault="00000000">
            <w:r>
              <w:rPr>
                <w:color w:val="1E293B"/>
                <w:sz w:val="20"/>
                <w:szCs w:val="20"/>
              </w:rPr>
              <w:t>49,141 (24.6%)</w:t>
            </w:r>
          </w:p>
        </w:tc>
      </w:tr>
      <w:tr w:rsidR="00CF7574" w14:paraId="09FC8A48" w14:textId="77777777">
        <w:tblPrEx>
          <w:tblCellMar>
            <w:top w:w="0" w:type="dxa"/>
            <w:bottom w:w="0" w:type="dxa"/>
          </w:tblCellMar>
        </w:tblPrEx>
        <w:tc>
          <w:tcPr>
            <w:tcW w:w="900" w:type="dxa"/>
            <w:shd w:val="clear" w:color="auto" w:fill="FFFFFF"/>
            <w:tcMar>
              <w:top w:w="80" w:type="dxa"/>
              <w:left w:w="120" w:type="dxa"/>
              <w:bottom w:w="80" w:type="dxa"/>
              <w:right w:w="120" w:type="dxa"/>
            </w:tcMar>
          </w:tcPr>
          <w:p w14:paraId="6F3C20F6" w14:textId="77777777" w:rsidR="00CF7574" w:rsidRDefault="00000000">
            <w:r>
              <w:rPr>
                <w:color w:val="1E293B"/>
                <w:sz w:val="20"/>
                <w:szCs w:val="20"/>
              </w:rPr>
              <w:t>2</w:t>
            </w:r>
          </w:p>
        </w:tc>
        <w:tc>
          <w:tcPr>
            <w:tcW w:w="3200" w:type="dxa"/>
            <w:shd w:val="clear" w:color="auto" w:fill="FFFFFF"/>
            <w:tcMar>
              <w:top w:w="80" w:type="dxa"/>
              <w:left w:w="120" w:type="dxa"/>
              <w:bottom w:w="80" w:type="dxa"/>
              <w:right w:w="120" w:type="dxa"/>
            </w:tcMar>
          </w:tcPr>
          <w:p w14:paraId="70C969B6" w14:textId="77777777" w:rsidR="00CF7574" w:rsidRDefault="00000000">
            <w:r>
              <w:rPr>
                <w:color w:val="1E293B"/>
                <w:sz w:val="20"/>
                <w:szCs w:val="20"/>
              </w:rPr>
              <w:t>High Complexity, Highest Priority</w:t>
            </w:r>
          </w:p>
        </w:tc>
        <w:tc>
          <w:tcPr>
            <w:tcW w:w="1700" w:type="dxa"/>
            <w:shd w:val="clear" w:color="auto" w:fill="FFFFFF"/>
            <w:tcMar>
              <w:top w:w="80" w:type="dxa"/>
              <w:left w:w="120" w:type="dxa"/>
              <w:bottom w:w="80" w:type="dxa"/>
              <w:right w:w="120" w:type="dxa"/>
            </w:tcMar>
          </w:tcPr>
          <w:p w14:paraId="79E95E21" w14:textId="77777777" w:rsidR="00CF7574" w:rsidRDefault="00000000">
            <w:r>
              <w:rPr>
                <w:color w:val="1E293B"/>
                <w:sz w:val="20"/>
                <w:szCs w:val="20"/>
              </w:rPr>
              <w:t>165.0 hrs</w:t>
            </w:r>
          </w:p>
        </w:tc>
        <w:tc>
          <w:tcPr>
            <w:tcW w:w="1500" w:type="dxa"/>
            <w:shd w:val="clear" w:color="auto" w:fill="FFFFFF"/>
            <w:tcMar>
              <w:top w:w="80" w:type="dxa"/>
              <w:left w:w="120" w:type="dxa"/>
              <w:bottom w:w="80" w:type="dxa"/>
              <w:right w:w="120" w:type="dxa"/>
            </w:tcMar>
          </w:tcPr>
          <w:p w14:paraId="08CD114D" w14:textId="77777777" w:rsidR="00CF7574" w:rsidRDefault="00000000">
            <w:r>
              <w:rPr>
                <w:color w:val="1E293B"/>
                <w:sz w:val="20"/>
                <w:szCs w:val="20"/>
              </w:rPr>
              <w:t>7.84 / 10</w:t>
            </w:r>
          </w:p>
        </w:tc>
        <w:tc>
          <w:tcPr>
            <w:tcW w:w="1700" w:type="dxa"/>
            <w:shd w:val="clear" w:color="auto" w:fill="FFFFFF"/>
            <w:tcMar>
              <w:top w:w="80" w:type="dxa"/>
              <w:left w:w="120" w:type="dxa"/>
              <w:bottom w:w="80" w:type="dxa"/>
              <w:right w:w="120" w:type="dxa"/>
            </w:tcMar>
          </w:tcPr>
          <w:p w14:paraId="3E1D6D72" w14:textId="77777777" w:rsidR="00CF7574" w:rsidRDefault="00000000">
            <w:r>
              <w:rPr>
                <w:color w:val="1E293B"/>
                <w:sz w:val="20"/>
                <w:szCs w:val="20"/>
              </w:rPr>
              <w:t>50,652 (25.3%)</w:t>
            </w:r>
          </w:p>
        </w:tc>
      </w:tr>
      <w:tr w:rsidR="00CF7574" w14:paraId="65266AC3" w14:textId="77777777">
        <w:tblPrEx>
          <w:tblCellMar>
            <w:top w:w="0" w:type="dxa"/>
            <w:bottom w:w="0" w:type="dxa"/>
          </w:tblCellMar>
        </w:tblPrEx>
        <w:tc>
          <w:tcPr>
            <w:tcW w:w="900" w:type="dxa"/>
            <w:shd w:val="clear" w:color="auto" w:fill="F8FAFC"/>
            <w:tcMar>
              <w:top w:w="80" w:type="dxa"/>
              <w:left w:w="120" w:type="dxa"/>
              <w:bottom w:w="80" w:type="dxa"/>
              <w:right w:w="120" w:type="dxa"/>
            </w:tcMar>
          </w:tcPr>
          <w:p w14:paraId="385193CB" w14:textId="77777777" w:rsidR="00CF7574" w:rsidRDefault="00000000">
            <w:r>
              <w:rPr>
                <w:color w:val="1E293B"/>
                <w:sz w:val="20"/>
                <w:szCs w:val="20"/>
              </w:rPr>
              <w:t>3</w:t>
            </w:r>
          </w:p>
        </w:tc>
        <w:tc>
          <w:tcPr>
            <w:tcW w:w="3200" w:type="dxa"/>
            <w:shd w:val="clear" w:color="auto" w:fill="F8FAFC"/>
            <w:tcMar>
              <w:top w:w="80" w:type="dxa"/>
              <w:left w:w="120" w:type="dxa"/>
              <w:bottom w:w="80" w:type="dxa"/>
              <w:right w:w="120" w:type="dxa"/>
            </w:tcMar>
          </w:tcPr>
          <w:p w14:paraId="2C9FAFF5" w14:textId="77777777" w:rsidR="00CF7574" w:rsidRDefault="00000000">
            <w:r>
              <w:rPr>
                <w:color w:val="1E293B"/>
                <w:sz w:val="20"/>
                <w:szCs w:val="20"/>
              </w:rPr>
              <w:t>Low Complexity, Fastest Resolution (quick wins)</w:t>
            </w:r>
          </w:p>
        </w:tc>
        <w:tc>
          <w:tcPr>
            <w:tcW w:w="1700" w:type="dxa"/>
            <w:shd w:val="clear" w:color="auto" w:fill="F8FAFC"/>
            <w:tcMar>
              <w:top w:w="80" w:type="dxa"/>
              <w:left w:w="120" w:type="dxa"/>
              <w:bottom w:w="80" w:type="dxa"/>
              <w:right w:w="120" w:type="dxa"/>
            </w:tcMar>
          </w:tcPr>
          <w:p w14:paraId="052E2259" w14:textId="77777777" w:rsidR="00CF7574" w:rsidRDefault="00000000">
            <w:r>
              <w:rPr>
                <w:color w:val="1E293B"/>
                <w:sz w:val="20"/>
                <w:szCs w:val="20"/>
              </w:rPr>
              <w:t>71.4 hrs</w:t>
            </w:r>
          </w:p>
        </w:tc>
        <w:tc>
          <w:tcPr>
            <w:tcW w:w="1500" w:type="dxa"/>
            <w:shd w:val="clear" w:color="auto" w:fill="F8FAFC"/>
            <w:tcMar>
              <w:top w:w="80" w:type="dxa"/>
              <w:left w:w="120" w:type="dxa"/>
              <w:bottom w:w="80" w:type="dxa"/>
              <w:right w:w="120" w:type="dxa"/>
            </w:tcMar>
          </w:tcPr>
          <w:p w14:paraId="55E869BA" w14:textId="77777777" w:rsidR="00CF7574" w:rsidRDefault="00000000">
            <w:r>
              <w:rPr>
                <w:color w:val="1E293B"/>
                <w:sz w:val="20"/>
                <w:szCs w:val="20"/>
              </w:rPr>
              <w:t>3.03 / 10</w:t>
            </w:r>
          </w:p>
        </w:tc>
        <w:tc>
          <w:tcPr>
            <w:tcW w:w="1700" w:type="dxa"/>
            <w:shd w:val="clear" w:color="auto" w:fill="F8FAFC"/>
            <w:tcMar>
              <w:top w:w="80" w:type="dxa"/>
              <w:left w:w="120" w:type="dxa"/>
              <w:bottom w:w="80" w:type="dxa"/>
              <w:right w:w="120" w:type="dxa"/>
            </w:tcMar>
          </w:tcPr>
          <w:p w14:paraId="502CE3A7" w14:textId="77777777" w:rsidR="00CF7574" w:rsidRDefault="00000000">
            <w:r>
              <w:rPr>
                <w:color w:val="1E293B"/>
                <w:sz w:val="20"/>
                <w:szCs w:val="20"/>
              </w:rPr>
              <w:t>49,145 (24.6%)</w:t>
            </w:r>
          </w:p>
        </w:tc>
      </w:tr>
    </w:tbl>
    <w:p w14:paraId="0DDAA6AA" w14:textId="77777777" w:rsidR="00CF7574" w:rsidRDefault="00000000">
      <w:pPr>
        <w:spacing w:before="200"/>
        <w:jc w:val="center"/>
      </w:pPr>
      <w:r>
        <w:rPr>
          <w:noProof/>
        </w:rPr>
        <w:lastRenderedPageBreak/>
        <w:drawing>
          <wp:inline distT="0" distB="0" distL="0" distR="0" wp14:anchorId="002FF2EB" wp14:editId="4A86D1A0">
            <wp:extent cx="4381500" cy="2743200"/>
            <wp:effectExtent l="0" t="0" r="0" b="0"/>
            <wp:docPr id="1602321946" name="Picture 1602321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2743200"/>
                    </a:xfrm>
                    <a:prstGeom prst="rect">
                      <a:avLst/>
                    </a:prstGeom>
                  </pic:spPr>
                </pic:pic>
              </a:graphicData>
            </a:graphic>
          </wp:inline>
        </w:drawing>
      </w:r>
    </w:p>
    <w:p w14:paraId="183889D9" w14:textId="77777777" w:rsidR="00CF7574" w:rsidRDefault="00000000">
      <w:pPr>
        <w:spacing w:before="80" w:after="260"/>
        <w:jc w:val="center"/>
      </w:pPr>
      <w:r>
        <w:rPr>
          <w:i/>
          <w:iCs/>
          <w:color w:val="64748B"/>
          <w:sz w:val="18"/>
          <w:szCs w:val="18"/>
        </w:rPr>
        <w:t>Figure 2 — The four clusters are almost perfectly balanced in size (~25% each).</w:t>
      </w:r>
    </w:p>
    <w:p w14:paraId="4C0D0540" w14:textId="77777777" w:rsidR="00CF7574" w:rsidRDefault="00000000">
      <w:pPr>
        <w:spacing w:before="200"/>
        <w:jc w:val="center"/>
      </w:pPr>
      <w:r>
        <w:rPr>
          <w:noProof/>
        </w:rPr>
        <w:drawing>
          <wp:inline distT="0" distB="0" distL="0" distR="0" wp14:anchorId="3124C011" wp14:editId="69E92557">
            <wp:extent cx="4381500" cy="2743200"/>
            <wp:effectExtent l="0" t="0" r="0" b="0"/>
            <wp:docPr id="1517977133" name="Picture 1517977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743200"/>
                    </a:xfrm>
                    <a:prstGeom prst="rect">
                      <a:avLst/>
                    </a:prstGeom>
                  </pic:spPr>
                </pic:pic>
              </a:graphicData>
            </a:graphic>
          </wp:inline>
        </w:drawing>
      </w:r>
    </w:p>
    <w:p w14:paraId="2A8F43AA" w14:textId="77777777" w:rsidR="00CF7574" w:rsidRDefault="00000000">
      <w:pPr>
        <w:spacing w:before="80" w:after="260"/>
        <w:jc w:val="center"/>
      </w:pPr>
      <w:r>
        <w:rPr>
          <w:i/>
          <w:iCs/>
          <w:color w:val="64748B"/>
          <w:sz w:val="18"/>
          <w:szCs w:val="18"/>
        </w:rPr>
        <w:t>Figure 3 — Average intra-cluster similarity score (~0.41 for every cluster) — clusters are moderately, evenly cohesive.</w:t>
      </w:r>
    </w:p>
    <w:p w14:paraId="55239B4F" w14:textId="77777777" w:rsidR="00CF7574" w:rsidRDefault="00000000">
      <w:pPr>
        <w:spacing w:after="160" w:line="300" w:lineRule="auto"/>
      </w:pPr>
      <w:r>
        <w:rPr>
          <w:color w:val="1E293B"/>
        </w:rPr>
        <w:t xml:space="preserve">Cross-tabulating category against cluster showed each issue category is spread almost evenly (~24–26%) across all four clusters — meaning cluster membership is driven by ticket-level complexity/priority </w:t>
      </w:r>
      <w:proofErr w:type="spellStart"/>
      <w:r>
        <w:rPr>
          <w:color w:val="1E293B"/>
        </w:rPr>
        <w:t>behavior</w:t>
      </w:r>
      <w:proofErr w:type="spellEnd"/>
      <w:r>
        <w:rPr>
          <w:color w:val="1E293B"/>
        </w:rPr>
        <w:t xml:space="preserve">, not by which product category the ticket belongs to. This is an important negative result: it means there is no single 'problem category' to fix — the fix has to target the </w:t>
      </w:r>
      <w:proofErr w:type="spellStart"/>
      <w:r>
        <w:rPr>
          <w:color w:val="1E293B"/>
        </w:rPr>
        <w:t>behavioral</w:t>
      </w:r>
      <w:proofErr w:type="spellEnd"/>
      <w:r>
        <w:rPr>
          <w:color w:val="1E293B"/>
        </w:rPr>
        <w:t xml:space="preserve"> cluster (Cluster 1) directly, across every category.</w:t>
      </w:r>
    </w:p>
    <w:p w14:paraId="520A1BA3" w14:textId="77777777" w:rsidR="00CF7574" w:rsidRDefault="00000000">
      <w:pPr>
        <w:pStyle w:val="Heading1"/>
        <w:spacing w:before="400" w:after="200"/>
      </w:pPr>
      <w:r>
        <w:t>4. Performance Trend &amp; Geographic Insights (Module 5–6)</w:t>
      </w:r>
    </w:p>
    <w:p w14:paraId="68D3124E" w14:textId="77777777" w:rsidR="00CF7574" w:rsidRDefault="00000000">
      <w:pPr>
        <w:pStyle w:val="Heading2"/>
        <w:spacing w:before="300" w:after="150"/>
      </w:pPr>
      <w:r>
        <w:t>4.1 Priority Tagging Effectiveness</w:t>
      </w:r>
    </w:p>
    <w:p w14:paraId="04722F3A" w14:textId="77777777" w:rsidR="00CF7574" w:rsidRDefault="00000000">
      <w:pPr>
        <w:spacing w:after="160" w:line="300" w:lineRule="auto"/>
      </w:pPr>
      <w:r>
        <w:rPr>
          <w:color w:val="1E293B"/>
        </w:rPr>
        <w:lastRenderedPageBreak/>
        <w:t>Across every issue category, 'Urgent' and 'High' priority tickets do not resolve meaningfully faster than lower-priority ones — all priorities resolve at roughly 165–170 hours on average. This indicates the internal priority tagging system is not currently driving faster outcomes; high-priority issues face the same systemic delays as routine ones.</w:t>
      </w:r>
    </w:p>
    <w:p w14:paraId="2B8A8556" w14:textId="77777777" w:rsidR="00CF7574" w:rsidRDefault="00000000">
      <w:pPr>
        <w:pStyle w:val="Heading2"/>
        <w:spacing w:before="300" w:after="150"/>
      </w:pPr>
      <w:r>
        <w:t>4.2 Global Resolution Efficiency by Region</w:t>
      </w:r>
    </w:p>
    <w:p w14:paraId="7C29EFBB" w14:textId="77777777" w:rsidR="00CF7574" w:rsidRDefault="00000000">
      <w:pPr>
        <w:spacing w:after="160" w:line="300" w:lineRule="auto"/>
      </w:pPr>
      <w:r>
        <w:rPr>
          <w:color w:val="1E293B"/>
        </w:rPr>
        <w:t>North America is marginally the fastest region (167.6 hrs) and Australia the slowest (169.1 hrs) — a spread of under 1.5 hours globally.</w:t>
      </w:r>
    </w:p>
    <w:p w14:paraId="6FDEE1AD" w14:textId="77777777" w:rsidR="00CF7574" w:rsidRDefault="00000000">
      <w:pPr>
        <w:spacing w:before="200"/>
        <w:jc w:val="center"/>
      </w:pPr>
      <w:r>
        <w:rPr>
          <w:noProof/>
        </w:rPr>
        <w:drawing>
          <wp:inline distT="0" distB="0" distL="0" distR="0" wp14:anchorId="304A5A4A" wp14:editId="2F76A100">
            <wp:extent cx="4381500" cy="2238375"/>
            <wp:effectExtent l="0" t="0" r="0" b="0"/>
            <wp:docPr id="1461464284" name="Picture 1461464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238375"/>
                    </a:xfrm>
                    <a:prstGeom prst="rect">
                      <a:avLst/>
                    </a:prstGeom>
                  </pic:spPr>
                </pic:pic>
              </a:graphicData>
            </a:graphic>
          </wp:inline>
        </w:drawing>
      </w:r>
    </w:p>
    <w:p w14:paraId="548496B8" w14:textId="77777777" w:rsidR="00CF7574" w:rsidRDefault="00000000">
      <w:pPr>
        <w:spacing w:before="80" w:after="260"/>
        <w:jc w:val="center"/>
      </w:pPr>
      <w:r>
        <w:rPr>
          <w:i/>
          <w:iCs/>
          <w:color w:val="64748B"/>
          <w:sz w:val="18"/>
          <w:szCs w:val="18"/>
        </w:rPr>
        <w:t>Figure 4 — Average resolution time by region: the gap between fastest and slowest is under 2 hours.</w:t>
      </w:r>
    </w:p>
    <w:p w14:paraId="7D96E7D5" w14:textId="77777777" w:rsidR="00CF7574" w:rsidRDefault="00000000">
      <w:pPr>
        <w:spacing w:after="160" w:line="300" w:lineRule="auto"/>
      </w:pPr>
      <w:r>
        <w:rPr>
          <w:color w:val="1E293B"/>
        </w:rPr>
        <w:t xml:space="preserve">This near-zero variance confirms the delay is a centralized, systemic issue (process/tooling), not a localized workforce or </w:t>
      </w:r>
      <w:proofErr w:type="spellStart"/>
      <w:r>
        <w:rPr>
          <w:color w:val="1E293B"/>
        </w:rPr>
        <w:t>timezone</w:t>
      </w:r>
      <w:proofErr w:type="spellEnd"/>
      <w:r>
        <w:rPr>
          <w:color w:val="1E293B"/>
        </w:rPr>
        <w:t xml:space="preserve"> problem.</w:t>
      </w:r>
    </w:p>
    <w:p w14:paraId="2148D22A" w14:textId="77777777" w:rsidR="00CF7574" w:rsidRDefault="00000000">
      <w:pPr>
        <w:pStyle w:val="Heading2"/>
        <w:spacing w:before="300" w:after="150"/>
      </w:pPr>
      <w:r>
        <w:t>4.3 SLA Compliance by Region</w:t>
      </w:r>
    </w:p>
    <w:p w14:paraId="01B34B6F" w14:textId="77777777" w:rsidR="00CF7574" w:rsidRDefault="00000000">
      <w:pPr>
        <w:spacing w:before="200"/>
        <w:jc w:val="center"/>
      </w:pPr>
      <w:r>
        <w:rPr>
          <w:noProof/>
        </w:rPr>
        <w:drawing>
          <wp:inline distT="0" distB="0" distL="0" distR="0" wp14:anchorId="750B47DA" wp14:editId="4CD061A4">
            <wp:extent cx="4381500" cy="2381250"/>
            <wp:effectExtent l="0" t="0" r="0" b="0"/>
            <wp:docPr id="2081503711" name="Picture 2081503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2381250"/>
                    </a:xfrm>
                    <a:prstGeom prst="rect">
                      <a:avLst/>
                    </a:prstGeom>
                  </pic:spPr>
                </pic:pic>
              </a:graphicData>
            </a:graphic>
          </wp:inline>
        </w:drawing>
      </w:r>
    </w:p>
    <w:p w14:paraId="5661A150" w14:textId="77777777" w:rsidR="00CF7574" w:rsidRDefault="00000000">
      <w:pPr>
        <w:spacing w:before="80" w:after="260"/>
        <w:jc w:val="center"/>
      </w:pPr>
      <w:r>
        <w:rPr>
          <w:i/>
          <w:iCs/>
          <w:color w:val="64748B"/>
          <w:sz w:val="18"/>
          <w:szCs w:val="18"/>
        </w:rPr>
        <w:t>Figure 5 — SLA compliance is uniformly low across all regions (26.3%–27.0%).</w:t>
      </w:r>
    </w:p>
    <w:p w14:paraId="7A76588C" w14:textId="77777777" w:rsidR="00CF7574" w:rsidRDefault="00000000">
      <w:pPr>
        <w:spacing w:after="160" w:line="300" w:lineRule="auto"/>
      </w:pPr>
      <w:r>
        <w:rPr>
          <w:color w:val="1E293B"/>
        </w:rPr>
        <w:lastRenderedPageBreak/>
        <w:t>Even the top-performing regions (North &amp; South America) top out at 27.0% SLA compliance, with Australia trailing slightly at 26.3%. The tight, uniformly low band indicates current SLA targets are misaligned with the team's actual operational capacity, rather than reflecting a regional performance gap.</w:t>
      </w:r>
    </w:p>
    <w:p w14:paraId="292FE594" w14:textId="77777777" w:rsidR="00CF7574" w:rsidRDefault="00000000">
      <w:pPr>
        <w:pStyle w:val="Heading2"/>
        <w:spacing w:before="300" w:after="150"/>
      </w:pPr>
      <w:r>
        <w:t>4.4 Critical Active Backlog</w:t>
      </w:r>
    </w:p>
    <w:p w14:paraId="2D8715D7" w14:textId="77777777" w:rsidR="00CF7574" w:rsidRDefault="00000000">
      <w:pPr>
        <w:spacing w:before="200"/>
        <w:jc w:val="center"/>
      </w:pPr>
      <w:r>
        <w:rPr>
          <w:noProof/>
        </w:rPr>
        <w:drawing>
          <wp:inline distT="0" distB="0" distL="0" distR="0" wp14:anchorId="713EBCB2" wp14:editId="0ED9FCFE">
            <wp:extent cx="4381500" cy="2552700"/>
            <wp:effectExtent l="0" t="0" r="0" b="0"/>
            <wp:docPr id="222053292" name="Picture 222053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552700"/>
                    </a:xfrm>
                    <a:prstGeom prst="rect">
                      <a:avLst/>
                    </a:prstGeom>
                  </pic:spPr>
                </pic:pic>
              </a:graphicData>
            </a:graphic>
          </wp:inline>
        </w:drawing>
      </w:r>
    </w:p>
    <w:p w14:paraId="325D9FFD" w14:textId="77777777" w:rsidR="00CF7574" w:rsidRDefault="00000000">
      <w:pPr>
        <w:spacing w:before="80" w:after="260"/>
        <w:jc w:val="center"/>
      </w:pPr>
      <w:r>
        <w:rPr>
          <w:i/>
          <w:iCs/>
          <w:color w:val="64748B"/>
          <w:sz w:val="18"/>
          <w:szCs w:val="18"/>
        </w:rPr>
        <w:t>Figure 6 — Unresolved High/Urgent tickets by category; Performance Issue and Feature Request lead the backlog.</w:t>
      </w:r>
    </w:p>
    <w:p w14:paraId="4CCF804E" w14:textId="77777777" w:rsidR="00CF7574" w:rsidRDefault="00000000">
      <w:pPr>
        <w:spacing w:after="160" w:line="300" w:lineRule="auto"/>
      </w:pPr>
      <w:r>
        <w:rPr>
          <w:color w:val="1E293B"/>
        </w:rPr>
        <w:t>'Performance Issue' (4,116) and 'Feature Request' (4,104) lead the critical active backlog, closely followed by 'Security Concern' (4,057). These categories represent the highest churn risk if left unresolved and should be prioritized for backlog clearance.</w:t>
      </w:r>
    </w:p>
    <w:p w14:paraId="4F7A108B" w14:textId="77777777" w:rsidR="00CF7574" w:rsidRDefault="00000000">
      <w:pPr>
        <w:pStyle w:val="Heading2"/>
        <w:spacing w:before="300" w:after="150"/>
      </w:pPr>
      <w:r>
        <w:t>4.5 Cluster Performance Impact</w:t>
      </w:r>
    </w:p>
    <w:p w14:paraId="18D98708" w14:textId="77777777" w:rsidR="00CF7574" w:rsidRDefault="00000000">
      <w:pPr>
        <w:spacing w:before="200"/>
        <w:jc w:val="center"/>
      </w:pPr>
      <w:r>
        <w:rPr>
          <w:noProof/>
        </w:rPr>
        <w:drawing>
          <wp:inline distT="0" distB="0" distL="0" distR="0" wp14:anchorId="5BCB475B" wp14:editId="207D58E9">
            <wp:extent cx="4381500" cy="2381250"/>
            <wp:effectExtent l="0" t="0" r="0" b="0"/>
            <wp:docPr id="1779211172" name="Picture 1779211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2381250"/>
                    </a:xfrm>
                    <a:prstGeom prst="rect">
                      <a:avLst/>
                    </a:prstGeom>
                  </pic:spPr>
                </pic:pic>
              </a:graphicData>
            </a:graphic>
          </wp:inline>
        </w:drawing>
      </w:r>
    </w:p>
    <w:p w14:paraId="6C1DEBE9" w14:textId="77777777" w:rsidR="00CF7574" w:rsidRDefault="00000000">
      <w:pPr>
        <w:spacing w:before="80" w:after="260"/>
        <w:jc w:val="center"/>
      </w:pPr>
      <w:r>
        <w:rPr>
          <w:i/>
          <w:iCs/>
          <w:color w:val="64748B"/>
          <w:sz w:val="18"/>
          <w:szCs w:val="18"/>
        </w:rPr>
        <w:t>Figure 7 — Cluster 1 carries a similar ticket volume to the other clusters but a far lower performance score (30.4 vs. up to 59.3).</w:t>
      </w:r>
    </w:p>
    <w:p w14:paraId="52F037B7" w14:textId="77777777" w:rsidR="00CF7574" w:rsidRDefault="00000000">
      <w:pPr>
        <w:spacing w:after="160" w:line="300" w:lineRule="auto"/>
      </w:pPr>
      <w:r>
        <w:rPr>
          <w:color w:val="1E293B"/>
        </w:rPr>
        <w:t xml:space="preserve">Cluster 1 holds a similar ticket volume (~49K) to the other three clusters but a drastically lower operational performance score (30.4 vs. 41.8–59.3 elsewhere). This makes Cluster 1 the clearest, single highest-leverage </w:t>
      </w:r>
      <w:r>
        <w:rPr>
          <w:color w:val="1E293B"/>
        </w:rPr>
        <w:lastRenderedPageBreak/>
        <w:t>target for process improvement — fixing it would lift the team's global performance average more than any other single intervention.</w:t>
      </w:r>
    </w:p>
    <w:p w14:paraId="64963AE0" w14:textId="77777777" w:rsidR="00CF7574" w:rsidRDefault="00000000">
      <w:pPr>
        <w:pStyle w:val="Heading2"/>
        <w:spacing w:before="300" w:after="150"/>
      </w:pPr>
      <w:r>
        <w:t>4.6 Geographic Distribution of Issue Categories</w:t>
      </w:r>
    </w:p>
    <w:p w14:paraId="725D8395" w14:textId="77777777" w:rsidR="00CF7574" w:rsidRDefault="00000000">
      <w:pPr>
        <w:spacing w:after="160" w:line="300" w:lineRule="auto"/>
      </w:pPr>
      <w:r>
        <w:rPr>
          <w:color w:val="1E293B"/>
        </w:rPr>
        <w:t>Ticket distribution across regions is generally balanced, though a few localized spikes exist (e.g., 'Performance Issue' concentrated in Africa, 'Subscription Cancellation' in South America). Overall, each region handles a diversified, proportional mix of categories — meaning centrally deployed fixes will benefit all regions roughly evenly, with light local monitoring for the specific spikes noted above.</w:t>
      </w:r>
    </w:p>
    <w:p w14:paraId="088DCDAA" w14:textId="77777777" w:rsidR="00CF7574" w:rsidRDefault="00000000">
      <w:pPr>
        <w:pStyle w:val="Heading1"/>
        <w:spacing w:before="400" w:after="200"/>
      </w:pPr>
      <w:r>
        <w:t>5. Interactive Dashboard (Module 7)</w:t>
      </w:r>
    </w:p>
    <w:p w14:paraId="4317A0D7" w14:textId="77777777" w:rsidR="00CF7574" w:rsidRDefault="00000000">
      <w:pPr>
        <w:spacing w:after="160" w:line="300" w:lineRule="auto"/>
      </w:pPr>
      <w:r>
        <w:rPr>
          <w:color w:val="1E293B"/>
        </w:rPr>
        <w:t xml:space="preserve">A </w:t>
      </w:r>
      <w:proofErr w:type="spellStart"/>
      <w:r>
        <w:rPr>
          <w:color w:val="1E293B"/>
        </w:rPr>
        <w:t>Streamlit</w:t>
      </w:r>
      <w:proofErr w:type="spellEnd"/>
      <w:r>
        <w:rPr>
          <w:color w:val="1E293B"/>
        </w:rPr>
        <w:t xml:space="preserve"> dashboard (main.py) was built as the Milestone 4 deliverable, organized around the four required KPIs, each as its own tab:</w:t>
      </w:r>
    </w:p>
    <w:p w14:paraId="7C8226C7" w14:textId="37ADE090" w:rsidR="00CF7574" w:rsidRDefault="00000000">
      <w:pPr>
        <w:pStyle w:val="ListParagraph"/>
        <w:numPr>
          <w:ilvl w:val="0"/>
          <w:numId w:val="1"/>
        </w:numPr>
        <w:spacing w:after="80" w:line="280" w:lineRule="auto"/>
      </w:pPr>
      <w:r>
        <w:rPr>
          <w:color w:val="1E293B"/>
        </w:rPr>
        <w:t xml:space="preserve"> Average Resolution Time — overall average, SLA compliance rate, slowest category, resolution time by category/priority, region × category heatmap, and speed-bucket breakdown.</w:t>
      </w:r>
    </w:p>
    <w:p w14:paraId="281695DB" w14:textId="248CCFBA" w:rsidR="00CF7574" w:rsidRDefault="00000000">
      <w:pPr>
        <w:pStyle w:val="ListParagraph"/>
        <w:numPr>
          <w:ilvl w:val="0"/>
          <w:numId w:val="1"/>
        </w:numPr>
        <w:spacing w:after="80" w:line="280" w:lineRule="auto"/>
      </w:pPr>
      <w:r>
        <w:rPr>
          <w:color w:val="1E293B"/>
        </w:rPr>
        <w:t xml:space="preserve"> Most Frequent Categories — top categories by volume, ticket volume by priority, unresolved high-priority backlog by category, and a region × category concentration heatmap.</w:t>
      </w:r>
    </w:p>
    <w:p w14:paraId="057FCC40" w14:textId="4909DD20" w:rsidR="00CF7574" w:rsidRDefault="00000000">
      <w:pPr>
        <w:pStyle w:val="ListParagraph"/>
        <w:numPr>
          <w:ilvl w:val="0"/>
          <w:numId w:val="1"/>
        </w:numPr>
        <w:spacing w:after="80" w:line="280" w:lineRule="auto"/>
      </w:pPr>
      <w:r>
        <w:rPr>
          <w:color w:val="1E293B"/>
        </w:rPr>
        <w:t xml:space="preserve"> Cluster Similarity Index — average similarity index, most cohesive cluster, cluster volume and similarity charts, full cluster performance profile table, and a size-vs-performance combo chart.</w:t>
      </w:r>
    </w:p>
    <w:p w14:paraId="12CB76FD" w14:textId="1A74E434" w:rsidR="00CF7574" w:rsidRDefault="00000000">
      <w:pPr>
        <w:pStyle w:val="ListParagraph"/>
        <w:numPr>
          <w:ilvl w:val="0"/>
          <w:numId w:val="1"/>
        </w:numPr>
        <w:spacing w:after="80" w:line="280" w:lineRule="auto"/>
      </w:pPr>
      <w:r>
        <w:rPr>
          <w:color w:val="1E293B"/>
        </w:rPr>
        <w:t xml:space="preserve"> Top Performing Regions — SLA compliance and average resolution time by region, plus a geographic scatter map of category distribution by region.</w:t>
      </w:r>
    </w:p>
    <w:p w14:paraId="22A0832E" w14:textId="77777777" w:rsidR="00CF7574" w:rsidRDefault="00000000">
      <w:pPr>
        <w:spacing w:after="160" w:line="300" w:lineRule="auto"/>
      </w:pPr>
      <w:r>
        <w:rPr>
          <w:color w:val="1E293B"/>
        </w:rPr>
        <w:t>The dashboard accepts either the raw ticket CSV (re-running the same feature engineering used in the notebook) or the pre-processed CSV, and includes sidebar filters for Region, Priority, and Category so any stakeholder can drill into a specific slice of the data live.</w:t>
      </w:r>
    </w:p>
    <w:p w14:paraId="02D54931" w14:textId="77777777" w:rsidR="00CF7574" w:rsidRDefault="00000000">
      <w:pPr>
        <w:pStyle w:val="Heading1"/>
        <w:spacing w:before="400" w:after="200"/>
      </w:pPr>
      <w:r>
        <w:t>6. Recommendations</w:t>
      </w:r>
    </w:p>
    <w:p w14:paraId="4B65893C" w14:textId="77777777" w:rsidR="00CF7574" w:rsidRDefault="00000000">
      <w:pPr>
        <w:pStyle w:val="Heading3"/>
      </w:pPr>
      <w:r>
        <w:t>1. Target Cluster 1 directly</w:t>
      </w:r>
    </w:p>
    <w:p w14:paraId="114E91A1" w14:textId="77777777" w:rsidR="00CF7574" w:rsidRDefault="00000000">
      <w:pPr>
        <w:spacing w:after="160" w:line="300" w:lineRule="auto"/>
      </w:pPr>
      <w:r>
        <w:rPr>
          <w:color w:val="1E293B"/>
        </w:rPr>
        <w:t>Cluster 1 (low complexity, slowest resolution) is the single largest drag on team-wide performance. Build a dedicated triage rule that flags low-complexity tickets sitting unresolved past 24–48 hours, since these are exactly the 'simple tickets lost in the backlog' this cluster represents.</w:t>
      </w:r>
    </w:p>
    <w:p w14:paraId="0E3574E7" w14:textId="77777777" w:rsidR="00CF7574" w:rsidRDefault="00000000">
      <w:pPr>
        <w:pStyle w:val="Heading3"/>
      </w:pPr>
      <w:r>
        <w:t>2. Re-audit the priority tagging system</w:t>
      </w:r>
    </w:p>
    <w:p w14:paraId="33D28A3A" w14:textId="77777777" w:rsidR="00CF7574" w:rsidRDefault="00000000">
      <w:pPr>
        <w:spacing w:after="160" w:line="300" w:lineRule="auto"/>
      </w:pPr>
      <w:r>
        <w:rPr>
          <w:color w:val="1E293B"/>
        </w:rPr>
        <w:t xml:space="preserve">Because Urgent/High tickets resolve no faster than Low/Medium ones, the current priority tag is not functioning as a routing signal. Introduce a hard SLA-linked routing rule so 'Urgent' tickets are mechanically fast-tracked rather than just </w:t>
      </w:r>
      <w:proofErr w:type="spellStart"/>
      <w:r>
        <w:rPr>
          <w:color w:val="1E293B"/>
        </w:rPr>
        <w:t>labeled</w:t>
      </w:r>
      <w:proofErr w:type="spellEnd"/>
      <w:r>
        <w:rPr>
          <w:color w:val="1E293B"/>
        </w:rPr>
        <w:t>.</w:t>
      </w:r>
    </w:p>
    <w:p w14:paraId="2F0D9169" w14:textId="77777777" w:rsidR="00CF7574" w:rsidRDefault="00000000">
      <w:pPr>
        <w:pStyle w:val="Heading3"/>
      </w:pPr>
      <w:r>
        <w:t>3. Reset SLA targets to be realistic, then re-baseline</w:t>
      </w:r>
    </w:p>
    <w:p w14:paraId="369047C8" w14:textId="77777777" w:rsidR="00CF7574" w:rsidRDefault="00000000">
      <w:pPr>
        <w:spacing w:after="160" w:line="300" w:lineRule="auto"/>
      </w:pPr>
      <w:r>
        <w:rPr>
          <w:color w:val="1E293B"/>
        </w:rPr>
        <w:lastRenderedPageBreak/>
        <w:t>A uniform ~27% compliance rate across every region signals the 72-hour SLA benchmark itself is misaligned with current capacity — not a regional execution problem. Recalibrate the SLA threshold using actual historical percentiles, then track compliance against the new baseline going forward.</w:t>
      </w:r>
    </w:p>
    <w:p w14:paraId="581E86F1" w14:textId="77777777" w:rsidR="00CF7574" w:rsidRDefault="00000000">
      <w:pPr>
        <w:pStyle w:val="Heading3"/>
      </w:pPr>
      <w:r>
        <w:t>4. Clear the top 3 backlog categories first</w:t>
      </w:r>
    </w:p>
    <w:p w14:paraId="262BA9BD" w14:textId="77777777" w:rsidR="00CF7574" w:rsidRDefault="00000000">
      <w:pPr>
        <w:spacing w:after="160" w:line="300" w:lineRule="auto"/>
      </w:pPr>
      <w:r>
        <w:rPr>
          <w:color w:val="1E293B"/>
        </w:rPr>
        <w:t>Prioritize unresolved High/Urgent tickets in Performance Issue, Feature Request, and Security Concern — these carry the highest churn risk and the largest unresolved counts.</w:t>
      </w:r>
    </w:p>
    <w:p w14:paraId="741B777F" w14:textId="77777777" w:rsidR="00CF7574" w:rsidRDefault="00000000">
      <w:pPr>
        <w:pStyle w:val="Heading3"/>
      </w:pPr>
      <w:r>
        <w:t>5. Deploy automation on high-similarity clusters</w:t>
      </w:r>
    </w:p>
    <w:p w14:paraId="5CC43A0C" w14:textId="77777777" w:rsidR="00CF7574" w:rsidRDefault="00000000">
      <w:pPr>
        <w:spacing w:after="160" w:line="300" w:lineRule="auto"/>
      </w:pPr>
      <w:r>
        <w:rPr>
          <w:color w:val="1E293B"/>
        </w:rPr>
        <w:t>Clusters with high internal similarity behave near-identically ticket to ticket, making them strong candidates for standardized automated workflows or scripted resolution paths, freeing agent time for the genuinely complex, high-variance cases.</w:t>
      </w:r>
    </w:p>
    <w:p w14:paraId="6EF3C263" w14:textId="77777777" w:rsidR="00CF7574" w:rsidRDefault="00000000">
      <w:pPr>
        <w:pStyle w:val="Heading1"/>
        <w:spacing w:before="400" w:after="200"/>
      </w:pPr>
      <w:r>
        <w:t>7. Tech Stack</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000"/>
      </w:tblGrid>
      <w:tr w:rsidR="00CF7574" w14:paraId="5F7107EA" w14:textId="77777777">
        <w:tblPrEx>
          <w:tblCellMar>
            <w:top w:w="0" w:type="dxa"/>
            <w:bottom w:w="0" w:type="dxa"/>
          </w:tblCellMar>
        </w:tblPrEx>
        <w:trPr>
          <w:tblHeader/>
        </w:trPr>
        <w:tc>
          <w:tcPr>
            <w:tcW w:w="2600" w:type="dxa"/>
            <w:shd w:val="clear" w:color="auto" w:fill="1E3A8A"/>
            <w:tcMar>
              <w:top w:w="80" w:type="dxa"/>
              <w:left w:w="120" w:type="dxa"/>
              <w:bottom w:w="80" w:type="dxa"/>
              <w:right w:w="120" w:type="dxa"/>
            </w:tcMar>
          </w:tcPr>
          <w:p w14:paraId="18753C9D" w14:textId="77777777" w:rsidR="00CF7574" w:rsidRDefault="00000000">
            <w:r>
              <w:rPr>
                <w:b/>
                <w:bCs/>
                <w:color w:val="FFFFFF"/>
                <w:sz w:val="20"/>
                <w:szCs w:val="20"/>
              </w:rPr>
              <w:t>Layer</w:t>
            </w:r>
          </w:p>
        </w:tc>
        <w:tc>
          <w:tcPr>
            <w:tcW w:w="6000" w:type="dxa"/>
            <w:shd w:val="clear" w:color="auto" w:fill="1E3A8A"/>
            <w:tcMar>
              <w:top w:w="80" w:type="dxa"/>
              <w:left w:w="120" w:type="dxa"/>
              <w:bottom w:w="80" w:type="dxa"/>
              <w:right w:w="120" w:type="dxa"/>
            </w:tcMar>
          </w:tcPr>
          <w:p w14:paraId="64A31532" w14:textId="77777777" w:rsidR="00CF7574" w:rsidRDefault="00000000">
            <w:r>
              <w:rPr>
                <w:b/>
                <w:bCs/>
                <w:color w:val="FFFFFF"/>
                <w:sz w:val="20"/>
                <w:szCs w:val="20"/>
              </w:rPr>
              <w:t>Tools</w:t>
            </w:r>
          </w:p>
        </w:tc>
      </w:tr>
      <w:tr w:rsidR="00CF7574" w14:paraId="4E1038F8" w14:textId="77777777">
        <w:tblPrEx>
          <w:tblCellMar>
            <w:top w:w="0" w:type="dxa"/>
            <w:bottom w:w="0" w:type="dxa"/>
          </w:tblCellMar>
        </w:tblPrEx>
        <w:tc>
          <w:tcPr>
            <w:tcW w:w="2600" w:type="dxa"/>
            <w:shd w:val="clear" w:color="auto" w:fill="FFFFFF"/>
            <w:tcMar>
              <w:top w:w="80" w:type="dxa"/>
              <w:left w:w="120" w:type="dxa"/>
              <w:bottom w:w="80" w:type="dxa"/>
              <w:right w:w="120" w:type="dxa"/>
            </w:tcMar>
          </w:tcPr>
          <w:p w14:paraId="0E49734D" w14:textId="77777777" w:rsidR="00CF7574" w:rsidRDefault="00000000">
            <w:r>
              <w:rPr>
                <w:color w:val="1E293B"/>
                <w:sz w:val="20"/>
                <w:szCs w:val="20"/>
              </w:rPr>
              <w:t>Data handling</w:t>
            </w:r>
          </w:p>
        </w:tc>
        <w:tc>
          <w:tcPr>
            <w:tcW w:w="6000" w:type="dxa"/>
            <w:shd w:val="clear" w:color="auto" w:fill="FFFFFF"/>
            <w:tcMar>
              <w:top w:w="80" w:type="dxa"/>
              <w:left w:w="120" w:type="dxa"/>
              <w:bottom w:w="80" w:type="dxa"/>
              <w:right w:w="120" w:type="dxa"/>
            </w:tcMar>
          </w:tcPr>
          <w:p w14:paraId="32D91BE7" w14:textId="77777777" w:rsidR="00CF7574" w:rsidRDefault="00000000">
            <w:r>
              <w:rPr>
                <w:color w:val="1E293B"/>
                <w:sz w:val="20"/>
                <w:szCs w:val="20"/>
              </w:rPr>
              <w:t xml:space="preserve">pandas, </w:t>
            </w:r>
            <w:proofErr w:type="spellStart"/>
            <w:r>
              <w:rPr>
                <w:color w:val="1E293B"/>
                <w:sz w:val="20"/>
                <w:szCs w:val="20"/>
              </w:rPr>
              <w:t>numpy</w:t>
            </w:r>
            <w:proofErr w:type="spellEnd"/>
          </w:p>
        </w:tc>
      </w:tr>
      <w:tr w:rsidR="00CF7574" w14:paraId="1ED28815" w14:textId="77777777">
        <w:tblPrEx>
          <w:tblCellMar>
            <w:top w:w="0" w:type="dxa"/>
            <w:bottom w:w="0" w:type="dxa"/>
          </w:tblCellMar>
        </w:tblPrEx>
        <w:tc>
          <w:tcPr>
            <w:tcW w:w="2600" w:type="dxa"/>
            <w:shd w:val="clear" w:color="auto" w:fill="F8FAFC"/>
            <w:tcMar>
              <w:top w:w="80" w:type="dxa"/>
              <w:left w:w="120" w:type="dxa"/>
              <w:bottom w:w="80" w:type="dxa"/>
              <w:right w:w="120" w:type="dxa"/>
            </w:tcMar>
          </w:tcPr>
          <w:p w14:paraId="5F6669F1" w14:textId="77777777" w:rsidR="00CF7574" w:rsidRDefault="00000000">
            <w:r>
              <w:rPr>
                <w:color w:val="1E293B"/>
                <w:sz w:val="20"/>
                <w:szCs w:val="20"/>
              </w:rPr>
              <w:t>Visualization</w:t>
            </w:r>
          </w:p>
        </w:tc>
        <w:tc>
          <w:tcPr>
            <w:tcW w:w="6000" w:type="dxa"/>
            <w:shd w:val="clear" w:color="auto" w:fill="F8FAFC"/>
            <w:tcMar>
              <w:top w:w="80" w:type="dxa"/>
              <w:left w:w="120" w:type="dxa"/>
              <w:bottom w:w="80" w:type="dxa"/>
              <w:right w:w="120" w:type="dxa"/>
            </w:tcMar>
          </w:tcPr>
          <w:p w14:paraId="76FB394F" w14:textId="77777777" w:rsidR="00CF7574" w:rsidRDefault="00000000">
            <w:r>
              <w:rPr>
                <w:color w:val="1E293B"/>
                <w:sz w:val="20"/>
                <w:szCs w:val="20"/>
              </w:rPr>
              <w:t xml:space="preserve">matplotlib, seaborn, </w:t>
            </w:r>
            <w:proofErr w:type="spellStart"/>
            <w:r>
              <w:rPr>
                <w:color w:val="1E293B"/>
                <w:sz w:val="20"/>
                <w:szCs w:val="20"/>
              </w:rPr>
              <w:t>plotly</w:t>
            </w:r>
            <w:proofErr w:type="spellEnd"/>
          </w:p>
        </w:tc>
      </w:tr>
      <w:tr w:rsidR="00CF7574" w14:paraId="68C774C5" w14:textId="77777777">
        <w:tblPrEx>
          <w:tblCellMar>
            <w:top w:w="0" w:type="dxa"/>
            <w:bottom w:w="0" w:type="dxa"/>
          </w:tblCellMar>
        </w:tblPrEx>
        <w:tc>
          <w:tcPr>
            <w:tcW w:w="2600" w:type="dxa"/>
            <w:shd w:val="clear" w:color="auto" w:fill="FFFFFF"/>
            <w:tcMar>
              <w:top w:w="80" w:type="dxa"/>
              <w:left w:w="120" w:type="dxa"/>
              <w:bottom w:w="80" w:type="dxa"/>
              <w:right w:w="120" w:type="dxa"/>
            </w:tcMar>
          </w:tcPr>
          <w:p w14:paraId="0DBB5530" w14:textId="77777777" w:rsidR="00CF7574" w:rsidRDefault="00000000">
            <w:r>
              <w:rPr>
                <w:color w:val="1E293B"/>
                <w:sz w:val="20"/>
                <w:szCs w:val="20"/>
              </w:rPr>
              <w:t>Clustering / ML</w:t>
            </w:r>
          </w:p>
        </w:tc>
        <w:tc>
          <w:tcPr>
            <w:tcW w:w="6000" w:type="dxa"/>
            <w:shd w:val="clear" w:color="auto" w:fill="FFFFFF"/>
            <w:tcMar>
              <w:top w:w="80" w:type="dxa"/>
              <w:left w:w="120" w:type="dxa"/>
              <w:bottom w:w="80" w:type="dxa"/>
              <w:right w:w="120" w:type="dxa"/>
            </w:tcMar>
          </w:tcPr>
          <w:p w14:paraId="66BFD7D2" w14:textId="77777777" w:rsidR="00CF7574" w:rsidRDefault="00000000">
            <w:r>
              <w:rPr>
                <w:color w:val="1E293B"/>
                <w:sz w:val="20"/>
                <w:szCs w:val="20"/>
              </w:rPr>
              <w:t>scikit-learn (</w:t>
            </w:r>
            <w:proofErr w:type="spellStart"/>
            <w:r>
              <w:rPr>
                <w:color w:val="1E293B"/>
                <w:sz w:val="20"/>
                <w:szCs w:val="20"/>
              </w:rPr>
              <w:t>KMeans</w:t>
            </w:r>
            <w:proofErr w:type="spellEnd"/>
            <w:r>
              <w:rPr>
                <w:color w:val="1E293B"/>
                <w:sz w:val="20"/>
                <w:szCs w:val="20"/>
              </w:rPr>
              <w:t xml:space="preserve">, </w:t>
            </w:r>
            <w:proofErr w:type="spellStart"/>
            <w:r>
              <w:rPr>
                <w:color w:val="1E293B"/>
                <w:sz w:val="20"/>
                <w:szCs w:val="20"/>
              </w:rPr>
              <w:t>StandardScaler</w:t>
            </w:r>
            <w:proofErr w:type="spellEnd"/>
            <w:r>
              <w:rPr>
                <w:color w:val="1E293B"/>
                <w:sz w:val="20"/>
                <w:szCs w:val="20"/>
              </w:rPr>
              <w:t>)</w:t>
            </w:r>
          </w:p>
        </w:tc>
      </w:tr>
      <w:tr w:rsidR="00CF7574" w14:paraId="7DEF19EC" w14:textId="77777777">
        <w:tblPrEx>
          <w:tblCellMar>
            <w:top w:w="0" w:type="dxa"/>
            <w:bottom w:w="0" w:type="dxa"/>
          </w:tblCellMar>
        </w:tblPrEx>
        <w:tc>
          <w:tcPr>
            <w:tcW w:w="2600" w:type="dxa"/>
            <w:shd w:val="clear" w:color="auto" w:fill="F8FAFC"/>
            <w:tcMar>
              <w:top w:w="80" w:type="dxa"/>
              <w:left w:w="120" w:type="dxa"/>
              <w:bottom w:w="80" w:type="dxa"/>
              <w:right w:w="120" w:type="dxa"/>
            </w:tcMar>
          </w:tcPr>
          <w:p w14:paraId="46D78F78" w14:textId="77777777" w:rsidR="00CF7574" w:rsidRDefault="00000000">
            <w:r>
              <w:rPr>
                <w:color w:val="1E293B"/>
                <w:sz w:val="20"/>
                <w:szCs w:val="20"/>
              </w:rPr>
              <w:t>Dashboard</w:t>
            </w:r>
          </w:p>
        </w:tc>
        <w:tc>
          <w:tcPr>
            <w:tcW w:w="6000" w:type="dxa"/>
            <w:shd w:val="clear" w:color="auto" w:fill="F8FAFC"/>
            <w:tcMar>
              <w:top w:w="80" w:type="dxa"/>
              <w:left w:w="120" w:type="dxa"/>
              <w:bottom w:w="80" w:type="dxa"/>
              <w:right w:w="120" w:type="dxa"/>
            </w:tcMar>
          </w:tcPr>
          <w:p w14:paraId="56A7C9A1" w14:textId="77777777" w:rsidR="00CF7574" w:rsidRDefault="00000000">
            <w:proofErr w:type="spellStart"/>
            <w:r>
              <w:rPr>
                <w:color w:val="1E293B"/>
                <w:sz w:val="20"/>
                <w:szCs w:val="20"/>
              </w:rPr>
              <w:t>Streamlit</w:t>
            </w:r>
            <w:proofErr w:type="spellEnd"/>
          </w:p>
        </w:tc>
      </w:tr>
      <w:tr w:rsidR="00CF7574" w14:paraId="7863F017" w14:textId="77777777">
        <w:tblPrEx>
          <w:tblCellMar>
            <w:top w:w="0" w:type="dxa"/>
            <w:bottom w:w="0" w:type="dxa"/>
          </w:tblCellMar>
        </w:tblPrEx>
        <w:tc>
          <w:tcPr>
            <w:tcW w:w="2600" w:type="dxa"/>
            <w:shd w:val="clear" w:color="auto" w:fill="FFFFFF"/>
            <w:tcMar>
              <w:top w:w="80" w:type="dxa"/>
              <w:left w:w="120" w:type="dxa"/>
              <w:bottom w:w="80" w:type="dxa"/>
              <w:right w:w="120" w:type="dxa"/>
            </w:tcMar>
          </w:tcPr>
          <w:p w14:paraId="58C27D47" w14:textId="77777777" w:rsidR="00CF7574" w:rsidRDefault="00000000">
            <w:r>
              <w:rPr>
                <w:color w:val="1E293B"/>
                <w:sz w:val="20"/>
                <w:szCs w:val="20"/>
              </w:rPr>
              <w:t>Documentation</w:t>
            </w:r>
          </w:p>
        </w:tc>
        <w:tc>
          <w:tcPr>
            <w:tcW w:w="6000" w:type="dxa"/>
            <w:shd w:val="clear" w:color="auto" w:fill="FFFFFF"/>
            <w:tcMar>
              <w:top w:w="80" w:type="dxa"/>
              <w:left w:w="120" w:type="dxa"/>
              <w:bottom w:w="80" w:type="dxa"/>
              <w:right w:w="120" w:type="dxa"/>
            </w:tcMar>
          </w:tcPr>
          <w:p w14:paraId="384CE117" w14:textId="77777777" w:rsidR="00CF7574" w:rsidRDefault="00000000">
            <w:r>
              <w:rPr>
                <w:color w:val="1E293B"/>
                <w:sz w:val="20"/>
                <w:szCs w:val="20"/>
              </w:rPr>
              <w:t>Jupyter Notebook, PDF/Word report, GitHub repository</w:t>
            </w:r>
          </w:p>
        </w:tc>
      </w:tr>
    </w:tbl>
    <w:p w14:paraId="2CFEA029" w14:textId="77777777" w:rsidR="00CF7574" w:rsidRDefault="00000000">
      <w:pPr>
        <w:pStyle w:val="Heading1"/>
        <w:spacing w:before="400" w:after="200"/>
      </w:pPr>
      <w:r>
        <w:t>8. Conclusion</w:t>
      </w:r>
    </w:p>
    <w:p w14:paraId="3F531DD6" w14:textId="77777777" w:rsidR="00CF7574" w:rsidRDefault="00000000">
      <w:pPr>
        <w:spacing w:after="160" w:line="300" w:lineRule="auto"/>
      </w:pPr>
      <w:r>
        <w:rPr>
          <w:color w:val="1E293B"/>
        </w:rPr>
        <w:t xml:space="preserve">This project moved from a raw 200K-row ticket export to a fully engineered, clustered, and visualized analytics pipeline, backed by a live interactive dashboard. The core insight — that resolution delay is a systemic, cluster-driven issue rather than a category, channel, priority, or regional one — reframes how the IT support organization should approach performance improvement: instead of region-by-region or category-by-category fixes, the highest-leverage action is targeting the specific </w:t>
      </w:r>
      <w:proofErr w:type="spellStart"/>
      <w:r>
        <w:rPr>
          <w:color w:val="1E293B"/>
        </w:rPr>
        <w:t>behavioral</w:t>
      </w:r>
      <w:proofErr w:type="spellEnd"/>
      <w:r>
        <w:rPr>
          <w:color w:val="1E293B"/>
        </w:rPr>
        <w:t xml:space="preserve"> cluster responsible for the bulk of the underperformance. All code, visuals, the processed dataset, and the dashboard are included in the accompanying GitHub repository.</w:t>
      </w:r>
    </w:p>
    <w:sectPr w:rsidR="00CF7574">
      <w:headerReference w:type="default" r:id="rId14"/>
      <w:footerReference w:type="default" r:id="rId15"/>
      <w:pgSz w:w="12240" w:h="15840"/>
      <w:pgMar w:top="1080" w:right="1200" w:bottom="108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DA34B" w14:textId="77777777" w:rsidR="00C21A86" w:rsidRDefault="00C21A86">
      <w:r>
        <w:separator/>
      </w:r>
    </w:p>
  </w:endnote>
  <w:endnote w:type="continuationSeparator" w:id="0">
    <w:p w14:paraId="20FDBD6D" w14:textId="77777777" w:rsidR="00C21A86" w:rsidRDefault="00C21A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03E3" w14:textId="77777777" w:rsidR="00CF7574" w:rsidRDefault="00000000">
    <w:pPr>
      <w:jc w:val="center"/>
    </w:pPr>
    <w:r>
      <w:rPr>
        <w:color w:val="64748B"/>
        <w:sz w:val="16"/>
        <w:szCs w:val="16"/>
      </w:rPr>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sidR="00AD7647">
      <w:rPr>
        <w:noProof/>
        <w:color w:val="64748B"/>
        <w:sz w:val="16"/>
        <w:szCs w:val="16"/>
      </w:rPr>
      <w:t>1</w:t>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NUMPAGES</w:instrText>
    </w:r>
    <w:r>
      <w:rPr>
        <w:color w:val="64748B"/>
        <w:sz w:val="16"/>
        <w:szCs w:val="16"/>
      </w:rPr>
      <w:fldChar w:fldCharType="separate"/>
    </w:r>
    <w:r w:rsidR="00AD7647">
      <w:rPr>
        <w:noProof/>
        <w:color w:val="64748B"/>
        <w:sz w:val="16"/>
        <w:szCs w:val="16"/>
      </w:rPr>
      <w:t>2</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42712" w14:textId="77777777" w:rsidR="00C21A86" w:rsidRDefault="00C21A86">
      <w:r>
        <w:separator/>
      </w:r>
    </w:p>
  </w:footnote>
  <w:footnote w:type="continuationSeparator" w:id="0">
    <w:p w14:paraId="1E1EF925" w14:textId="77777777" w:rsidR="00C21A86" w:rsidRDefault="00C21A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DDE15" w14:textId="77777777" w:rsidR="00CF7574" w:rsidRDefault="00000000">
    <w:pPr>
      <w:pBdr>
        <w:bottom w:val="single" w:sz="4" w:space="4" w:color="E2E8F0"/>
      </w:pBdr>
      <w:jc w:val="right"/>
    </w:pPr>
    <w:proofErr w:type="spellStart"/>
    <w:r>
      <w:rPr>
        <w:color w:val="64748B"/>
        <w:sz w:val="16"/>
        <w:szCs w:val="16"/>
      </w:rPr>
      <w:t>Supportlytics</w:t>
    </w:r>
    <w:proofErr w:type="spellEnd"/>
    <w:r>
      <w:rPr>
        <w:color w:val="64748B"/>
        <w:sz w:val="16"/>
        <w:szCs w:val="16"/>
      </w:rPr>
      <w:t xml:space="preserve"> — Final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A9484E"/>
    <w:multiLevelType w:val="hybridMultilevel"/>
    <w:tmpl w:val="C3FC2E5C"/>
    <w:lvl w:ilvl="0" w:tplc="EFD8D9A4">
      <w:start w:val="1"/>
      <w:numFmt w:val="bullet"/>
      <w:lvlText w:val="●"/>
      <w:lvlJc w:val="left"/>
      <w:pPr>
        <w:ind w:left="720" w:hanging="360"/>
      </w:pPr>
    </w:lvl>
    <w:lvl w:ilvl="1" w:tplc="1AB4E00C">
      <w:start w:val="1"/>
      <w:numFmt w:val="bullet"/>
      <w:lvlText w:val="○"/>
      <w:lvlJc w:val="left"/>
      <w:pPr>
        <w:ind w:left="1440" w:hanging="360"/>
      </w:pPr>
    </w:lvl>
    <w:lvl w:ilvl="2" w:tplc="EB060140">
      <w:start w:val="1"/>
      <w:numFmt w:val="bullet"/>
      <w:lvlText w:val="■"/>
      <w:lvlJc w:val="left"/>
      <w:pPr>
        <w:ind w:left="2160" w:hanging="360"/>
      </w:pPr>
    </w:lvl>
    <w:lvl w:ilvl="3" w:tplc="302EE04A">
      <w:start w:val="1"/>
      <w:numFmt w:val="bullet"/>
      <w:lvlText w:val="●"/>
      <w:lvlJc w:val="left"/>
      <w:pPr>
        <w:ind w:left="2880" w:hanging="360"/>
      </w:pPr>
    </w:lvl>
    <w:lvl w:ilvl="4" w:tplc="2788086A">
      <w:start w:val="1"/>
      <w:numFmt w:val="bullet"/>
      <w:lvlText w:val="○"/>
      <w:lvlJc w:val="left"/>
      <w:pPr>
        <w:ind w:left="3600" w:hanging="360"/>
      </w:pPr>
    </w:lvl>
    <w:lvl w:ilvl="5" w:tplc="31C23FDC">
      <w:start w:val="1"/>
      <w:numFmt w:val="bullet"/>
      <w:lvlText w:val="■"/>
      <w:lvlJc w:val="left"/>
      <w:pPr>
        <w:ind w:left="4320" w:hanging="360"/>
      </w:pPr>
    </w:lvl>
    <w:lvl w:ilvl="6" w:tplc="280CD7CE">
      <w:start w:val="1"/>
      <w:numFmt w:val="bullet"/>
      <w:lvlText w:val="●"/>
      <w:lvlJc w:val="left"/>
      <w:pPr>
        <w:ind w:left="5040" w:hanging="360"/>
      </w:pPr>
    </w:lvl>
    <w:lvl w:ilvl="7" w:tplc="7BDC40DA">
      <w:start w:val="1"/>
      <w:numFmt w:val="bullet"/>
      <w:lvlText w:val="●"/>
      <w:lvlJc w:val="left"/>
      <w:pPr>
        <w:ind w:left="5760" w:hanging="360"/>
      </w:pPr>
    </w:lvl>
    <w:lvl w:ilvl="8" w:tplc="492A28B8">
      <w:start w:val="1"/>
      <w:numFmt w:val="bullet"/>
      <w:lvlText w:val="●"/>
      <w:lvlJc w:val="left"/>
      <w:pPr>
        <w:ind w:left="6480" w:hanging="360"/>
      </w:pPr>
    </w:lvl>
  </w:abstractNum>
  <w:num w:numId="1" w16cid:durableId="13363473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574"/>
    <w:rsid w:val="00AD7647"/>
    <w:rsid w:val="00B65D7D"/>
    <w:rsid w:val="00C21A86"/>
    <w:rsid w:val="00CF75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D8E62"/>
  <w15:docId w15:val="{100B3CEF-BA25-4C22-B464-39BDCF0C4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563EB"/>
      </w:pBdr>
      <w:spacing w:before="360" w:after="180"/>
      <w:outlineLvl w:val="0"/>
    </w:pPr>
    <w:rPr>
      <w:b/>
      <w:bCs/>
      <w:color w:val="1E3A8A"/>
      <w:sz w:val="32"/>
      <w:szCs w:val="32"/>
    </w:rPr>
  </w:style>
  <w:style w:type="paragraph" w:styleId="Heading2">
    <w:name w:val="heading 2"/>
    <w:uiPriority w:val="9"/>
    <w:unhideWhenUsed/>
    <w:qFormat/>
    <w:pPr>
      <w:spacing w:before="280" w:after="140"/>
      <w:outlineLvl w:val="1"/>
    </w:pPr>
    <w:rPr>
      <w:b/>
      <w:bCs/>
      <w:color w:val="2563EB"/>
      <w:sz w:val="26"/>
      <w:szCs w:val="26"/>
    </w:rPr>
  </w:style>
  <w:style w:type="paragraph" w:styleId="Heading3">
    <w:name w:val="heading 3"/>
    <w:uiPriority w:val="9"/>
    <w:unhideWhenUsed/>
    <w:qFormat/>
    <w:pPr>
      <w:spacing w:before="200" w:after="100"/>
      <w:outlineLvl w:val="2"/>
    </w:pPr>
    <w:rPr>
      <w:b/>
      <w:bCs/>
      <w:color w:val="334155"/>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1820</Words>
  <Characters>10374</Characters>
  <Application>Microsoft Office Word</Application>
  <DocSecurity>0</DocSecurity>
  <Lines>86</Lines>
  <Paragraphs>24</Paragraphs>
  <ScaleCrop>false</ScaleCrop>
  <Company/>
  <LinksUpToDate>false</LinksUpToDate>
  <CharactersWithSpaces>12170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Shresth Prakash</cp:lastModifiedBy>
  <cp:revision>2</cp:revision>
  <dcterms:created xsi:type="dcterms:W3CDTF">2026-08-17T19:09:00Z</dcterms:created>
  <dcterms:modified xsi:type="dcterms:W3CDTF">2026-08-18T12:36:00Z</dcterms:modified>
</cp:coreProperties>
</file>