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0"/>
              <w:left w:type="dxa" w:w="480"/>
              <w:bottom w:type="dxa" w:w="800"/>
              <w:right w:type="dxa" w:w="480"/>
            </w:tcMar>
          </w:tcPr>
          <w:p>
            <w:pPr>
              <w:spacing w:before="0" w:after="120"/>
              <w:jc w:val="center"/>
            </w:pPr>
            <w:r>
              <w:rPr>
                <w:rFonts w:ascii="Georgia" w:cs="Georgia" w:eastAsia="Georgia" w:hAnsi="Georgia"/>
                <w:b/>
                <w:bCs/>
                <w:color w:val="FFFFFF"/>
                <w:sz w:val="72"/>
                <w:szCs w:val="72"/>
              </w:rPr>
              <w:t xml:space="preserve">ClauseAI</w:t>
            </w:r>
          </w:p>
          <w:p>
            <w:pPr>
              <w:spacing w:before="0" w:after="200"/>
              <w:jc w:val="center"/>
            </w:pPr>
            <w:r>
              <w:rPr>
                <w:rFonts w:ascii="Arial" w:cs="Arial" w:eastAsia="Arial" w:hAnsi="Arial"/>
                <w:color w:val="B0C4DE"/>
                <w:sz w:val="28"/>
                <w:szCs w:val="28"/>
              </w:rPr>
              <w:t xml:space="preserve">Business Intelligence Platform Strategy</w:t>
            </w:r>
          </w:p>
          <w:p>
            <w:pPr>
              <w:spacing w:before="0" w:after="100"/>
              <w:jc w:val="center"/>
            </w:pPr>
            <w:r>
              <w:rPr>
                <w:rFonts w:ascii="Arial" w:cs="Arial" w:eastAsia="Arial" w:hAnsi="Arial"/>
                <w:color w:val="E8440A"/>
                <w:sz w:val="24"/>
                <w:szCs w:val="24"/>
              </w:rPr>
              <w:t xml:space="preserve">─────────────────────────</w:t>
            </w:r>
          </w:p>
          <w:p>
            <w:pPr>
              <w:spacing w:before="0" w:after="80"/>
              <w:jc w:val="center"/>
            </w:pPr>
            <w:r>
              <w:rPr>
                <w:rFonts w:ascii="Arial" w:cs="Arial" w:eastAsia="Arial" w:hAnsi="Arial"/>
                <w:i/>
                <w:iCs/>
                <w:color w:val="D1E8FF"/>
                <w:sz w:val="26"/>
                <w:szCs w:val="26"/>
              </w:rPr>
              <w:t xml:space="preserve">From Contract Reader to Enterprise Intelligence Infrastructure</w:t>
            </w:r>
          </w:p>
          <w:p>
            <w:pPr>
              <w:spacing w:before="200" w:after="0"/>
              <w:jc w:val="center"/>
            </w:pPr>
            <w:r>
              <w:rPr>
                <w:rFonts w:ascii="Arial" w:cs="Arial" w:eastAsia="Arial" w:hAnsi="Arial"/>
                <w:color w:val="7FA8CC"/>
                <w:sz w:val="22"/>
                <w:szCs w:val="22"/>
              </w:rPr>
              <w:t xml:space="preserve">Vision · Mission · Problem · Solution · Roadmap</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Executive Summary</w:t>
            </w:r>
          </w:p>
          <w:p>
            <w:pPr>
              <w:spacing w:before="60"/>
              <w:jc w:val="center"/>
            </w:pPr>
            <w:r>
              <w:rPr>
                <w:rFonts w:ascii="Arial" w:cs="Arial" w:eastAsia="Arial" w:hAnsi="Arial"/>
                <w:color w:val="B0C4DE"/>
                <w:sz w:val="22"/>
                <w:szCs w:val="22"/>
              </w:rPr>
              <w:t xml:space="preserve">The $50B Opportunity in Contract Intelligence</w:t>
            </w:r>
          </w:p>
        </w:tc>
      </w:tr>
    </w:tbl>
    <w:p>
      <w:pPr>
        <w:spacing w:before="80" w:after="80"/>
      </w:pPr>
      <w:r>
        <w:t xml:space="preserve"/>
      </w:r>
    </w:p>
    <w:p>
      <w:pPr>
        <w:spacing w:before="60" w:after="60"/>
      </w:pPr>
      <w:r>
        <w:rPr>
          <w:rFonts w:ascii="Arial" w:cs="Arial" w:eastAsia="Arial" w:hAnsi="Arial"/>
          <w:b w:val="false"/>
          <w:bCs w:val="false"/>
          <w:color w:val="1F2937"/>
          <w:sz w:val="22"/>
          <w:szCs w:val="22"/>
        </w:rPr>
        <w:t xml:space="preserve">Every organisation is trapped inside its own contracts — and most don't know it. ClauseAI transforms that trapped intelligence into a real-time business operating system, turning legal language into strategic decisions.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3CD" w:val="clear"/>
            <w:tcMar>
              <w:top w:type="dxa" w:w="160"/>
              <w:left w:type="dxa" w:w="200"/>
              <w:bottom w:type="dxa" w:w="160"/>
              <w:right w:type="dxa" w:w="200"/>
            </w:tcMar>
          </w:tcPr>
          <w:p>
            <w:pPr>
              <w:spacing w:before="0" w:after="60"/>
            </w:pPr>
            <w:r>
              <w:rPr>
                <w:rFonts w:ascii="Arial" w:cs="Arial" w:eastAsia="Arial" w:hAnsi="Arial"/>
                <w:b/>
                <w:bCs/>
                <w:color w:val="E8440A"/>
                <w:sz w:val="22"/>
                <w:szCs w:val="22"/>
              </w:rPr>
              <w:t xml:space="preserve">The Core Insight</w:t>
            </w:r>
          </w:p>
          <w:p>
            <w:pPr>
              <w:spacing w:before="0" w:after="0"/>
            </w:pPr>
            <w:r>
              <w:rPr>
                <w:rFonts w:ascii="Arial" w:cs="Arial" w:eastAsia="Arial" w:hAnsi="Arial"/>
                <w:color w:val="1F2937"/>
                <w:sz w:val="21"/>
                <w:szCs w:val="21"/>
              </w:rPr>
              <w:t xml:space="preserve">Contracts are not documents. They are the nervous system of every business relationship. Today, that nervous system is largely unread, unanalysed, and unactioned — creating enormous systemic risk and missed opportunity for every enterprise on earth.</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The Problem Without ClauseAI</w:t>
            </w:r>
          </w:p>
          <w:p>
            <w:pPr>
              <w:spacing w:before="60"/>
              <w:jc w:val="center"/>
            </w:pPr>
            <w:r>
              <w:rPr>
                <w:rFonts w:ascii="Arial" w:cs="Arial" w:eastAsia="Arial" w:hAnsi="Arial"/>
                <w:color w:val="B0C4DE"/>
                <w:sz w:val="22"/>
                <w:szCs w:val="22"/>
              </w:rPr>
              <w:t xml:space="preserve">Why Enterprises Are Flying Blind</w:t>
            </w:r>
          </w:p>
        </w:tc>
      </w:tr>
    </w:tbl>
    <w:p>
      <w:pPr>
        <w:spacing w:before="80" w:after="80"/>
      </w:pPr>
      <w:r>
        <w:t xml:space="preserve"/>
      </w:r>
    </w:p>
    <w:p>
      <w:pPr>
        <w:pStyle w:val="Heading2"/>
        <w:spacing w:before="300" w:after="120"/>
      </w:pPr>
      <w:r>
        <w:rPr>
          <w:rFonts w:ascii="Georgia" w:cs="Georgia" w:eastAsia="Georgia" w:hAnsi="Georgia"/>
          <w:b/>
          <w:bCs/>
          <w:color w:val="1B2A4A"/>
          <w:sz w:val="28"/>
          <w:szCs w:val="28"/>
        </w:rPr>
        <w:t xml:space="preserve">The Status Quo is Broken</w:t>
      </w:r>
    </w:p>
    <w:p>
      <w:pPr>
        <w:spacing w:before="60" w:after="60"/>
      </w:pPr>
      <w:r>
        <w:rPr>
          <w:rFonts w:ascii="Arial" w:cs="Arial" w:eastAsia="Arial" w:hAnsi="Arial"/>
          <w:b w:val="false"/>
          <w:bCs w:val="false"/>
          <w:color w:val="1F2937"/>
          <w:sz w:val="22"/>
          <w:szCs w:val="22"/>
        </w:rPr>
        <w:t xml:space="preserve">Organisations of all sizes face the same fundamental crisis: they execute hundreds or thousands of contracts per year, yet have no infrastructure to understand what obligations they have accepted, what risks they carry, or what opportunities they are missing.</w:t>
      </w:r>
    </w:p>
    <w:p>
      <w:pPr>
        <w:spacing w:before="80" w:after="80"/>
      </w:pPr>
      <w:r>
        <w:t xml:space="preserve"/>
      </w:r>
    </w:p>
    <w:p>
      <w:pPr>
        <w:spacing w:before="200" w:after="80"/>
      </w:pPr>
      <w:r>
        <w:rPr>
          <w:rFonts w:ascii="Arial" w:cs="Arial" w:eastAsia="Arial" w:hAnsi="Arial"/>
          <w:b/>
          <w:bCs/>
          <w:color w:val="1B2A4A"/>
          <w:sz w:val="24"/>
          <w:szCs w:val="24"/>
        </w:rPr>
        <w:t xml:space="preserve">❌  The 5 Critical Failures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E4E1" w:val="clear"/>
            <w:tcMar>
              <w:top w:type="dxa" w:w="160"/>
              <w:left w:type="dxa" w:w="200"/>
              <w:bottom w:type="dxa" w:w="160"/>
              <w:right w:type="dxa" w:w="200"/>
            </w:tcMar>
          </w:tcPr>
          <w:p>
            <w:pPr>
              <w:spacing w:before="0" w:after="60"/>
            </w:pPr>
            <w:r>
              <w:rPr>
                <w:rFonts w:ascii="Arial" w:cs="Arial" w:eastAsia="Arial" w:hAnsi="Arial"/>
                <w:b/>
                <w:bCs/>
                <w:color w:val="E8440A"/>
                <w:sz w:val="22"/>
                <w:szCs w:val="22"/>
              </w:rPr>
              <w:t xml:space="preserve">Problem 1 — Manual, Slow, and Error-Prone Review</w:t>
            </w:r>
          </w:p>
          <w:p>
            <w:pPr>
              <w:spacing w:before="0" w:after="0"/>
            </w:pPr>
            <w:r>
              <w:rPr>
                <w:rFonts w:ascii="Arial" w:cs="Arial" w:eastAsia="Arial" w:hAnsi="Arial"/>
                <w:color w:val="1F2937"/>
                <w:sz w:val="21"/>
                <w:szCs w:val="21"/>
              </w:rPr>
              <w:t xml:space="preserve">Contract review is done by expensive lawyers reading documents line-by-line. A single enterprise agreement takes 8–20 hours of legal time. With hundreds of contracts in flight simultaneously, the system collapses under its own weight.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E4E1" w:val="clear"/>
            <w:tcMar>
              <w:top w:type="dxa" w:w="160"/>
              <w:left w:type="dxa" w:w="200"/>
              <w:bottom w:type="dxa" w:w="160"/>
              <w:right w:type="dxa" w:w="200"/>
            </w:tcMar>
          </w:tcPr>
          <w:p>
            <w:pPr>
              <w:spacing w:before="0" w:after="60"/>
            </w:pPr>
            <w:r>
              <w:rPr>
                <w:rFonts w:ascii="Arial" w:cs="Arial" w:eastAsia="Arial" w:hAnsi="Arial"/>
                <w:b/>
                <w:bCs/>
                <w:color w:val="E8440A"/>
                <w:sz w:val="22"/>
                <w:szCs w:val="22"/>
              </w:rPr>
              <w:t xml:space="preserve">Problem 2 — Zero Portfolio-Level Visibility</w:t>
            </w:r>
          </w:p>
          <w:p>
            <w:pPr>
              <w:spacing w:before="0" w:after="0"/>
            </w:pPr>
            <w:r>
              <w:rPr>
                <w:rFonts w:ascii="Arial" w:cs="Arial" w:eastAsia="Arial" w:hAnsi="Arial"/>
                <w:color w:val="1F2937"/>
                <w:sz w:val="21"/>
                <w:szCs w:val="21"/>
              </w:rPr>
              <w:t xml:space="preserve">Legal teams review contracts in isolation. Nobody asks: 'Across all 400 supplier contracts, what is our aggregate liability exposure if supply chains break?' That question is simply unanswerable today. Every risk is invisible until it becomes a crisis.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E4E1" w:val="clear"/>
            <w:tcMar>
              <w:top w:type="dxa" w:w="160"/>
              <w:left w:type="dxa" w:w="200"/>
              <w:bottom w:type="dxa" w:w="160"/>
              <w:right w:type="dxa" w:w="200"/>
            </w:tcMar>
          </w:tcPr>
          <w:p>
            <w:pPr>
              <w:spacing w:before="0" w:after="60"/>
            </w:pPr>
            <w:r>
              <w:rPr>
                <w:rFonts w:ascii="Arial" w:cs="Arial" w:eastAsia="Arial" w:hAnsi="Arial"/>
                <w:b/>
                <w:bCs/>
                <w:color w:val="E8440A"/>
                <w:sz w:val="22"/>
                <w:szCs w:val="22"/>
              </w:rPr>
              <w:t xml:space="preserve">Problem 3 — Knowledge Dies in Silos</w:t>
            </w:r>
          </w:p>
          <w:p>
            <w:pPr>
              <w:spacing w:before="0" w:after="0"/>
            </w:pPr>
            <w:r>
              <w:rPr>
                <w:rFonts w:ascii="Arial" w:cs="Arial" w:eastAsia="Arial" w:hAnsi="Arial"/>
                <w:color w:val="1F2937"/>
                <w:sz w:val="21"/>
                <w:szCs w:val="21"/>
              </w:rPr>
              <w:t xml:space="preserve">When a senior lawyer reviews a contract and flags a non-standard clause, that insight lives in their head or an email. The next lawyer reviewing a similar contract starts from zero. Institutional intelligence is never captured, codified, or reused.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E4E1" w:val="clear"/>
            <w:tcMar>
              <w:top w:type="dxa" w:w="160"/>
              <w:left w:type="dxa" w:w="200"/>
              <w:bottom w:type="dxa" w:w="160"/>
              <w:right w:type="dxa" w:w="200"/>
            </w:tcMar>
          </w:tcPr>
          <w:p>
            <w:pPr>
              <w:spacing w:before="0" w:after="60"/>
            </w:pPr>
            <w:r>
              <w:rPr>
                <w:rFonts w:ascii="Arial" w:cs="Arial" w:eastAsia="Arial" w:hAnsi="Arial"/>
                <w:b/>
                <w:bCs/>
                <w:color w:val="E8440A"/>
                <w:sz w:val="22"/>
                <w:szCs w:val="22"/>
              </w:rPr>
              <w:t xml:space="preserve">Problem 4 — Passive Recommendations, Zero Action</w:t>
            </w:r>
          </w:p>
          <w:p>
            <w:pPr>
              <w:spacing w:before="0" w:after="0"/>
            </w:pPr>
            <w:r>
              <w:rPr>
                <w:rFonts w:ascii="Arial" w:cs="Arial" w:eastAsia="Arial" w:hAnsi="Arial"/>
                <w:color w:val="1F2937"/>
                <w:sz w:val="21"/>
                <w:szCs w:val="21"/>
              </w:rPr>
              <w:t xml:space="preserve">Even when AI tools flag issues, they stop at 'here is the risk.' The lawyer must then write a counter-proposal from scratch, go back to the counterparty, re-draft, and repeat the cycle. AI stops short of where value is actually created.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E4E1" w:val="clear"/>
            <w:tcMar>
              <w:top w:type="dxa" w:w="160"/>
              <w:left w:type="dxa" w:w="200"/>
              <w:bottom w:type="dxa" w:w="160"/>
              <w:right w:type="dxa" w:w="200"/>
            </w:tcMar>
          </w:tcPr>
          <w:p>
            <w:pPr>
              <w:spacing w:before="0" w:after="60"/>
            </w:pPr>
            <w:r>
              <w:rPr>
                <w:rFonts w:ascii="Arial" w:cs="Arial" w:eastAsia="Arial" w:hAnsi="Arial"/>
                <w:b/>
                <w:bCs/>
                <w:color w:val="E8440A"/>
                <w:sz w:val="22"/>
                <w:szCs w:val="22"/>
              </w:rPr>
              <w:t xml:space="preserve">Problem 5 — One-Size-Fits-All Reporting</w:t>
            </w:r>
          </w:p>
          <w:p>
            <w:pPr>
              <w:spacing w:before="0" w:after="0"/>
            </w:pPr>
            <w:r>
              <w:rPr>
                <w:rFonts w:ascii="Arial" w:cs="Arial" w:eastAsia="Arial" w:hAnsi="Arial"/>
                <w:color w:val="1F2937"/>
                <w:sz w:val="21"/>
                <w:szCs w:val="21"/>
              </w:rPr>
              <w:t xml:space="preserve">A General Counsel needs strategic risk exposure. A CFO needs financial obligation summaries. A Sales Director needs deal velocity metrics. Today, every report requires a human to manually synthesise across systems — if it gets done at all.</w:t>
            </w:r>
          </w:p>
        </w:tc>
      </w:tr>
    </w:tbl>
    <w:p>
      <w:pPr>
        <w:spacing w:before="80" w:after="80"/>
      </w:pPr>
      <w:r>
        <w:t xml:space="preserve"/>
      </w:r>
    </w:p>
    <w:p>
      <w:pPr>
        <w:pStyle w:val="Heading2"/>
        <w:spacing w:before="300" w:after="120"/>
      </w:pPr>
      <w:r>
        <w:rPr>
          <w:rFonts w:ascii="Georgia" w:cs="Georgia" w:eastAsia="Georgia" w:hAnsi="Georgia"/>
          <w:b/>
          <w:bCs/>
          <w:color w:val="1B2A4A"/>
          <w:sz w:val="28"/>
          <w:szCs w:val="28"/>
        </w:rPr>
        <w:t xml:space="preserve">The Market Cost of These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The Scale of the Problem</w:t>
            </w:r>
          </w:p>
        </w:tc>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The Hidden Costs</w:t>
            </w:r>
          </w:p>
        </w:tc>
      </w:tr>
      <w:tr>
        <w:tc>
          <w:tcPr>
            <w:tcW w:type="dxa" w:w="4680"/>
            <w:tcBorders>
              <w:top w:val="single" w:color="D1D5DB" w:sz="1"/>
              <w:left w:val="single" w:color="D1D5DB" w:sz="1"/>
              <w:bottom w:val="single" w:color="D1D5DB" w:sz="1"/>
              <w:right w:val="single" w:color="D1D5DB" w:sz="1"/>
            </w:tcBorders>
            <w:shd w:fill="FFE4E1" w:val="clear"/>
            <w:tcMar>
              <w:top w:type="dxa" w:w="80"/>
              <w:left w:type="dxa" w:w="150"/>
              <w:bottom w:type="dxa" w:w="80"/>
              <w:right w:type="dxa" w:w="150"/>
            </w:tcMar>
          </w:tcPr>
          <w:p>
            <w:r>
              <w:rPr>
                <w:rFonts w:ascii="Arial" w:cs="Arial" w:eastAsia="Arial" w:hAnsi="Arial"/>
                <w:color w:val="1F2937"/>
                <w:sz w:val="21"/>
                <w:szCs w:val="21"/>
              </w:rPr>
              <w:t xml:space="preserve">$100B+ wasted annually on manual legal review</w:t>
            </w:r>
          </w:p>
        </w:tc>
        <w:tc>
          <w:tcPr>
            <w:tcW w:type="dxa" w:w="4680"/>
            <w:tcBorders>
              <w:top w:val="single" w:color="D1D5DB" w:sz="1"/>
              <w:left w:val="single" w:color="D1D5DB" w:sz="1"/>
              <w:bottom w:val="single" w:color="D1D5DB" w:sz="1"/>
              <w:right w:val="single" w:color="D1D5DB" w:sz="1"/>
            </w:tcBorders>
            <w:shd w:fill="FFF3CD" w:val="clear"/>
            <w:tcMar>
              <w:top w:type="dxa" w:w="80"/>
              <w:left w:type="dxa" w:w="150"/>
              <w:bottom w:type="dxa" w:w="80"/>
              <w:right w:type="dxa" w:w="150"/>
            </w:tcMar>
          </w:tcPr>
          <w:p>
            <w:r>
              <w:rPr>
                <w:rFonts w:ascii="Arial" w:cs="Arial" w:eastAsia="Arial" w:hAnsi="Arial"/>
                <w:color w:val="1F2937"/>
                <w:sz w:val="21"/>
                <w:szCs w:val="21"/>
              </w:rPr>
              <w:t xml:space="preserve">30% of enterprise contracts contain unfavourable, non-standard terms that go undetected</w:t>
            </w:r>
          </w:p>
        </w:tc>
      </w:tr>
      <w:tr>
        <w:tc>
          <w:tcPr>
            <w:tcW w:type="dxa" w:w="4680"/>
            <w:tcBorders>
              <w:top w:val="single" w:color="D1D5DB" w:sz="1"/>
              <w:left w:val="single" w:color="D1D5DB" w:sz="1"/>
              <w:bottom w:val="single" w:color="D1D5DB" w:sz="1"/>
              <w:right w:val="single" w:color="D1D5DB" w:sz="1"/>
            </w:tcBorders>
            <w:shd w:fill="FFE4E1" w:val="clear"/>
            <w:tcMar>
              <w:top w:type="dxa" w:w="80"/>
              <w:left w:type="dxa" w:w="150"/>
              <w:bottom w:type="dxa" w:w="80"/>
              <w:right w:type="dxa" w:w="150"/>
            </w:tcMar>
          </w:tcPr>
          <w:p>
            <w:r>
              <w:rPr>
                <w:rFonts w:ascii="Arial" w:cs="Arial" w:eastAsia="Arial" w:hAnsi="Arial"/>
                <w:color w:val="1F2937"/>
                <w:sz w:val="21"/>
                <w:szCs w:val="21"/>
              </w:rPr>
              <w:t xml:space="preserve">67% of compliance violations stem from missed contract obligations</w:t>
            </w:r>
          </w:p>
        </w:tc>
        <w:tc>
          <w:tcPr>
            <w:tcW w:type="dxa" w:w="4680"/>
            <w:tcBorders>
              <w:top w:val="single" w:color="D1D5DB" w:sz="1"/>
              <w:left w:val="single" w:color="D1D5DB" w:sz="1"/>
              <w:bottom w:val="single" w:color="D1D5DB" w:sz="1"/>
              <w:right w:val="single" w:color="D1D5DB" w:sz="1"/>
            </w:tcBorders>
            <w:shd w:fill="FFF3CD" w:val="clear"/>
            <w:tcMar>
              <w:top w:type="dxa" w:w="80"/>
              <w:left w:type="dxa" w:w="150"/>
              <w:bottom w:type="dxa" w:w="80"/>
              <w:right w:type="dxa" w:w="150"/>
            </w:tcMar>
          </w:tcPr>
          <w:p>
            <w:r>
              <w:rPr>
                <w:rFonts w:ascii="Arial" w:cs="Arial" w:eastAsia="Arial" w:hAnsi="Arial"/>
                <w:color w:val="1F2937"/>
                <w:sz w:val="21"/>
                <w:szCs w:val="21"/>
              </w:rPr>
              <w:t xml:space="preserve">Average Fortune 500 company loses $153M/year to poor contract management</w:t>
            </w:r>
          </w:p>
        </w:tc>
      </w:tr>
      <w:tr>
        <w:tc>
          <w:tcPr>
            <w:tcW w:type="dxa" w:w="4680"/>
            <w:tcBorders>
              <w:top w:val="single" w:color="D1D5DB" w:sz="1"/>
              <w:left w:val="single" w:color="D1D5DB" w:sz="1"/>
              <w:bottom w:val="single" w:color="D1D5DB" w:sz="1"/>
              <w:right w:val="single" w:color="D1D5DB" w:sz="1"/>
            </w:tcBorders>
            <w:shd w:fill="FFE4E1" w:val="clear"/>
            <w:tcMar>
              <w:top w:type="dxa" w:w="80"/>
              <w:left w:type="dxa" w:w="150"/>
              <w:bottom w:type="dxa" w:w="80"/>
              <w:right w:type="dxa" w:w="150"/>
            </w:tcMar>
          </w:tcPr>
          <w:p>
            <w:r>
              <w:rPr>
                <w:rFonts w:ascii="Arial" w:cs="Arial" w:eastAsia="Arial" w:hAnsi="Arial"/>
                <w:color w:val="1F2937"/>
                <w:sz w:val="21"/>
                <w:szCs w:val="21"/>
              </w:rPr>
              <w:t xml:space="preserve">Average enterprise holds 40,000+ active contracts</w:t>
            </w:r>
          </w:p>
        </w:tc>
        <w:tc>
          <w:tcPr>
            <w:tcW w:type="dxa" w:w="4680"/>
            <w:tcBorders>
              <w:top w:val="single" w:color="D1D5DB" w:sz="1"/>
              <w:left w:val="single" w:color="D1D5DB" w:sz="1"/>
              <w:bottom w:val="single" w:color="D1D5DB" w:sz="1"/>
              <w:right w:val="single" w:color="D1D5DB" w:sz="1"/>
            </w:tcBorders>
            <w:shd w:fill="FFF3CD" w:val="clear"/>
            <w:tcMar>
              <w:top w:type="dxa" w:w="80"/>
              <w:left w:type="dxa" w:w="150"/>
              <w:bottom w:type="dxa" w:w="80"/>
              <w:right w:type="dxa" w:w="150"/>
            </w:tcMar>
          </w:tcPr>
          <w:p>
            <w:r>
              <w:rPr>
                <w:rFonts w:ascii="Arial" w:cs="Arial" w:eastAsia="Arial" w:hAnsi="Arial"/>
                <w:color w:val="1F2937"/>
                <w:sz w:val="21"/>
                <w:szCs w:val="21"/>
              </w:rPr>
              <w:t xml:space="preserve">84% of legal departments say contract volume exceeds their capacity</w:t>
            </w:r>
          </w:p>
        </w:tc>
      </w:tr>
      <w:tr>
        <w:tc>
          <w:tcPr>
            <w:tcW w:type="dxa" w:w="4680"/>
            <w:tcBorders>
              <w:top w:val="single" w:color="D1D5DB" w:sz="1"/>
              <w:left w:val="single" w:color="D1D5DB" w:sz="1"/>
              <w:bottom w:val="single" w:color="D1D5DB" w:sz="1"/>
              <w:right w:val="single" w:color="D1D5DB" w:sz="1"/>
            </w:tcBorders>
            <w:shd w:fill="FFE4E1" w:val="clear"/>
            <w:tcMar>
              <w:top w:type="dxa" w:w="80"/>
              <w:left w:type="dxa" w:w="150"/>
              <w:bottom w:type="dxa" w:w="80"/>
              <w:right w:type="dxa" w:w="150"/>
            </w:tcMar>
          </w:tcPr>
          <w:p>
            <w:r>
              <w:rPr>
                <w:rFonts w:ascii="Arial" w:cs="Arial" w:eastAsia="Arial" w:hAnsi="Arial"/>
                <w:color w:val="1F2937"/>
                <w:sz w:val="21"/>
                <w:szCs w:val="21"/>
              </w:rPr>
              <w:t xml:space="preserve">Typical lawyer reviews only 2–5 contracts per day</w:t>
            </w:r>
          </w:p>
        </w:tc>
        <w:tc>
          <w:tcPr>
            <w:tcW w:type="dxa" w:w="4680"/>
            <w:tcBorders>
              <w:top w:val="single" w:color="D1D5DB" w:sz="1"/>
              <w:left w:val="single" w:color="D1D5DB" w:sz="1"/>
              <w:bottom w:val="single" w:color="D1D5DB" w:sz="1"/>
              <w:right w:val="single" w:color="D1D5DB" w:sz="1"/>
            </w:tcBorders>
            <w:shd w:fill="FFF3CD" w:val="clear"/>
            <w:tcMar>
              <w:top w:type="dxa" w:w="80"/>
              <w:left w:type="dxa" w:w="150"/>
              <w:bottom w:type="dxa" w:w="80"/>
              <w:right w:type="dxa" w:w="150"/>
            </w:tcMar>
          </w:tcPr>
          <w:p>
            <w:r>
              <w:rPr>
                <w:rFonts w:ascii="Arial" w:cs="Arial" w:eastAsia="Arial" w:hAnsi="Arial"/>
                <w:color w:val="1F2937"/>
                <w:sz w:val="21"/>
                <w:szCs w:val="21"/>
              </w:rPr>
              <w:t xml:space="preserve">Contract disputes take 18 months average to resolve</w:t>
            </w:r>
          </w:p>
        </w:tc>
      </w:tr>
      <w:tr>
        <w:tc>
          <w:tcPr>
            <w:tcW w:type="dxa" w:w="4680"/>
            <w:tcBorders>
              <w:top w:val="single" w:color="D1D5DB" w:sz="1"/>
              <w:left w:val="single" w:color="D1D5DB" w:sz="1"/>
              <w:bottom w:val="single" w:color="D1D5DB" w:sz="1"/>
              <w:right w:val="single" w:color="D1D5DB" w:sz="1"/>
            </w:tcBorders>
            <w:shd w:fill="FFE4E1" w:val="clear"/>
            <w:tcMar>
              <w:top w:type="dxa" w:w="80"/>
              <w:left w:type="dxa" w:w="150"/>
              <w:bottom w:type="dxa" w:w="80"/>
              <w:right w:type="dxa" w:w="150"/>
            </w:tcMar>
          </w:tcPr>
          <w:p>
            <w:r>
              <w:rPr>
                <w:rFonts w:ascii="Arial" w:cs="Arial" w:eastAsia="Arial" w:hAnsi="Arial"/>
                <w:color w:val="1F2937"/>
                <w:sz w:val="21"/>
                <w:szCs w:val="21"/>
              </w:rPr>
              <w:t xml:space="preserve">Renewal deadlines missed costing 18% more on renegotiation</w:t>
            </w:r>
          </w:p>
        </w:tc>
        <w:tc>
          <w:tcPr>
            <w:tcW w:type="dxa" w:w="4680"/>
            <w:tcBorders>
              <w:top w:val="single" w:color="D1D5DB" w:sz="1"/>
              <w:left w:val="single" w:color="D1D5DB" w:sz="1"/>
              <w:bottom w:val="single" w:color="D1D5DB" w:sz="1"/>
              <w:right w:val="single" w:color="D1D5DB" w:sz="1"/>
            </w:tcBorders>
            <w:shd w:fill="FFF3CD" w:val="clear"/>
            <w:tcMar>
              <w:top w:type="dxa" w:w="80"/>
              <w:left w:type="dxa" w:w="150"/>
              <w:bottom w:type="dxa" w:w="80"/>
              <w:right w:type="dxa" w:w="150"/>
            </w:tcMar>
          </w:tcPr>
          <w:p>
            <w:r>
              <w:rPr>
                <w:rFonts w:ascii="Arial" w:cs="Arial" w:eastAsia="Arial" w:hAnsi="Arial"/>
                <w:color w:val="1F2937"/>
                <w:sz w:val="21"/>
                <w:szCs w:val="21"/>
              </w:rPr>
              <w:t xml:space="preserve">C-suite receives zero real-time contract intelligence today</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Vision &amp; Mission</w:t>
            </w:r>
          </w:p>
          <w:p>
            <w:pPr>
              <w:spacing w:before="60"/>
              <w:jc w:val="center"/>
            </w:pPr>
            <w:r>
              <w:rPr>
                <w:rFonts w:ascii="Arial" w:cs="Arial" w:eastAsia="Arial" w:hAnsi="Arial"/>
                <w:color w:val="B0C4DE"/>
                <w:sz w:val="22"/>
                <w:szCs w:val="22"/>
              </w:rPr>
              <w:t xml:space="preserve">The North Star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8"/>
              <w:left w:val="single" w:color="D1D5DB" w:sz="1"/>
              <w:bottom w:val="single" w:color="D1D5DB" w:sz="1"/>
              <w:right w:val="single" w:color="D1D5DB" w:sz="1"/>
            </w:tcBorders>
            <w:shd w:fill="1B2A4A" w:val="clear"/>
            <w:tcMar>
              <w:top w:type="dxa" w:w="240"/>
              <w:left w:type="dxa" w:w="200"/>
              <w:bottom w:type="dxa" w:w="240"/>
              <w:right w:type="dxa" w:w="200"/>
            </w:tcMar>
          </w:tcPr>
          <w:p>
            <w:pPr>
              <w:spacing w:before="0" w:after="80"/>
              <w:jc w:val="center"/>
            </w:pPr>
            <w:r>
              <w:rPr>
                <w:rFonts w:ascii="Arial" w:cs="Arial" w:eastAsia="Arial" w:hAnsi="Arial"/>
                <w:b/>
                <w:bCs/>
                <w:color w:val="FFFFFF"/>
                <w:sz w:val="24"/>
                <w:szCs w:val="24"/>
              </w:rPr>
              <w:t xml:space="preserve">🎯  VISION</w:t>
            </w:r>
          </w:p>
          <w:p>
            <w:pPr>
              <w:spacing w:before="0" w:after="0"/>
              <w:jc w:val="center"/>
            </w:pPr>
            <w:r>
              <w:rPr>
                <w:rFonts w:ascii="Georgia" w:cs="Georgia" w:eastAsia="Georgia" w:hAnsi="Georgia"/>
                <w:i/>
                <w:iCs/>
                <w:color w:val="D1E8FF"/>
                <w:sz w:val="24"/>
                <w:szCs w:val="24"/>
              </w:rPr>
              <w:t xml:space="preserve">A world where every business decision is informed by the full intelligence locked inside its agreements.</w:t>
            </w:r>
          </w:p>
        </w:tc>
        <w:tc>
          <w:tcPr>
            <w:tcW w:type="dxa" w:w="4680"/>
            <w:tcBorders>
              <w:top w:val="single" w:color="E8440A" w:sz="8"/>
              <w:left w:val="single" w:color="D1D5DB" w:sz="1"/>
              <w:bottom w:val="single" w:color="D1D5DB" w:sz="1"/>
              <w:right w:val="single" w:color="D1D5DB" w:sz="1"/>
            </w:tcBorders>
            <w:shd w:fill="F0F4FA" w:val="clear"/>
            <w:tcMar>
              <w:top w:type="dxa" w:w="240"/>
              <w:left w:type="dxa" w:w="200"/>
              <w:bottom w:type="dxa" w:w="240"/>
              <w:right w:type="dxa" w:w="200"/>
            </w:tcMar>
          </w:tcPr>
          <w:p>
            <w:pPr>
              <w:spacing w:before="0" w:after="80"/>
              <w:jc w:val="center"/>
            </w:pPr>
            <w:r>
              <w:rPr>
                <w:rFonts w:ascii="Arial" w:cs="Arial" w:eastAsia="Arial" w:hAnsi="Arial"/>
                <w:b/>
                <w:bCs/>
                <w:color w:val="1B2A4A"/>
                <w:sz w:val="24"/>
                <w:szCs w:val="24"/>
              </w:rPr>
              <w:t xml:space="preserve">🚀  MISSION</w:t>
            </w:r>
          </w:p>
          <w:p>
            <w:pPr>
              <w:spacing w:before="0" w:after="0"/>
              <w:jc w:val="center"/>
            </w:pPr>
            <w:r>
              <w:rPr>
                <w:rFonts w:ascii="Georgia" w:cs="Georgia" w:eastAsia="Georgia" w:hAnsi="Georgia"/>
                <w:i/>
                <w:iCs/>
                <w:color w:val="1B2A4A"/>
                <w:sz w:val="24"/>
                <w:szCs w:val="24"/>
              </w:rPr>
              <w:t xml:space="preserve">To build the AI-native operating system for commercial relationships — transforming contracts from static documents into living, actionable intelligence.</w:t>
            </w:r>
          </w:p>
        </w:tc>
      </w:tr>
    </w:tbl>
    <w:p>
      <w:pPr>
        <w:spacing w:before="80" w:after="80"/>
      </w:pPr>
      <w:r>
        <w:t xml:space="preserve"/>
      </w:r>
    </w:p>
    <w:p>
      <w:pPr>
        <w:spacing w:before="80" w:after="80"/>
      </w:pPr>
      <w:r>
        <w:t xml:space="preserve"/>
      </w:r>
    </w:p>
    <w:p>
      <w:pPr>
        <w:pStyle w:val="Heading2"/>
        <w:spacing w:before="300" w:after="120"/>
      </w:pPr>
      <w:r>
        <w:rPr>
          <w:rFonts w:ascii="Georgia" w:cs="Georgia" w:eastAsia="Georgia" w:hAnsi="Georgia"/>
          <w:b/>
          <w:bCs/>
          <w:color w:val="1B2A4A"/>
          <w:sz w:val="28"/>
          <w:szCs w:val="28"/>
        </w:rPr>
        <w:t xml:space="preserve">Strategic Positioning</w:t>
      </w:r>
    </w:p>
    <w:p>
      <w:pPr>
        <w:spacing w:before="60" w:after="60"/>
      </w:pPr>
      <w:r>
        <w:rPr>
          <w:rFonts w:ascii="Arial" w:cs="Arial" w:eastAsia="Arial" w:hAnsi="Arial"/>
          <w:b w:val="false"/>
          <w:bCs w:val="false"/>
          <w:color w:val="1F2937"/>
          <w:sz w:val="22"/>
          <w:szCs w:val="22"/>
        </w:rPr>
        <w:t xml:space="preserve">ClauseAI is not a legal tech tool. It is not a contract reader. It is not a document management system. ClauseAI is the Business Intelligence layer that sits above all commercial relationships — the same way Salesforce became the intelligence layer for customer relationships, and SAP became the intelligence layer for operations.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FF3CD" w:val="clear"/>
            <w:tcMar>
              <w:top w:type="dxa" w:w="160"/>
              <w:left w:type="dxa" w:w="200"/>
              <w:bottom w:type="dxa" w:w="160"/>
              <w:right w:type="dxa" w:w="200"/>
            </w:tcMar>
          </w:tcPr>
          <w:p>
            <w:pPr>
              <w:spacing w:before="0" w:after="60"/>
            </w:pPr>
            <w:r>
              <w:rPr>
                <w:rFonts w:ascii="Arial" w:cs="Arial" w:eastAsia="Arial" w:hAnsi="Arial"/>
                <w:b/>
                <w:bCs/>
                <w:color w:val="E8440A"/>
                <w:sz w:val="22"/>
                <w:szCs w:val="22"/>
              </w:rPr>
              <w:t xml:space="preserve">The Positioning Anchor</w:t>
            </w:r>
          </w:p>
          <w:p>
            <w:pPr>
              <w:spacing w:before="0" w:after="0"/>
            </w:pPr>
            <w:r>
              <w:rPr>
                <w:rFonts w:ascii="Arial" w:cs="Arial" w:eastAsia="Arial" w:hAnsi="Arial"/>
                <w:color w:val="1F2937"/>
                <w:sz w:val="21"/>
                <w:szCs w:val="21"/>
              </w:rPr>
              <w:t xml:space="preserve">Just as Bloomberg is to financial data — ClauseAI is to contractual data. Real-time, portfolio-level, actionable, and indispensable.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The ClauseAI Platform</w:t>
            </w:r>
          </w:p>
          <w:p>
            <w:pPr>
              <w:spacing w:before="60"/>
              <w:jc w:val="center"/>
            </w:pPr>
            <w:r>
              <w:rPr>
                <w:rFonts w:ascii="Arial" w:cs="Arial" w:eastAsia="Arial" w:hAnsi="Arial"/>
                <w:color w:val="B0C4DE"/>
                <w:sz w:val="22"/>
                <w:szCs w:val="22"/>
              </w:rPr>
              <w:t xml:space="preserve">Five AI Agents. One Intelligent System.</w:t>
            </w:r>
          </w:p>
        </w:tc>
      </w:tr>
    </w:tbl>
    <w:p>
      <w:pPr>
        <w:spacing w:before="80" w:after="80"/>
      </w:pPr>
      <w:r>
        <w:t xml:space="preserve"/>
      </w:r>
    </w:p>
    <w:p>
      <w:pPr>
        <w:spacing w:before="60" w:after="60"/>
      </w:pPr>
      <w:r>
        <w:rPr>
          <w:rFonts w:ascii="Arial" w:cs="Arial" w:eastAsia="Arial" w:hAnsi="Arial"/>
          <w:b w:val="false"/>
          <w:bCs w:val="false"/>
          <w:color w:val="1F2937"/>
          <w:sz w:val="22"/>
          <w:szCs w:val="22"/>
        </w:rPr>
        <w:t xml:space="preserve">ClauseAI moves from a contract reading tool to a full-stack Business Intelligence platform through five interconnected AI agents, each solving a distinct enterprise need — and together forming an unprecedented infrastructure for commercial decision-making.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0A" w:sz="6"/>
              <w:left w:val="single" w:color="E8440A" w:sz="6"/>
              <w:bottom w:val="single" w:color="D1D5DB" w:sz="1"/>
              <w:right w:val="single" w:color="D1D5DB" w:sz="1"/>
            </w:tcBorders>
            <w:shd w:fill="FFFFFF" w:val="clear"/>
            <w:tcMar>
              <w:top w:type="dxa" w:w="160"/>
              <w:left w:type="dxa" w:w="200"/>
              <w:bottom w:type="dxa" w:w="160"/>
              <w:right w:type="dxa" w:w="200"/>
            </w:tcMar>
          </w:tcPr>
          <w:p>
            <w:pPr>
              <w:spacing w:before="0" w:after="40"/>
            </w:pPr>
            <w:r>
              <w:rPr>
                <w:rFonts w:ascii="Arial" w:cs="Arial" w:eastAsia="Arial" w:hAnsi="Arial"/>
                <w:b/>
                <w:bCs/>
                <w:color w:val="E8440A"/>
                <w:sz w:val="20"/>
                <w:szCs w:val="20"/>
              </w:rPr>
              <w:t xml:space="preserve">Agent 01: </w:t>
            </w:r>
            <w:r>
              <w:rPr>
                <w:rFonts w:ascii="Georgia" w:cs="Georgia" w:eastAsia="Georgia" w:hAnsi="Georgia"/>
                <w:b/>
                <w:bCs/>
                <w:color w:val="1B2A4A"/>
                <w:sz w:val="28"/>
                <w:szCs w:val="28"/>
              </w:rPr>
              <w:t xml:space="preserve">Portfolio Risk Agent</w:t>
            </w:r>
          </w:p>
          <w:p>
            <w:pPr>
              <w:spacing w:before="0" w:after="80"/>
            </w:pPr>
            <w:r>
              <w:rPr>
                <w:rFonts w:ascii="Arial" w:cs="Arial" w:eastAsia="Arial" w:hAnsi="Arial"/>
                <w:i/>
                <w:iCs/>
                <w:color w:val="6B7280"/>
                <w:sz w:val="21"/>
                <w:szCs w:val="21"/>
              </w:rPr>
              <w:t xml:space="preserve">See the forest, not just the trees.</w:t>
            </w:r>
          </w:p>
          <w:p>
            <w:pPr>
              <w:spacing w:before="0" w:after="80"/>
            </w:pPr>
            <w:r>
              <w:rPr>
                <w:rFonts w:ascii="Arial" w:cs="Arial" w:eastAsia="Arial" w:hAnsi="Arial"/>
                <w:color w:val="374151"/>
                <w:sz w:val="21"/>
                <w:szCs w:val="21"/>
              </w:rPr>
              <w:t xml:space="preserve">The Portfolio Risk Agent continuously monitors the entire active contract portfolio, identifying systemic patterns and correlations that no human reviewer could detect at scale. Instead of reviewing contracts one-by-one, it analyses thousands simultaneously.</w:t>
            </w:r>
          </w:p>
          <w:p>
            <w:pPr>
              <w:pStyle w:val="ListParagraph"/>
              <w:numPr>
                <w:ilvl w:val="0"/>
                <w:numId w:val="2"/>
              </w:numPr>
              <w:spacing w:before="30" w:after="30"/>
            </w:pPr>
            <w:r>
              <w:rPr>
                <w:rFonts w:ascii="Arial" w:cs="Arial" w:eastAsia="Arial" w:hAnsi="Arial"/>
                <w:color w:val="374151"/>
                <w:sz w:val="21"/>
                <w:szCs w:val="21"/>
              </w:rPr>
              <w:t xml:space="preserve">Cross-contract liability aggregation — total exposure by vendor, region, or risk type</w:t>
            </w:r>
          </w:p>
          <w:p>
            <w:pPr>
              <w:pStyle w:val="ListParagraph"/>
              <w:numPr>
                <w:ilvl w:val="0"/>
                <w:numId w:val="2"/>
              </w:numPr>
              <w:spacing w:before="30" w:after="30"/>
            </w:pPr>
            <w:r>
              <w:rPr>
                <w:rFonts w:ascii="Arial" w:cs="Arial" w:eastAsia="Arial" w:hAnsi="Arial"/>
                <w:color w:val="374151"/>
                <w:sz w:val="21"/>
                <w:szCs w:val="21"/>
              </w:rPr>
              <w:t xml:space="preserve">Systemic clause pattern detection — flags when a non-standard term appears across 40+ contracts</w:t>
            </w:r>
          </w:p>
          <w:p>
            <w:pPr>
              <w:pStyle w:val="ListParagraph"/>
              <w:numPr>
                <w:ilvl w:val="0"/>
                <w:numId w:val="2"/>
              </w:numPr>
              <w:spacing w:before="30" w:after="30"/>
            </w:pPr>
            <w:r>
              <w:rPr>
                <w:rFonts w:ascii="Arial" w:cs="Arial" w:eastAsia="Arial" w:hAnsi="Arial"/>
                <w:color w:val="374151"/>
                <w:sz w:val="21"/>
                <w:szCs w:val="21"/>
              </w:rPr>
              <w:t xml:space="preserve">Scenario modelling — simulates impact of macroeconomic events (e.g. tariff changes, currency shifts) on obligations</w:t>
            </w:r>
          </w:p>
          <w:p>
            <w:pPr>
              <w:pStyle w:val="ListParagraph"/>
              <w:numPr>
                <w:ilvl w:val="0"/>
                <w:numId w:val="2"/>
              </w:numPr>
              <w:spacing w:before="30" w:after="30"/>
            </w:pPr>
            <w:r>
              <w:rPr>
                <w:rFonts w:ascii="Arial" w:cs="Arial" w:eastAsia="Arial" w:hAnsi="Arial"/>
                <w:color w:val="374151"/>
                <w:sz w:val="21"/>
                <w:szCs w:val="21"/>
              </w:rPr>
              <w:t xml:space="preserve">Early-warning dashboard — alerts the C-suite 90 days before material risks crystallise</w:t>
            </w:r>
          </w:p>
          <w:p>
            <w:pPr>
              <w:pStyle w:val="ListParagraph"/>
              <w:numPr>
                <w:ilvl w:val="0"/>
                <w:numId w:val="2"/>
              </w:numPr>
              <w:spacing w:before="30" w:after="30"/>
            </w:pPr>
            <w:r>
              <w:rPr>
                <w:rFonts w:ascii="Arial" w:cs="Arial" w:eastAsia="Arial" w:hAnsi="Arial"/>
                <w:color w:val="374151"/>
                <w:sz w:val="21"/>
                <w:szCs w:val="21"/>
              </w:rPr>
              <w:t xml:space="preserve">Counterparty concentration risk — identifies over-dependence on single vendors across portfolios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0A" w:sz="6"/>
              <w:left w:val="single" w:color="E8440A" w:sz="6"/>
              <w:bottom w:val="single" w:color="D1D5DB" w:sz="1"/>
              <w:right w:val="single" w:color="D1D5DB" w:sz="1"/>
            </w:tcBorders>
            <w:shd w:fill="FFFFFF" w:val="clear"/>
            <w:tcMar>
              <w:top w:type="dxa" w:w="160"/>
              <w:left w:type="dxa" w:w="200"/>
              <w:bottom w:type="dxa" w:w="160"/>
              <w:right w:type="dxa" w:w="200"/>
            </w:tcMar>
          </w:tcPr>
          <w:p>
            <w:pPr>
              <w:spacing w:before="0" w:after="40"/>
            </w:pPr>
            <w:r>
              <w:rPr>
                <w:rFonts w:ascii="Arial" w:cs="Arial" w:eastAsia="Arial" w:hAnsi="Arial"/>
                <w:b/>
                <w:bCs/>
                <w:color w:val="E8440A"/>
                <w:sz w:val="20"/>
                <w:szCs w:val="20"/>
              </w:rPr>
              <w:t xml:space="preserve">Agent 02: </w:t>
            </w:r>
            <w:r>
              <w:rPr>
                <w:rFonts w:ascii="Georgia" w:cs="Georgia" w:eastAsia="Georgia" w:hAnsi="Georgia"/>
                <w:b/>
                <w:bCs/>
                <w:color w:val="1B2A4A"/>
                <w:sz w:val="28"/>
                <w:szCs w:val="28"/>
              </w:rPr>
              <w:t xml:space="preserve">Learning Engine (Human-in-the-Loop)</w:t>
            </w:r>
          </w:p>
          <w:p>
            <w:pPr>
              <w:spacing w:before="0" w:after="80"/>
            </w:pPr>
            <w:r>
              <w:rPr>
                <w:rFonts w:ascii="Arial" w:cs="Arial" w:eastAsia="Arial" w:hAnsi="Arial"/>
                <w:i/>
                <w:iCs/>
                <w:color w:val="6B7280"/>
                <w:sz w:val="21"/>
                <w:szCs w:val="21"/>
              </w:rPr>
              <w:t xml:space="preserve">Every expert review makes the platform smarter.</w:t>
            </w:r>
          </w:p>
          <w:p>
            <w:pPr>
              <w:spacing w:before="0" w:after="80"/>
            </w:pPr>
            <w:r>
              <w:rPr>
                <w:rFonts w:ascii="Arial" w:cs="Arial" w:eastAsia="Arial" w:hAnsi="Arial"/>
                <w:color w:val="374151"/>
                <w:sz w:val="21"/>
                <w:szCs w:val="21"/>
              </w:rPr>
              <w:t xml:space="preserve">The Human-in-the-Loop feature is productised as a proprietary Learning Engine. Every time a lawyer accepts, rejects, or modifies an AI recommendation, that signal is captured and used to continuously improve the model — creating a compounding competitive moat.</w:t>
            </w:r>
          </w:p>
          <w:p>
            <w:pPr>
              <w:pStyle w:val="ListParagraph"/>
              <w:numPr>
                <w:ilvl w:val="0"/>
                <w:numId w:val="2"/>
              </w:numPr>
              <w:spacing w:before="30" w:after="30"/>
            </w:pPr>
            <w:r>
              <w:rPr>
                <w:rFonts w:ascii="Arial" w:cs="Arial" w:eastAsia="Arial" w:hAnsi="Arial"/>
                <w:color w:val="374151"/>
                <w:sz w:val="21"/>
                <w:szCs w:val="21"/>
              </w:rPr>
              <w:t xml:space="preserve">Captures lawyer intent, not just lawyer action — understands why a clause was flagged</w:t>
            </w:r>
          </w:p>
          <w:p>
            <w:pPr>
              <w:pStyle w:val="ListParagraph"/>
              <w:numPr>
                <w:ilvl w:val="0"/>
                <w:numId w:val="2"/>
              </w:numPr>
              <w:spacing w:before="30" w:after="30"/>
            </w:pPr>
            <w:r>
              <w:rPr>
                <w:rFonts w:ascii="Arial" w:cs="Arial" w:eastAsia="Arial" w:hAnsi="Arial"/>
                <w:color w:val="374151"/>
                <w:sz w:val="21"/>
                <w:szCs w:val="21"/>
              </w:rPr>
              <w:t xml:space="preserve">Organisation-specific clause library — learns each client's risk tolerance and preferred positions</w:t>
            </w:r>
          </w:p>
          <w:p>
            <w:pPr>
              <w:pStyle w:val="ListParagraph"/>
              <w:numPr>
                <w:ilvl w:val="0"/>
                <w:numId w:val="2"/>
              </w:numPr>
              <w:spacing w:before="30" w:after="30"/>
            </w:pPr>
            <w:r>
              <w:rPr>
                <w:rFonts w:ascii="Arial" w:cs="Arial" w:eastAsia="Arial" w:hAnsi="Arial"/>
                <w:color w:val="374151"/>
                <w:sz w:val="21"/>
                <w:szCs w:val="21"/>
              </w:rPr>
              <w:t xml:space="preserve">Feedback loops train specialised models per industry vertical and jurisdiction</w:t>
            </w:r>
          </w:p>
          <w:p>
            <w:pPr>
              <w:pStyle w:val="ListParagraph"/>
              <w:numPr>
                <w:ilvl w:val="0"/>
                <w:numId w:val="2"/>
              </w:numPr>
              <w:spacing w:before="30" w:after="30"/>
            </w:pPr>
            <w:r>
              <w:rPr>
                <w:rFonts w:ascii="Arial" w:cs="Arial" w:eastAsia="Arial" w:hAnsi="Arial"/>
                <w:color w:val="374151"/>
                <w:sz w:val="21"/>
                <w:szCs w:val="21"/>
              </w:rPr>
              <w:t xml:space="preserve">Institutional knowledge transfer — when a senior lawyer leaves, their expertise stays in the platform</w:t>
            </w:r>
          </w:p>
          <w:p>
            <w:pPr>
              <w:pStyle w:val="ListParagraph"/>
              <w:numPr>
                <w:ilvl w:val="0"/>
                <w:numId w:val="2"/>
              </w:numPr>
              <w:spacing w:before="30" w:after="30"/>
            </w:pPr>
            <w:r>
              <w:rPr>
                <w:rFonts w:ascii="Arial" w:cs="Arial" w:eastAsia="Arial" w:hAnsi="Arial"/>
                <w:color w:val="374151"/>
                <w:sz w:val="21"/>
                <w:szCs w:val="21"/>
              </w:rPr>
              <w:t xml:space="preserve">Benchmark intelligence — anonymised cross-client data reveals what 'market standard' truly looks like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0A" w:sz="6"/>
              <w:left w:val="single" w:color="E8440A" w:sz="6"/>
              <w:bottom w:val="single" w:color="D1D5DB" w:sz="1"/>
              <w:right w:val="single" w:color="D1D5DB" w:sz="1"/>
            </w:tcBorders>
            <w:shd w:fill="FFFFFF" w:val="clear"/>
            <w:tcMar>
              <w:top w:type="dxa" w:w="160"/>
              <w:left w:type="dxa" w:w="200"/>
              <w:bottom w:type="dxa" w:w="160"/>
              <w:right w:type="dxa" w:w="200"/>
            </w:tcMar>
          </w:tcPr>
          <w:p>
            <w:pPr>
              <w:spacing w:before="0" w:after="40"/>
            </w:pPr>
            <w:r>
              <w:rPr>
                <w:rFonts w:ascii="Arial" w:cs="Arial" w:eastAsia="Arial" w:hAnsi="Arial"/>
                <w:b/>
                <w:bCs/>
                <w:color w:val="E8440A"/>
                <w:sz w:val="20"/>
                <w:szCs w:val="20"/>
              </w:rPr>
              <w:t xml:space="preserve">Agent 03: </w:t>
            </w:r>
            <w:r>
              <w:rPr>
                <w:rFonts w:ascii="Georgia" w:cs="Georgia" w:eastAsia="Georgia" w:hAnsi="Georgia"/>
                <w:b/>
                <w:bCs/>
                <w:color w:val="1B2A4A"/>
                <w:sz w:val="28"/>
                <w:szCs w:val="28"/>
              </w:rPr>
              <w:t xml:space="preserve">API-First Infrastructure</w:t>
            </w:r>
          </w:p>
          <w:p>
            <w:pPr>
              <w:spacing w:before="0" w:after="80"/>
            </w:pPr>
            <w:r>
              <w:rPr>
                <w:rFonts w:ascii="Arial" w:cs="Arial" w:eastAsia="Arial" w:hAnsi="Arial"/>
                <w:i/>
                <w:iCs/>
                <w:color w:val="6B7280"/>
                <w:sz w:val="21"/>
                <w:szCs w:val="21"/>
              </w:rPr>
              <w:t xml:space="preserve">Power the entire contract intelligence ecosystem.</w:t>
            </w:r>
          </w:p>
          <w:p>
            <w:pPr>
              <w:spacing w:before="0" w:after="80"/>
            </w:pPr>
            <w:r>
              <w:rPr>
                <w:rFonts w:ascii="Arial" w:cs="Arial" w:eastAsia="Arial" w:hAnsi="Arial"/>
                <w:color w:val="374151"/>
                <w:sz w:val="21"/>
                <w:szCs w:val="21"/>
              </w:rPr>
              <w:t xml:space="preserve">ClauseAI pivots to API-first architecture, enabling any software — CLM platforms, ERP systems, Salesforce CRM, procurement tools — to embed ClauseAI's intelligence directly. This unlocks a developer ecosystem and B2B2B revenue model.</w:t>
            </w:r>
          </w:p>
          <w:p>
            <w:pPr>
              <w:pStyle w:val="ListParagraph"/>
              <w:numPr>
                <w:ilvl w:val="0"/>
                <w:numId w:val="2"/>
              </w:numPr>
              <w:spacing w:before="30" w:after="30"/>
            </w:pPr>
            <w:r>
              <w:rPr>
                <w:rFonts w:ascii="Arial" w:cs="Arial" w:eastAsia="Arial" w:hAnsi="Arial"/>
                <w:color w:val="374151"/>
                <w:sz w:val="21"/>
                <w:szCs w:val="21"/>
              </w:rPr>
              <w:t xml:space="preserve">REST + GraphQL APIs for contract parsing, risk scoring, and clause extraction</w:t>
            </w:r>
          </w:p>
          <w:p>
            <w:pPr>
              <w:pStyle w:val="ListParagraph"/>
              <w:numPr>
                <w:ilvl w:val="0"/>
                <w:numId w:val="2"/>
              </w:numPr>
              <w:spacing w:before="30" w:after="30"/>
            </w:pPr>
            <w:r>
              <w:rPr>
                <w:rFonts w:ascii="Arial" w:cs="Arial" w:eastAsia="Arial" w:hAnsi="Arial"/>
                <w:color w:val="374151"/>
                <w:sz w:val="21"/>
                <w:szCs w:val="21"/>
              </w:rPr>
              <w:t xml:space="preserve">Webhook infrastructure for real-time event streaming (e.g. obligation deadlines, renewal triggers)</w:t>
            </w:r>
          </w:p>
          <w:p>
            <w:pPr>
              <w:pStyle w:val="ListParagraph"/>
              <w:numPr>
                <w:ilvl w:val="0"/>
                <w:numId w:val="2"/>
              </w:numPr>
              <w:spacing w:before="30" w:after="30"/>
            </w:pPr>
            <w:r>
              <w:rPr>
                <w:rFonts w:ascii="Arial" w:cs="Arial" w:eastAsia="Arial" w:hAnsi="Arial"/>
                <w:color w:val="374151"/>
                <w:sz w:val="21"/>
                <w:szCs w:val="21"/>
              </w:rPr>
              <w:t xml:space="preserve">Pre-built connectors for Salesforce, SAP, DocuSign, Ironclad, Workday</w:t>
            </w:r>
          </w:p>
          <w:p>
            <w:pPr>
              <w:pStyle w:val="ListParagraph"/>
              <w:numPr>
                <w:ilvl w:val="0"/>
                <w:numId w:val="2"/>
              </w:numPr>
              <w:spacing w:before="30" w:after="30"/>
            </w:pPr>
            <w:r>
              <w:rPr>
                <w:rFonts w:ascii="Arial" w:cs="Arial" w:eastAsia="Arial" w:hAnsi="Arial"/>
                <w:color w:val="374151"/>
                <w:sz w:val="21"/>
                <w:szCs w:val="21"/>
              </w:rPr>
              <w:t xml:space="preserve">White-label SDK enabling CLM vendors to embed ClauseAI as native intelligence</w:t>
            </w:r>
          </w:p>
          <w:p>
            <w:pPr>
              <w:pStyle w:val="ListParagraph"/>
              <w:numPr>
                <w:ilvl w:val="0"/>
                <w:numId w:val="2"/>
              </w:numPr>
              <w:spacing w:before="30" w:after="30"/>
            </w:pPr>
            <w:r>
              <w:rPr>
                <w:rFonts w:ascii="Arial" w:cs="Arial" w:eastAsia="Arial" w:hAnsi="Arial"/>
                <w:color w:val="374151"/>
                <w:sz w:val="21"/>
                <w:szCs w:val="21"/>
              </w:rPr>
              <w:t xml:space="preserve">Developer portal with sandbox environments, full documentation, and tiered pricing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0A" w:sz="6"/>
              <w:left w:val="single" w:color="E8440A" w:sz="6"/>
              <w:bottom w:val="single" w:color="D1D5DB" w:sz="1"/>
              <w:right w:val="single" w:color="D1D5DB" w:sz="1"/>
            </w:tcBorders>
            <w:shd w:fill="FFFFFF" w:val="clear"/>
            <w:tcMar>
              <w:top w:type="dxa" w:w="160"/>
              <w:left w:type="dxa" w:w="200"/>
              <w:bottom w:type="dxa" w:w="160"/>
              <w:right w:type="dxa" w:w="200"/>
            </w:tcMar>
          </w:tcPr>
          <w:p>
            <w:pPr>
              <w:spacing w:before="0" w:after="40"/>
            </w:pPr>
            <w:r>
              <w:rPr>
                <w:rFonts w:ascii="Arial" w:cs="Arial" w:eastAsia="Arial" w:hAnsi="Arial"/>
                <w:b/>
                <w:bCs/>
                <w:color w:val="E8440A"/>
                <w:sz w:val="20"/>
                <w:szCs w:val="20"/>
              </w:rPr>
              <w:t xml:space="preserve">Agent 04: </w:t>
            </w:r>
            <w:r>
              <w:rPr>
                <w:rFonts w:ascii="Georgia" w:cs="Georgia" w:eastAsia="Georgia" w:hAnsi="Georgia"/>
                <w:b/>
                <w:bCs/>
                <w:color w:val="1B2A4A"/>
                <w:sz w:val="28"/>
                <w:szCs w:val="28"/>
              </w:rPr>
              <w:t xml:space="preserve">Action &amp; Negotiation Agent</w:t>
            </w:r>
          </w:p>
          <w:p>
            <w:pPr>
              <w:spacing w:before="0" w:after="80"/>
            </w:pPr>
            <w:r>
              <w:rPr>
                <w:rFonts w:ascii="Arial" w:cs="Arial" w:eastAsia="Arial" w:hAnsi="Arial"/>
                <w:i/>
                <w:iCs/>
                <w:color w:val="6B7280"/>
                <w:sz w:val="21"/>
                <w:szCs w:val="21"/>
              </w:rPr>
              <w:t xml:space="preserve">Don't just flag risks — resolve them.</w:t>
            </w:r>
          </w:p>
          <w:p>
            <w:pPr>
              <w:spacing w:before="0" w:after="80"/>
            </w:pPr>
            <w:r>
              <w:rPr>
                <w:rFonts w:ascii="Arial" w:cs="Arial" w:eastAsia="Arial" w:hAnsi="Arial"/>
                <w:color w:val="374151"/>
                <w:sz w:val="21"/>
                <w:szCs w:val="21"/>
              </w:rPr>
              <w:t xml:space="preserve">The Action Agent is the first AI that doesn't stop at recommendations. It drafts counter-proposals, initiates negotiation workflows, routes approvals, and tracks resolution — compressing the contract negotiation cycle from weeks to hours.</w:t>
            </w:r>
          </w:p>
          <w:p>
            <w:pPr>
              <w:pStyle w:val="ListParagraph"/>
              <w:numPr>
                <w:ilvl w:val="0"/>
                <w:numId w:val="2"/>
              </w:numPr>
              <w:spacing w:before="30" w:after="30"/>
            </w:pPr>
            <w:r>
              <w:rPr>
                <w:rFonts w:ascii="Arial" w:cs="Arial" w:eastAsia="Arial" w:hAnsi="Arial"/>
                <w:color w:val="374151"/>
                <w:sz w:val="21"/>
                <w:szCs w:val="21"/>
              </w:rPr>
              <w:t xml:space="preserve">Auto-generates redlined counter-proposals based on organisation's preferred positions</w:t>
            </w:r>
          </w:p>
          <w:p>
            <w:pPr>
              <w:pStyle w:val="ListParagraph"/>
              <w:numPr>
                <w:ilvl w:val="0"/>
                <w:numId w:val="2"/>
              </w:numPr>
              <w:spacing w:before="30" w:after="30"/>
            </w:pPr>
            <w:r>
              <w:rPr>
                <w:rFonts w:ascii="Arial" w:cs="Arial" w:eastAsia="Arial" w:hAnsi="Arial"/>
                <w:color w:val="374151"/>
                <w:sz w:val="21"/>
                <w:szCs w:val="21"/>
              </w:rPr>
              <w:t xml:space="preserve">Multi-party negotiation workflow — tracks positions, concessions, and versions across parties</w:t>
            </w:r>
          </w:p>
          <w:p>
            <w:pPr>
              <w:pStyle w:val="ListParagraph"/>
              <w:numPr>
                <w:ilvl w:val="0"/>
                <w:numId w:val="2"/>
              </w:numPr>
              <w:spacing w:before="30" w:after="30"/>
            </w:pPr>
            <w:r>
              <w:rPr>
                <w:rFonts w:ascii="Arial" w:cs="Arial" w:eastAsia="Arial" w:hAnsi="Arial"/>
                <w:color w:val="374151"/>
                <w:sz w:val="21"/>
                <w:szCs w:val="21"/>
              </w:rPr>
              <w:t xml:space="preserve">Playbook enforcement — ensures negotiation stays within pre-approved parameters</w:t>
            </w:r>
          </w:p>
          <w:p>
            <w:pPr>
              <w:pStyle w:val="ListParagraph"/>
              <w:numPr>
                <w:ilvl w:val="0"/>
                <w:numId w:val="2"/>
              </w:numPr>
              <w:spacing w:before="30" w:after="30"/>
            </w:pPr>
            <w:r>
              <w:rPr>
                <w:rFonts w:ascii="Arial" w:cs="Arial" w:eastAsia="Arial" w:hAnsi="Arial"/>
                <w:color w:val="374151"/>
                <w:sz w:val="21"/>
                <w:szCs w:val="21"/>
              </w:rPr>
              <w:t xml:space="preserve">Integration with e-signature platforms for frictionless execution</w:t>
            </w:r>
          </w:p>
          <w:p>
            <w:pPr>
              <w:pStyle w:val="ListParagraph"/>
              <w:numPr>
                <w:ilvl w:val="0"/>
                <w:numId w:val="2"/>
              </w:numPr>
              <w:spacing w:before="30" w:after="30"/>
            </w:pPr>
            <w:r>
              <w:rPr>
                <w:rFonts w:ascii="Arial" w:cs="Arial" w:eastAsia="Arial" w:hAnsi="Arial"/>
                <w:color w:val="374151"/>
                <w:sz w:val="21"/>
                <w:szCs w:val="21"/>
              </w:rPr>
              <w:t xml:space="preserve">Post-signature obligation monitoring — converts executed terms into calendar actions automatically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0A" w:sz="6"/>
              <w:left w:val="single" w:color="E8440A" w:sz="6"/>
              <w:bottom w:val="single" w:color="D1D5DB" w:sz="1"/>
              <w:right w:val="single" w:color="D1D5DB" w:sz="1"/>
            </w:tcBorders>
            <w:shd w:fill="FFFFFF" w:val="clear"/>
            <w:tcMar>
              <w:top w:type="dxa" w:w="160"/>
              <w:left w:type="dxa" w:w="200"/>
              <w:bottom w:type="dxa" w:w="160"/>
              <w:right w:type="dxa" w:w="200"/>
            </w:tcMar>
          </w:tcPr>
          <w:p>
            <w:pPr>
              <w:spacing w:before="0" w:after="40"/>
            </w:pPr>
            <w:r>
              <w:rPr>
                <w:rFonts w:ascii="Arial" w:cs="Arial" w:eastAsia="Arial" w:hAnsi="Arial"/>
                <w:b/>
                <w:bCs/>
                <w:color w:val="E8440A"/>
                <w:sz w:val="20"/>
                <w:szCs w:val="20"/>
              </w:rPr>
              <w:t xml:space="preserve">Agent 05: </w:t>
            </w:r>
            <w:r>
              <w:rPr>
                <w:rFonts w:ascii="Georgia" w:cs="Georgia" w:eastAsia="Georgia" w:hAnsi="Georgia"/>
                <w:b/>
                <w:bCs/>
                <w:color w:val="1B2A4A"/>
                <w:sz w:val="28"/>
                <w:szCs w:val="28"/>
              </w:rPr>
              <w:t xml:space="preserve">Executive Report Engine</w:t>
            </w:r>
          </w:p>
          <w:p>
            <w:pPr>
              <w:spacing w:before="0" w:after="80"/>
            </w:pPr>
            <w:r>
              <w:rPr>
                <w:rFonts w:ascii="Arial" w:cs="Arial" w:eastAsia="Arial" w:hAnsi="Arial"/>
                <w:i/>
                <w:iCs/>
                <w:color w:val="6B7280"/>
                <w:sz w:val="21"/>
                <w:szCs w:val="21"/>
              </w:rPr>
              <w:t xml:space="preserve">The right intelligence for every seat at the table.</w:t>
            </w:r>
          </w:p>
          <w:p>
            <w:pPr>
              <w:spacing w:before="0" w:after="80"/>
            </w:pPr>
            <w:r>
              <w:rPr>
                <w:rFonts w:ascii="Arial" w:cs="Arial" w:eastAsia="Arial" w:hAnsi="Arial"/>
                <w:color w:val="374151"/>
                <w:sz w:val="21"/>
                <w:szCs w:val="21"/>
              </w:rPr>
              <w:t xml:space="preserve">One data source. Infinite perspectives. The Report Engine generates customised intelligence outputs tailored to each executive function — so the GC, CFO, CPO, and Sales Director each see exactly what they need, automatically.</w:t>
            </w:r>
          </w:p>
          <w:p>
            <w:pPr>
              <w:pStyle w:val="ListParagraph"/>
              <w:numPr>
                <w:ilvl w:val="0"/>
                <w:numId w:val="2"/>
              </w:numPr>
              <w:spacing w:before="30" w:after="30"/>
            </w:pPr>
            <w:r>
              <w:rPr>
                <w:rFonts w:ascii="Arial" w:cs="Arial" w:eastAsia="Arial" w:hAnsi="Arial"/>
                <w:color w:val="374151"/>
                <w:sz w:val="21"/>
                <w:szCs w:val="21"/>
              </w:rPr>
              <w:t xml:space="preserve">General Counsel view: Litigation risk, compliance obligations, high-risk contract log</w:t>
            </w:r>
          </w:p>
          <w:p>
            <w:pPr>
              <w:pStyle w:val="ListParagraph"/>
              <w:numPr>
                <w:ilvl w:val="0"/>
                <w:numId w:val="2"/>
              </w:numPr>
              <w:spacing w:before="30" w:after="30"/>
            </w:pPr>
            <w:r>
              <w:rPr>
                <w:rFonts w:ascii="Arial" w:cs="Arial" w:eastAsia="Arial" w:hAnsi="Arial"/>
                <w:color w:val="374151"/>
                <w:sz w:val="21"/>
                <w:szCs w:val="21"/>
              </w:rPr>
              <w:t xml:space="preserve">CFO view: Payment obligations, revenue commitments, financial exposure summary</w:t>
            </w:r>
          </w:p>
          <w:p>
            <w:pPr>
              <w:pStyle w:val="ListParagraph"/>
              <w:numPr>
                <w:ilvl w:val="0"/>
                <w:numId w:val="2"/>
              </w:numPr>
              <w:spacing w:before="30" w:after="30"/>
            </w:pPr>
            <w:r>
              <w:rPr>
                <w:rFonts w:ascii="Arial" w:cs="Arial" w:eastAsia="Arial" w:hAnsi="Arial"/>
                <w:color w:val="374151"/>
                <w:sz w:val="21"/>
                <w:szCs w:val="21"/>
              </w:rPr>
              <w:t xml:space="preserve">CPO view: Supplier performance clauses, termination rights, SLA commitments</w:t>
            </w:r>
          </w:p>
          <w:p>
            <w:pPr>
              <w:pStyle w:val="ListParagraph"/>
              <w:numPr>
                <w:ilvl w:val="0"/>
                <w:numId w:val="2"/>
              </w:numPr>
              <w:spacing w:before="30" w:after="30"/>
            </w:pPr>
            <w:r>
              <w:rPr>
                <w:rFonts w:ascii="Arial" w:cs="Arial" w:eastAsia="Arial" w:hAnsi="Arial"/>
                <w:color w:val="374151"/>
                <w:sz w:val="21"/>
                <w:szCs w:val="21"/>
              </w:rPr>
              <w:t xml:space="preserve">Sales view: Deal velocity, win/loss analysis by contract term, competitive positioning</w:t>
            </w:r>
          </w:p>
          <w:p>
            <w:pPr>
              <w:pStyle w:val="ListParagraph"/>
              <w:numPr>
                <w:ilvl w:val="0"/>
                <w:numId w:val="2"/>
              </w:numPr>
              <w:spacing w:before="30" w:after="30"/>
            </w:pPr>
            <w:r>
              <w:rPr>
                <w:rFonts w:ascii="Arial" w:cs="Arial" w:eastAsia="Arial" w:hAnsi="Arial"/>
                <w:color w:val="374151"/>
                <w:sz w:val="21"/>
                <w:szCs w:val="21"/>
              </w:rPr>
              <w:t xml:space="preserve">Board-level view: Enterprise risk register, regulatory exposure, M&amp;A contract due diligence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Business Model &amp; Go-To-Market</w:t>
            </w:r>
          </w:p>
          <w:p>
            <w:pPr>
              <w:spacing w:before="60"/>
              <w:jc w:val="center"/>
            </w:pPr>
            <w:r>
              <w:rPr>
                <w:rFonts w:ascii="Arial" w:cs="Arial" w:eastAsia="Arial" w:hAnsi="Arial"/>
                <w:color w:val="B0C4DE"/>
                <w:sz w:val="22"/>
                <w:szCs w:val="22"/>
              </w:rPr>
              <w:t xml:space="preserve">How ClauseAI Captures Value</w:t>
            </w:r>
          </w:p>
        </w:tc>
      </w:tr>
    </w:tbl>
    <w:p>
      <w:pPr>
        <w:spacing w:before="80" w:after="80"/>
      </w:pPr>
      <w:r>
        <w:t xml:space="preserve"/>
      </w:r>
    </w:p>
    <w:p>
      <w:pPr>
        <w:pStyle w:val="Heading2"/>
        <w:spacing w:before="300" w:after="120"/>
      </w:pPr>
      <w:r>
        <w:rPr>
          <w:rFonts w:ascii="Georgia" w:cs="Georgia" w:eastAsia="Georgia" w:hAnsi="Georgia"/>
          <w:b/>
          <w:bCs/>
          <w:color w:val="1B2A4A"/>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Revenue Stream</w:t>
            </w:r>
          </w:p>
        </w:tc>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Annual Value Potential</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Platform SaaS (Annual Subscription)</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$50K–$500K/year per enterprise client</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API Access Tiers (Usage-Based)</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$0.10–$2.00 per contract processed via API</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Learning Engine Premium</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35% premium for organisations enabling data contribution</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Enterprise On-Premise Licensing</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$1M+ for regulated industries (banking, pharma)</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Professional Services &amp; Onboarding</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$25K–$150K implementation and custom model training</w:t>
            </w:r>
          </w:p>
        </w:tc>
      </w:tr>
    </w:tbl>
    <w:p>
      <w:pPr>
        <w:spacing w:before="80" w:after="80"/>
      </w:pPr>
      <w:r>
        <w:t xml:space="preserve"/>
      </w:r>
    </w:p>
    <w:p>
      <w:pPr>
        <w:pStyle w:val="Heading2"/>
        <w:spacing w:before="300" w:after="120"/>
      </w:pPr>
      <w:r>
        <w:rPr>
          <w:rFonts w:ascii="Georgia" w:cs="Georgia" w:eastAsia="Georgia" w:hAnsi="Georgia"/>
          <w:b/>
          <w:bCs/>
          <w:color w:val="1B2A4A"/>
          <w:sz w:val="28"/>
          <w:szCs w:val="28"/>
        </w:rPr>
        <w:t xml:space="preserve">Target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Segment</w:t>
            </w:r>
          </w:p>
        </w:tc>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Primary Buyer</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Tier 1: Enterprise Legal Departments (500+ employees)</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GC, CLO, Senior Legal Counsel</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Tier 2: Mid-Market Companies (50–500 employees)</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In-house legal team or General Counsel</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Tier 3: API Partners (CLM &amp; Legal Tech vendors)</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CTOs, Product Leaders, Developer Ecosystems</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Tier 4: Private Equity &amp; M&amp;A Teams</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Deal Teams, Portfolio Managers, Due Diligence Leads</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Implementation Roadmap</w:t>
            </w:r>
          </w:p>
          <w:p>
            <w:pPr>
              <w:spacing w:before="60"/>
              <w:jc w:val="center"/>
            </w:pPr>
            <w:r>
              <w:rPr>
                <w:rFonts w:ascii="Arial" w:cs="Arial" w:eastAsia="Arial" w:hAnsi="Arial"/>
                <w:color w:val="B0C4DE"/>
                <w:sz w:val="22"/>
                <w:szCs w:val="22"/>
              </w:rPr>
              <w:t xml:space="preserve">From Zero to Category Leader</w:t>
            </w:r>
          </w:p>
        </w:tc>
      </w:tr>
    </w:tbl>
    <w:p>
      <w:pPr>
        <w:spacing w:before="80" w:after="80"/>
      </w:pPr>
      <w:r>
        <w:t xml:space="preserve"/>
      </w:r>
    </w:p>
    <w:p>
      <w:pPr>
        <w:spacing w:before="200" w:after="80"/>
      </w:pPr>
      <w:r>
        <w:rPr>
          <w:rFonts w:ascii="Arial" w:cs="Arial" w:eastAsia="Arial" w:hAnsi="Arial"/>
          <w:b/>
          <w:bCs/>
          <w:color w:val="E8440A"/>
          <w:sz w:val="24"/>
          <w:szCs w:val="24"/>
        </w:rPr>
        <w:t xml:space="preserve">Phase 1 — Foundation (Months 0–6)</w:t>
      </w:r>
    </w:p>
    <w:p>
      <w:pPr>
        <w:pStyle w:val="ListParagraph"/>
        <w:numPr>
          <w:ilvl w:val="0"/>
          <w:numId w:val="2"/>
        </w:numPr>
        <w:spacing w:before="40" w:after="40"/>
      </w:pPr>
      <w:r>
        <w:rPr>
          <w:rFonts w:ascii="Arial" w:cs="Arial" w:eastAsia="Arial" w:hAnsi="Arial"/>
          <w:color w:val="1F2937"/>
          <w:sz w:val="22"/>
          <w:szCs w:val="22"/>
        </w:rPr>
        <w:t xml:space="preserve">Ship core contract ingestion, parsing, and risk scoring MVP</w:t>
      </w:r>
    </w:p>
    <w:p>
      <w:pPr>
        <w:pStyle w:val="ListParagraph"/>
        <w:numPr>
          <w:ilvl w:val="0"/>
          <w:numId w:val="2"/>
        </w:numPr>
        <w:spacing w:before="40" w:after="40"/>
      </w:pPr>
      <w:r>
        <w:rPr>
          <w:rFonts w:ascii="Arial" w:cs="Arial" w:eastAsia="Arial" w:hAnsi="Arial"/>
          <w:color w:val="1F2937"/>
          <w:sz w:val="22"/>
          <w:szCs w:val="22"/>
        </w:rPr>
        <w:t xml:space="preserve">Launch Learning Engine beta with 5 design-partner law firms</w:t>
      </w:r>
    </w:p>
    <w:p>
      <w:pPr>
        <w:pStyle w:val="ListParagraph"/>
        <w:numPr>
          <w:ilvl w:val="0"/>
          <w:numId w:val="2"/>
        </w:numPr>
        <w:spacing w:before="40" w:after="40"/>
      </w:pPr>
      <w:r>
        <w:rPr>
          <w:rFonts w:ascii="Arial" w:cs="Arial" w:eastAsia="Arial" w:hAnsi="Arial"/>
          <w:color w:val="1F2937"/>
          <w:sz w:val="22"/>
          <w:szCs w:val="22"/>
        </w:rPr>
        <w:t xml:space="preserve">Build and document REST API with first 3 third-party integrations</w:t>
      </w:r>
    </w:p>
    <w:p>
      <w:pPr>
        <w:pStyle w:val="ListParagraph"/>
        <w:numPr>
          <w:ilvl w:val="0"/>
          <w:numId w:val="2"/>
        </w:numPr>
        <w:spacing w:before="40" w:after="40"/>
      </w:pPr>
      <w:r>
        <w:rPr>
          <w:rFonts w:ascii="Arial" w:cs="Arial" w:eastAsia="Arial" w:hAnsi="Arial"/>
          <w:color w:val="1F2937"/>
          <w:sz w:val="22"/>
          <w:szCs w:val="22"/>
        </w:rPr>
        <w:t xml:space="preserve">Achieve SOC 2 Type I and GDPR compliance certification</w:t>
      </w:r>
    </w:p>
    <w:p>
      <w:pPr>
        <w:pStyle w:val="ListParagraph"/>
        <w:numPr>
          <w:ilvl w:val="0"/>
          <w:numId w:val="2"/>
        </w:numPr>
        <w:spacing w:before="40" w:after="40"/>
      </w:pPr>
      <w:r>
        <w:rPr>
          <w:rFonts w:ascii="Arial" w:cs="Arial" w:eastAsia="Arial" w:hAnsi="Arial"/>
          <w:color w:val="1F2937"/>
          <w:sz w:val="22"/>
          <w:szCs w:val="22"/>
        </w:rPr>
        <w:t xml:space="preserve">Target: 10 paid enterprise pilots, $500K ARR</w:t>
      </w:r>
    </w:p>
    <w:p>
      <w:pPr>
        <w:spacing w:before="80" w:after="80"/>
      </w:pPr>
      <w:r>
        <w:t xml:space="preserve"/>
      </w:r>
    </w:p>
    <w:p>
      <w:pPr>
        <w:spacing w:before="200" w:after="80"/>
      </w:pPr>
      <w:r>
        <w:rPr>
          <w:rFonts w:ascii="Arial" w:cs="Arial" w:eastAsia="Arial" w:hAnsi="Arial"/>
          <w:b/>
          <w:bCs/>
          <w:color w:val="E8440A"/>
          <w:sz w:val="24"/>
          <w:szCs w:val="24"/>
        </w:rPr>
        <w:t xml:space="preserve">Phase 2 — Intelligence (Months 6–18)</w:t>
      </w:r>
    </w:p>
    <w:p>
      <w:pPr>
        <w:pStyle w:val="ListParagraph"/>
        <w:numPr>
          <w:ilvl w:val="0"/>
          <w:numId w:val="2"/>
        </w:numPr>
        <w:spacing w:before="40" w:after="40"/>
      </w:pPr>
      <w:r>
        <w:rPr>
          <w:rFonts w:ascii="Arial" w:cs="Arial" w:eastAsia="Arial" w:hAnsi="Arial"/>
          <w:color w:val="1F2937"/>
          <w:sz w:val="22"/>
          <w:szCs w:val="22"/>
        </w:rPr>
        <w:t xml:space="preserve">Launch Portfolio Risk Agent with real-time dashboard</w:t>
      </w:r>
    </w:p>
    <w:p>
      <w:pPr>
        <w:pStyle w:val="ListParagraph"/>
        <w:numPr>
          <w:ilvl w:val="0"/>
          <w:numId w:val="2"/>
        </w:numPr>
        <w:spacing w:before="40" w:after="40"/>
      </w:pPr>
      <w:r>
        <w:rPr>
          <w:rFonts w:ascii="Arial" w:cs="Arial" w:eastAsia="Arial" w:hAnsi="Arial"/>
          <w:color w:val="1F2937"/>
          <w:sz w:val="22"/>
          <w:szCs w:val="22"/>
        </w:rPr>
        <w:t xml:space="preserve">Release Action &amp; Negotiation Agent in closed beta</w:t>
      </w:r>
    </w:p>
    <w:p>
      <w:pPr>
        <w:pStyle w:val="ListParagraph"/>
        <w:numPr>
          <w:ilvl w:val="0"/>
          <w:numId w:val="2"/>
        </w:numPr>
        <w:spacing w:before="40" w:after="40"/>
      </w:pPr>
      <w:r>
        <w:rPr>
          <w:rFonts w:ascii="Arial" w:cs="Arial" w:eastAsia="Arial" w:hAnsi="Arial"/>
          <w:color w:val="1F2937"/>
          <w:sz w:val="22"/>
          <w:szCs w:val="22"/>
        </w:rPr>
        <w:t xml:space="preserve">Open developer portal and API marketplace</w:t>
      </w:r>
    </w:p>
    <w:p>
      <w:pPr>
        <w:pStyle w:val="ListParagraph"/>
        <w:numPr>
          <w:ilvl w:val="0"/>
          <w:numId w:val="2"/>
        </w:numPr>
        <w:spacing w:before="40" w:after="40"/>
      </w:pPr>
      <w:r>
        <w:rPr>
          <w:rFonts w:ascii="Arial" w:cs="Arial" w:eastAsia="Arial" w:hAnsi="Arial"/>
          <w:color w:val="1F2937"/>
          <w:sz w:val="22"/>
          <w:szCs w:val="22"/>
        </w:rPr>
        <w:t xml:space="preserve">Hire vertical specialists: Financial Services, Healthcare, Technology</w:t>
      </w:r>
    </w:p>
    <w:p>
      <w:pPr>
        <w:pStyle w:val="ListParagraph"/>
        <w:numPr>
          <w:ilvl w:val="0"/>
          <w:numId w:val="2"/>
        </w:numPr>
        <w:spacing w:before="40" w:after="40"/>
      </w:pPr>
      <w:r>
        <w:rPr>
          <w:rFonts w:ascii="Arial" w:cs="Arial" w:eastAsia="Arial" w:hAnsi="Arial"/>
          <w:color w:val="1F2937"/>
          <w:sz w:val="22"/>
          <w:szCs w:val="22"/>
        </w:rPr>
        <w:t xml:space="preserve">Target: 50 enterprise customers, $5M ARR</w:t>
      </w:r>
    </w:p>
    <w:p>
      <w:pPr>
        <w:spacing w:before="80" w:after="80"/>
      </w:pPr>
      <w:r>
        <w:t xml:space="preserve"/>
      </w:r>
    </w:p>
    <w:p>
      <w:pPr>
        <w:spacing w:before="200" w:after="80"/>
      </w:pPr>
      <w:r>
        <w:rPr>
          <w:rFonts w:ascii="Arial" w:cs="Arial" w:eastAsia="Arial" w:hAnsi="Arial"/>
          <w:b/>
          <w:bCs/>
          <w:color w:val="E8440A"/>
          <w:sz w:val="24"/>
          <w:szCs w:val="24"/>
        </w:rPr>
        <w:t xml:space="preserve">Phase 3 — Platform (Months 18–36)</w:t>
      </w:r>
    </w:p>
    <w:p>
      <w:pPr>
        <w:pStyle w:val="ListParagraph"/>
        <w:numPr>
          <w:ilvl w:val="0"/>
          <w:numId w:val="2"/>
        </w:numPr>
        <w:spacing w:before="40" w:after="40"/>
      </w:pPr>
      <w:r>
        <w:rPr>
          <w:rFonts w:ascii="Arial" w:cs="Arial" w:eastAsia="Arial" w:hAnsi="Arial"/>
          <w:color w:val="1F2937"/>
          <w:sz w:val="22"/>
          <w:szCs w:val="22"/>
        </w:rPr>
        <w:t xml:space="preserve">Launch Executive Report Engine with role-based templates</w:t>
      </w:r>
    </w:p>
    <w:p>
      <w:pPr>
        <w:pStyle w:val="ListParagraph"/>
        <w:numPr>
          <w:ilvl w:val="0"/>
          <w:numId w:val="2"/>
        </w:numPr>
        <w:spacing w:before="40" w:after="40"/>
      </w:pPr>
      <w:r>
        <w:rPr>
          <w:rFonts w:ascii="Arial" w:cs="Arial" w:eastAsia="Arial" w:hAnsi="Arial"/>
          <w:color w:val="1F2937"/>
          <w:sz w:val="22"/>
          <w:szCs w:val="22"/>
        </w:rPr>
        <w:t xml:space="preserve">Release white-label SDK for CLM vendor partnerships</w:t>
      </w:r>
    </w:p>
    <w:p>
      <w:pPr>
        <w:pStyle w:val="ListParagraph"/>
        <w:numPr>
          <w:ilvl w:val="0"/>
          <w:numId w:val="2"/>
        </w:numPr>
        <w:spacing w:before="40" w:after="40"/>
      </w:pPr>
      <w:r>
        <w:rPr>
          <w:rFonts w:ascii="Arial" w:cs="Arial" w:eastAsia="Arial" w:hAnsi="Arial"/>
          <w:color w:val="1F2937"/>
          <w:sz w:val="22"/>
          <w:szCs w:val="22"/>
        </w:rPr>
        <w:t xml:space="preserve">Achieve ISO 27001 certification for regulated industries</w:t>
      </w:r>
    </w:p>
    <w:p>
      <w:pPr>
        <w:pStyle w:val="ListParagraph"/>
        <w:numPr>
          <w:ilvl w:val="0"/>
          <w:numId w:val="2"/>
        </w:numPr>
        <w:spacing w:before="40" w:after="40"/>
      </w:pPr>
      <w:r>
        <w:rPr>
          <w:rFonts w:ascii="Arial" w:cs="Arial" w:eastAsia="Arial" w:hAnsi="Arial"/>
          <w:color w:val="1F2937"/>
          <w:sz w:val="22"/>
          <w:szCs w:val="22"/>
        </w:rPr>
        <w:t xml:space="preserve">Expand to APAC and European markets with localised models</w:t>
      </w:r>
    </w:p>
    <w:p>
      <w:pPr>
        <w:pStyle w:val="ListParagraph"/>
        <w:numPr>
          <w:ilvl w:val="0"/>
          <w:numId w:val="2"/>
        </w:numPr>
        <w:spacing w:before="40" w:after="40"/>
      </w:pPr>
      <w:r>
        <w:rPr>
          <w:rFonts w:ascii="Arial" w:cs="Arial" w:eastAsia="Arial" w:hAnsi="Arial"/>
          <w:color w:val="1F2937"/>
          <w:sz w:val="22"/>
          <w:szCs w:val="22"/>
        </w:rPr>
        <w:t xml:space="preserve">Target: 200 enterprise customers, $25M ARR, Series B ready</w:t>
      </w:r>
    </w:p>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Competitive Moat</w:t>
            </w:r>
          </w:p>
          <w:p>
            <w:pPr>
              <w:spacing w:before="60"/>
              <w:jc w:val="center"/>
            </w:pPr>
            <w:r>
              <w:rPr>
                <w:rFonts w:ascii="Arial" w:cs="Arial" w:eastAsia="Arial" w:hAnsi="Arial"/>
                <w:color w:val="B0C4DE"/>
                <w:sz w:val="22"/>
                <w:szCs w:val="22"/>
              </w:rPr>
              <w:t xml:space="preserve">Why ClauseAI Wins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Moat Layer</w:t>
            </w:r>
          </w:p>
        </w:tc>
        <w:tc>
          <w:tcPr>
            <w:tcW w:type="dxa" w:w="4680"/>
            <w:tcBorders>
              <w:top w:val="single" w:color="D1D5DB" w:sz="1"/>
              <w:left w:val="single" w:color="D1D5DB" w:sz="1"/>
              <w:bottom w:val="single" w:color="D1D5DB" w:sz="1"/>
              <w:right w:val="single" w:color="D1D5DB" w:sz="1"/>
            </w:tcBorders>
            <w:shd w:fill="1B2A4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Why It's Defensible</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Data Network Effects</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Every new contract reviewed improves models for all users</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Learning Engine Flywheel</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Client-specific training creates switching costs that grow over time</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API Ecosystem Lock-in</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Deep integration into workflows makes replacement prohibitively expensive</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Vertical Model Specialisation</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Domain-specific models outperform generic LLMs by 40–60% on legal tasks</w:t>
            </w:r>
          </w:p>
        </w:tc>
      </w:tr>
      <w:tr>
        <w:tc>
          <w:tcPr>
            <w:tcW w:type="dxa" w:w="4680"/>
            <w:tcBorders>
              <w:top w:val="single" w:color="D1D5DB" w:sz="1"/>
              <w:left w:val="single" w:color="D1D5DB" w:sz="1"/>
              <w:bottom w:val="single" w:color="D1D5DB" w:sz="1"/>
              <w:right w:val="single" w:color="D1D5DB" w:sz="1"/>
            </w:tcBorders>
            <w:shd w:fill="F0F4FA" w:val="clear"/>
            <w:tcMar>
              <w:top w:type="dxa" w:w="80"/>
              <w:left w:type="dxa" w:w="150"/>
              <w:bottom w:type="dxa" w:w="80"/>
              <w:right w:type="dxa" w:w="150"/>
            </w:tcMar>
          </w:tcPr>
          <w:p>
            <w:r>
              <w:rPr>
                <w:rFonts w:ascii="Arial" w:cs="Arial" w:eastAsia="Arial" w:hAnsi="Arial"/>
                <w:color w:val="1F2937"/>
                <w:sz w:val="21"/>
                <w:szCs w:val="21"/>
              </w:rPr>
              <w:t xml:space="preserve">Institutional Knowledge Capture</w:t>
            </w:r>
          </w:p>
        </w:tc>
        <w:tc>
          <w:tcPr>
            <w:tcW w:type="dxa" w:w="4680"/>
            <w:tcBorders>
              <w:top w:val="single" w:color="D1D5DB" w:sz="1"/>
              <w:left w:val="single" w:color="D1D5DB" w:sz="1"/>
              <w:bottom w:val="single" w:color="D1D5DB" w:sz="1"/>
              <w:right w:val="single" w:color="D1D5DB" w:sz="1"/>
            </w:tcBorders>
            <w:shd w:fill="E6F4EA" w:val="clear"/>
            <w:tcMar>
              <w:top w:type="dxa" w:w="80"/>
              <w:left w:type="dxa" w:w="150"/>
              <w:bottom w:type="dxa" w:w="80"/>
              <w:right w:type="dxa" w:w="150"/>
            </w:tcMar>
          </w:tcPr>
          <w:p>
            <w:r>
              <w:rPr>
                <w:rFonts w:ascii="Arial" w:cs="Arial" w:eastAsia="Arial" w:hAnsi="Arial"/>
                <w:color w:val="1F2937"/>
                <w:sz w:val="21"/>
                <w:szCs w:val="21"/>
              </w:rPr>
              <w:t xml:space="preserve">Captures expertise that walks out the door when lawyers leave</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200"/>
              <w:right w:type="dxa" w:w="240"/>
            </w:tcMar>
          </w:tcPr>
          <w:p>
            <w:pPr>
              <w:jc w:val="center"/>
            </w:pPr>
            <w:r>
              <w:rPr>
                <w:rFonts w:ascii="Georgia" w:cs="Georgia" w:eastAsia="Georgia" w:hAnsi="Georgia"/>
                <w:b/>
                <w:bCs/>
                <w:color w:val="FFFFFF"/>
                <w:sz w:val="36"/>
                <w:szCs w:val="36"/>
              </w:rPr>
              <w:t xml:space="preserve">The ClauseAI Imperative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0D1E35" w:val="clear"/>
            <w:tcMar>
              <w:top w:type="dxa" w:w="160"/>
              <w:left w:type="dxa" w:w="200"/>
              <w:bottom w:type="dxa" w:w="160"/>
              <w:right w:type="dxa" w:w="200"/>
            </w:tcMar>
          </w:tcPr>
          <w:p>
            <w:pPr>
              <w:spacing w:before="0" w:after="60"/>
            </w:pPr>
            <w:r>
              <w:rPr>
                <w:rFonts w:ascii="Arial" w:cs="Arial" w:eastAsia="Arial" w:hAnsi="Arial"/>
                <w:b/>
                <w:bCs/>
                <w:color w:val="FFFFFF"/>
                <w:sz w:val="22"/>
                <w:szCs w:val="22"/>
              </w:rPr>
              <w:t xml:space="preserve">The Opportunity in One Sentence</w:t>
            </w:r>
          </w:p>
          <w:p>
            <w:pPr>
              <w:spacing w:before="0" w:after="0"/>
            </w:pPr>
            <w:r>
              <w:rPr>
                <w:rFonts w:ascii="Arial" w:cs="Arial" w:eastAsia="Arial" w:hAnsi="Arial"/>
                <w:color w:val="1F2937"/>
                <w:sz w:val="21"/>
                <w:szCs w:val="21"/>
              </w:rPr>
              <w:t xml:space="preserve">ClauseAI is building the Bloomberg Terminal for commercial contracts — real-time, portfolio-wide intelligence that turns every business's most important legal documents into its most powerful strategic asset.</w:t>
            </w:r>
          </w:p>
        </w:tc>
      </w:tr>
    </w:tbl>
    <w:p>
      <w:pPr>
        <w:spacing w:before="80" w:after="80"/>
      </w:pPr>
      <w:r>
        <w:t xml:space="preserve"/>
      </w:r>
    </w:p>
    <w:p>
      <w:pPr>
        <w:spacing w:before="60" w:after="60"/>
      </w:pPr>
      <w:r>
        <w:rPr>
          <w:rFonts w:ascii="Arial" w:cs="Arial" w:eastAsia="Arial" w:hAnsi="Arial"/>
          <w:b w:val="false"/>
          <w:bCs w:val="false"/>
          <w:color w:val="6B7280"/>
          <w:sz w:val="22"/>
          <w:szCs w:val="22"/>
        </w:rPr>
        <w:t xml:space="preserve">The contract intelligence market is at the same inflection point that CRM was in 2000 and BI tools were in 2010. The company that establishes the intelligence infrastructure layer now will own the category for the next 20 years.</w:t>
      </w:r>
    </w:p>
    <w:p>
      <w:pPr>
        <w:spacing w:before="80" w:after="80"/>
      </w:pPr>
      <w:r>
        <w:t xml:space="preserve"/>
      </w:r>
    </w:p>
    <w:p>
      <w:pPr>
        <w:spacing w:before="60" w:after="60"/>
      </w:pPr>
      <w:r>
        <w:rPr>
          <w:rFonts w:ascii="Arial" w:cs="Arial" w:eastAsia="Arial" w:hAnsi="Arial"/>
          <w:b/>
          <w:bCs/>
          <w:color w:val="1F2937"/>
          <w:sz w:val="22"/>
          <w:szCs w:val="22"/>
        </w:rPr>
        <w:t xml:space="preserve">ClauseAI is that company.</w:t>
      </w:r>
    </w:p>
    <w:p>
      <w:pPr>
        <w:spacing w:before="80" w:after="80"/>
      </w:pPr>
      <w:r>
        <w:t xml:space="preserve"/>
      </w:r>
    </w:p>
    <w:p>
      <w:pPr>
        <w:spacing w:before="80" w:after="80"/>
      </w:pPr>
      <w:r>
        <w:t xml:space="preserve"/>
      </w:r>
    </w:p>
    <w:p>
      <w:pPr>
        <w:jc w:val="center"/>
      </w:pPr>
      <w:r>
        <w:rPr>
          <w:rFonts w:ascii="Georgia" w:cs="Georgia" w:eastAsia="Georgia" w:hAnsi="Georgia"/>
          <w:b/>
          <w:bCs/>
          <w:i/>
          <w:iCs/>
          <w:color w:val="1B2A4A"/>
          <w:sz w:val="28"/>
          <w:szCs w:val="28"/>
        </w:rPr>
        <w:t xml:space="preserve">ClauseAI — Contracts are just the beginning.</w:t>
      </w:r>
    </w:p>
    <w:p>
      <w:pPr>
        <w:spacing w:before="80" w:after="80"/>
      </w:pPr>
      <w:r>
        <w:t xml:space="preserve"/>
      </w:r>
    </w:p>
    <w:p>
      <w:pPr>
        <w:jc w:val="center"/>
      </w:pPr>
      <w:r>
        <w:rPr>
          <w:rFonts w:ascii="Arial" w:cs="Arial" w:eastAsia="Arial" w:hAnsi="Arial"/>
          <w:color w:val="6B7280"/>
          <w:sz w:val="18"/>
          <w:szCs w:val="18"/>
        </w:rPr>
        <w:t xml:space="preserve">Confidential | Strategic Planning Document |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B2A4A"/>
      <w:sz w:val="36"/>
      <w:szCs w:val="36"/>
    </w:rPr>
  </w:style>
  <w:style w:type="paragraph" w:styleId="Heading2">
    <w:name w:val="Heading 2"/>
    <w:basedOn w:val="Normal"/>
    <w:next w:val="Normal"/>
    <w:qFormat/>
    <w:pPr>
      <w:spacing w:before="300" w:after="120"/>
      <w:outlineLvl w:val="1"/>
    </w:pPr>
    <w:rPr>
      <w:rFonts w:ascii="Georgia" w:cs="Georgia" w:eastAsia="Georgia" w:hAnsi="Georgia"/>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2026-03-12T07:57:55.114Z</dcterms:created>
  <dcterms:modified xsi:type="dcterms:W3CDTF">2026-03-12T07:57:55.115Z</dcterms:modified>
</cp:coreProperties>
</file>

<file path=docProps/custom.xml><?xml version="1.0" encoding="utf-8"?>
<Properties xmlns="http://schemas.openxmlformats.org/officeDocument/2006/custom-properties" xmlns:vt="http://schemas.openxmlformats.org/officeDocument/2006/docPropsVTypes"/>
</file>