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200" w:after="200"/>
        <w:jc w:val="center"/>
      </w:pPr>
      <w:r>
        <w:rPr>
          <w:rFonts w:ascii="Arial" w:cs="Arial" w:eastAsia="Arial" w:hAnsi="Arial"/>
          <w:b/>
          <w:bCs/>
          <w:color w:val="1F3864"/>
          <w:sz w:val="56"/>
          <w:szCs w:val="56"/>
        </w:rPr>
        <w:t xml:space="preserve">MASTER ENTERPRISE SERVICES AGREEMENT</w:t>
      </w:r>
    </w:p>
    <w:p>
      <w:pPr>
        <w:spacing w:before="0" w:after="100"/>
        <w:jc w:val="center"/>
      </w:pPr>
      <w:r>
        <w:rPr>
          <w:rFonts w:ascii="Arial" w:cs="Arial" w:eastAsia="Arial" w:hAnsi="Arial"/>
          <w:b/>
          <w:bCs/>
          <w:color w:val="1A5276"/>
          <w:sz w:val="36"/>
          <w:szCs w:val="36"/>
        </w:rPr>
        <w:t xml:space="preserve">AND COMPREHENSIVE TECHNOLOGY PLATFORM CONTRACT</w:t>
      </w:r>
    </w:p>
    <w:p>
      <w:pPr>
        <w:pBdr>
          <w:bottom w:val="single" w:color="1F3864" w:sz="6" w:space="4"/>
        </w:pBdr>
        <w:spacing w:before="200" w:after="200"/>
      </w:pPr>
      <w:r>
        <w:t xml:space="preserve"/>
      </w:r>
    </w:p>
    <w:p>
      <w:pPr>
        <w:spacing w:before="200" w:after="0"/>
      </w:pPr>
      <w:r>
        <w:t xml:space="preserve"/>
      </w:r>
    </w:p>
    <w:p>
      <w:pPr>
        <w:jc w:val="center"/>
      </w:pPr>
      <w:r>
        <w:rPr>
          <w:rFonts w:ascii="Arial" w:cs="Arial" w:eastAsia="Arial" w:hAnsi="Arial"/>
          <w:b/>
          <w:bCs/>
          <w:color w:val="555555"/>
          <w:sz w:val="24"/>
          <w:szCs w:val="24"/>
        </w:rPr>
        <w:t xml:space="preserve">CONTRACT NO.: MESA-2024-TPC-00847-ENT</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Contract Date: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2C2C2C"/>
                <w:sz w:val="20"/>
                <w:szCs w:val="20"/>
              </w:rPr>
              <w:t xml:space="preserve">March 12, 2024</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Effective Date: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2C2C2C"/>
                <w:sz w:val="20"/>
                <w:szCs w:val="20"/>
              </w:rPr>
              <w:t xml:space="preserve">April 1, 2024</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Expiration Date: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2C2C2C"/>
                <w:sz w:val="20"/>
                <w:szCs w:val="20"/>
              </w:rPr>
              <w:t xml:space="preserve">March 31, 2029</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Contract Value: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2C2C2C"/>
                <w:sz w:val="20"/>
                <w:szCs w:val="20"/>
              </w:rPr>
              <w:t xml:space="preserve">USD $47,850,000 (Forty-Seven Million, Eight Hundred Fifty Thousand Dollars)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Contract Type: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2C2C2C"/>
                <w:sz w:val="20"/>
                <w:szCs w:val="20"/>
              </w:rPr>
              <w:t xml:space="preserve">Master Enterprise Services Agreement with Technology Platform Licensing</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Classification: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2C2C2C"/>
                <w:sz w:val="20"/>
                <w:szCs w:val="20"/>
              </w:rPr>
              <w:t xml:space="preserve">CONFIDENTIAL – COMMERCIALLY SENSITIVE</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Governing Law:</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2C2C2C"/>
                <w:sz w:val="20"/>
                <w:szCs w:val="20"/>
              </w:rPr>
              <w:t xml:space="preserve">State of Delaware, United States of America</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Dispute Resolution: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2C2C2C"/>
                <w:sz w:val="20"/>
                <w:szCs w:val="20"/>
              </w:rPr>
              <w:t xml:space="preserve">ICC International Arbitration, New York, NY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Document Version: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2C2C2C"/>
                <w:sz w:val="20"/>
                <w:szCs w:val="20"/>
              </w:rPr>
              <w:t xml:space="preserve">v4.2 – FINAL EXECUTION COPY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Prepared By: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2C2C2C"/>
                <w:sz w:val="20"/>
                <w:szCs w:val="20"/>
              </w:rPr>
              <w:t xml:space="preserve">Legal Affairs Division, Global Contracts Management</w:t>
            </w:r>
          </w:p>
        </w:tc>
      </w:tr>
    </w:tbl>
    <w:p>
      <w:pPr>
        <w:spacing w:before="300" w:after="0"/>
      </w:pPr>
      <w:r>
        <w:t xml:space="preserve"/>
      </w:r>
    </w:p>
    <w:p>
      <w:pPr>
        <w:jc w:val="center"/>
      </w:pPr>
      <w:r>
        <w:rPr>
          <w:rFonts w:ascii="Arial" w:cs="Arial" w:eastAsia="Arial" w:hAnsi="Arial"/>
          <w:b/>
          <w:bCs/>
          <w:color w:val="1F3864"/>
          <w:sz w:val="28"/>
          <w:szCs w:val="28"/>
        </w:rPr>
        <w:t xml:space="preserve">BETWEEN</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AAAAAA" w:sz="1"/>
              <w:left w:val="single" w:color="AAAAAA" w:sz="1"/>
              <w:bottom w:val="single" w:color="AAAAAA" w:sz="1"/>
              <w:right w:val="single" w:color="AAAAAA" w:sz="1"/>
            </w:tcBorders>
            <w:shd w:fill="D6E4F0" w:val="clear"/>
            <w:tcMar>
              <w:top w:type="dxa" w:w="160"/>
              <w:left w:type="dxa" w:w="200"/>
              <w:bottom w:type="dxa" w:w="160"/>
              <w:right w:type="dxa" w:w="200"/>
            </w:tcMar>
          </w:tcPr>
          <w:p>
            <w:pPr>
              <w:jc w:val="center"/>
            </w:pPr>
            <w:r>
              <w:rPr>
                <w:rFonts w:ascii="Arial" w:cs="Arial" w:eastAsia="Arial" w:hAnsi="Arial"/>
                <w:b/>
                <w:bCs/>
                <w:color w:val="1F3864"/>
                <w:sz w:val="18"/>
                <w:szCs w:val="18"/>
              </w:rPr>
              <w:t xml:space="preserve">CLIENT / CUSTOMER</w:t>
            </w:r>
          </w:p>
          <w:p>
            <w:pPr>
              <w:spacing w:before="100" w:after="0"/>
            </w:pPr>
            <w:r>
              <w:t xml:space="preserve"/>
            </w:r>
          </w:p>
          <w:p>
            <w:pPr>
              <w:jc w:val="center"/>
            </w:pPr>
            <w:r>
              <w:rPr>
                <w:rFonts w:ascii="Arial" w:cs="Arial" w:eastAsia="Arial" w:hAnsi="Arial"/>
                <w:b/>
                <w:bCs/>
                <w:color w:val="2C2C2C"/>
                <w:sz w:val="24"/>
                <w:szCs w:val="24"/>
              </w:rPr>
              <w:t xml:space="preserve">NEXOVATE GLOBAL SOLUTIONS, INC.</w:t>
            </w:r>
          </w:p>
          <w:p>
            <w:pPr>
              <w:jc w:val="center"/>
            </w:pPr>
            <w:r>
              <w:rPr>
                <w:rFonts w:ascii="Arial" w:cs="Arial" w:eastAsia="Arial" w:hAnsi="Arial"/>
                <w:i/>
                <w:iCs/>
                <w:color w:val="555555"/>
                <w:sz w:val="18"/>
                <w:szCs w:val="18"/>
              </w:rPr>
              <w:t xml:space="preserve">A Delaware Corporation</w:t>
            </w:r>
          </w:p>
          <w:p>
            <w:pPr>
              <w:jc w:val="center"/>
            </w:pPr>
            <w:r>
              <w:rPr>
                <w:rFonts w:ascii="Arial" w:cs="Arial" w:eastAsia="Arial" w:hAnsi="Arial"/>
                <w:color w:val="555555"/>
                <w:sz w:val="18"/>
                <w:szCs w:val="18"/>
              </w:rPr>
              <w:t xml:space="preserve">EIN: 47-2381945</w:t>
            </w:r>
          </w:p>
          <w:p>
            <w:pPr>
              <w:jc w:val="center"/>
            </w:pPr>
            <w:r>
              <w:rPr>
                <w:rFonts w:ascii="Arial" w:cs="Arial" w:eastAsia="Arial" w:hAnsi="Arial"/>
                <w:color w:val="555555"/>
                <w:sz w:val="18"/>
                <w:szCs w:val="18"/>
              </w:rPr>
              <w:t xml:space="preserve">1200 Enterprise Boulevard, Suite 4000</w:t>
            </w:r>
          </w:p>
          <w:p>
            <w:pPr>
              <w:jc w:val="center"/>
            </w:pPr>
            <w:r>
              <w:rPr>
                <w:rFonts w:ascii="Arial" w:cs="Arial" w:eastAsia="Arial" w:hAnsi="Arial"/>
                <w:color w:val="555555"/>
                <w:sz w:val="18"/>
                <w:szCs w:val="18"/>
              </w:rPr>
              <w:t xml:space="preserve">Wilmington, DE 19801</w:t>
            </w:r>
          </w:p>
          <w:p>
            <w:pPr>
              <w:jc w:val="center"/>
            </w:pPr>
            <w:r>
              <w:rPr>
                <w:rFonts w:ascii="Arial" w:cs="Arial" w:eastAsia="Arial" w:hAnsi="Arial"/>
                <w:b/>
                <w:bCs/>
                <w:i/>
                <w:iCs/>
                <w:color w:val="1F3864"/>
                <w:sz w:val="18"/>
                <w:szCs w:val="18"/>
              </w:rPr>
              <w:t xml:space="preserve">Hereinafter referred to as "CLIENT"</w:t>
            </w:r>
          </w:p>
        </w:tc>
        <w:tc>
          <w:tcPr>
            <w:tcW w:type="dxa" w:w="360"/>
            <w:tcBorders>
              <w:top w:val="none" w:color="FFFFFF" w:sz="0"/>
              <w:left w:val="none" w:color="FFFFFF" w:sz="0"/>
              <w:bottom w:val="none" w:color="FFFFFF" w:sz="0"/>
              <w:right w:val="none" w:color="FFFFFF" w:sz="0"/>
            </w:tcBorders>
          </w:tcPr>
          <w:p>
            <w:pPr>
              <w:spacing w:before="100" w:after="0"/>
            </w:pPr>
            <w:r>
              <w:t xml:space="preserve"/>
            </w:r>
          </w:p>
        </w:tc>
        <w:tc>
          <w:tcPr>
            <w:tcW w:type="dxa" w:w="4500"/>
            <w:tcBorders>
              <w:top w:val="single" w:color="AAAAAA" w:sz="1"/>
              <w:left w:val="single" w:color="AAAAAA" w:sz="1"/>
              <w:bottom w:val="single" w:color="AAAAAA" w:sz="1"/>
              <w:right w:val="single" w:color="AAAAAA" w:sz="1"/>
            </w:tcBorders>
            <w:shd w:fill="FDF2F8" w:val="clear"/>
            <w:tcMar>
              <w:top w:type="dxa" w:w="160"/>
              <w:left w:type="dxa" w:w="200"/>
              <w:bottom w:type="dxa" w:w="160"/>
              <w:right w:type="dxa" w:w="200"/>
            </w:tcMar>
          </w:tcPr>
          <w:p>
            <w:pPr>
              <w:jc w:val="center"/>
            </w:pPr>
            <w:r>
              <w:rPr>
                <w:rFonts w:ascii="Arial" w:cs="Arial" w:eastAsia="Arial" w:hAnsi="Arial"/>
                <w:b/>
                <w:bCs/>
                <w:color w:val="7D3C98"/>
                <w:sz w:val="18"/>
                <w:szCs w:val="18"/>
              </w:rPr>
              <w:t xml:space="preserve">SERVICE PROVIDER / VENDOR</w:t>
            </w:r>
          </w:p>
          <w:p>
            <w:pPr>
              <w:spacing w:before="100" w:after="0"/>
            </w:pPr>
            <w:r>
              <w:t xml:space="preserve"/>
            </w:r>
          </w:p>
          <w:p>
            <w:pPr>
              <w:jc w:val="center"/>
            </w:pPr>
            <w:r>
              <w:rPr>
                <w:rFonts w:ascii="Arial" w:cs="Arial" w:eastAsia="Arial" w:hAnsi="Arial"/>
                <w:b/>
                <w:bCs/>
                <w:color w:val="2C2C2C"/>
                <w:sz w:val="24"/>
                <w:szCs w:val="24"/>
              </w:rPr>
              <w:t xml:space="preserve">TECHSPHERE INNOVATIONS, LLC</w:t>
            </w:r>
          </w:p>
          <w:p>
            <w:pPr>
              <w:jc w:val="center"/>
            </w:pPr>
            <w:r>
              <w:rPr>
                <w:rFonts w:ascii="Arial" w:cs="Arial" w:eastAsia="Arial" w:hAnsi="Arial"/>
                <w:i/>
                <w:iCs/>
                <w:color w:val="555555"/>
                <w:sz w:val="18"/>
                <w:szCs w:val="18"/>
              </w:rPr>
              <w:t xml:space="preserve">A Delaware Limited Liability Company</w:t>
            </w:r>
          </w:p>
          <w:p>
            <w:pPr>
              <w:jc w:val="center"/>
            </w:pPr>
            <w:r>
              <w:rPr>
                <w:rFonts w:ascii="Arial" w:cs="Arial" w:eastAsia="Arial" w:hAnsi="Arial"/>
                <w:color w:val="555555"/>
                <w:sz w:val="18"/>
                <w:szCs w:val="18"/>
              </w:rPr>
              <w:t xml:space="preserve">EIN: 83-5716204</w:t>
            </w:r>
          </w:p>
          <w:p>
            <w:pPr>
              <w:jc w:val="center"/>
            </w:pPr>
            <w:r>
              <w:rPr>
                <w:rFonts w:ascii="Arial" w:cs="Arial" w:eastAsia="Arial" w:hAnsi="Arial"/>
                <w:color w:val="555555"/>
                <w:sz w:val="18"/>
                <w:szCs w:val="18"/>
              </w:rPr>
              <w:t xml:space="preserve">500 Innovation Drive, Floor 22</w:t>
            </w:r>
          </w:p>
          <w:p>
            <w:pPr>
              <w:jc w:val="center"/>
            </w:pPr>
            <w:r>
              <w:rPr>
                <w:rFonts w:ascii="Arial" w:cs="Arial" w:eastAsia="Arial" w:hAnsi="Arial"/>
                <w:color w:val="555555"/>
                <w:sz w:val="18"/>
                <w:szCs w:val="18"/>
              </w:rPr>
              <w:t xml:space="preserve">San Francisco, CA 94105</w:t>
            </w:r>
          </w:p>
          <w:p>
            <w:pPr>
              <w:jc w:val="center"/>
            </w:pPr>
            <w:r>
              <w:rPr>
                <w:rFonts w:ascii="Arial" w:cs="Arial" w:eastAsia="Arial" w:hAnsi="Arial"/>
                <w:b/>
                <w:bCs/>
                <w:i/>
                <w:iCs/>
                <w:color w:val="7D3C98"/>
                <w:sz w:val="18"/>
                <w:szCs w:val="18"/>
              </w:rPr>
              <w:t xml:space="preserve">Hereinafter referred to as "PROVIDER"</w:t>
            </w:r>
          </w:p>
        </w:tc>
      </w:tr>
    </w:tbl>
    <w:p>
      <w:pPr>
        <w:spacing w:before="300" w:after="0"/>
      </w:pPr>
      <w:r>
        <w:t xml:space="preserve"/>
      </w:r>
    </w:p>
    <w:p>
      <w:pPr>
        <w:pBdr>
          <w:bottom w:val="single" w:color="1F3864" w:sz="6" w:space="4"/>
        </w:pBdr>
        <w:spacing w:before="200" w:after="200"/>
      </w:pPr>
      <w:r>
        <w:t xml:space="preserve"/>
      </w:r>
    </w:p>
    <w:p>
      <w:pPr>
        <w:spacing w:before="200" w:after="100"/>
        <w:jc w:val="center"/>
      </w:pPr>
      <w:r>
        <w:rPr>
          <w:rFonts w:ascii="Arial" w:cs="Arial" w:eastAsia="Arial" w:hAnsi="Arial"/>
          <w:b/>
          <w:bCs/>
          <w:color w:val="C0392B"/>
          <w:sz w:val="22"/>
          <w:szCs w:val="22"/>
        </w:rPr>
        <w:t xml:space="preserve">IMPORTANT LEGAL NOTICE</w:t>
      </w:r>
    </w:p>
    <w:p>
      <w:pPr>
        <w:spacing w:before="0" w:after="200"/>
        <w:jc w:val="center"/>
      </w:pPr>
      <w:r>
        <w:rPr>
          <w:rFonts w:ascii="Arial" w:cs="Arial" w:eastAsia="Arial" w:hAnsi="Arial"/>
          <w:i/>
          <w:iCs/>
          <w:color w:val="555555"/>
          <w:sz w:val="18"/>
          <w:szCs w:val="18"/>
        </w:rPr>
        <w:t xml:space="preserve">This agreement contains binding arbitration provisions, limitation of liability clauses, and intellectual property assignments. Please read carefully before signing.</w:t>
      </w:r>
    </w:p>
    <w:p>
      <w:r>
        <w:br w:type="page"/>
      </w:r>
    </w:p>
    <w:p>
      <w:pPr>
        <w:pStyle w:val="Heading1"/>
        <w:spacing w:before="400" w:after="200"/>
      </w:pPr>
      <w:r>
        <w:rPr>
          <w:rFonts w:ascii="Arial" w:cs="Arial" w:eastAsia="Arial" w:hAnsi="Arial"/>
          <w:b/>
          <w:bCs/>
          <w:color w:val="1F3864"/>
          <w:sz w:val="32"/>
          <w:szCs w:val="32"/>
        </w:rPr>
        <w:t xml:space="preserve">TABLE OF CONTENTS</w:t>
      </w:r>
    </w:p>
    <w:p>
      <w:pPr>
        <w:pBdr>
          <w:bottom w:val="single" w:color="1F3864" w:sz="6" w:space="4"/>
        </w:pBdr>
        <w:spacing w:before="200" w:after="200"/>
      </w:pPr>
      <w:r>
        <w:t xml:space="preserve"/>
      </w:r>
    </w:p>
    <w:p>
      <w:pPr>
        <w:tabs>
          <w:tab w:val="right" w:pos="9000"/>
        </w:tabs>
        <w:spacing w:before="60" w:after="60"/>
      </w:pPr>
      <w:r>
        <w:rPr>
          <w:rFonts w:ascii="Arial" w:cs="Arial" w:eastAsia="Arial" w:hAnsi="Arial"/>
          <w:color w:val="2C2C2C"/>
          <w:sz w:val="20"/>
          <w:szCs w:val="20"/>
        </w:rPr>
        <w:t xml:space="preserve">ARTICLE 1 – DEFINITIONS AND INTERPRETATION</w:t>
      </w:r>
      <w:r>
        <w:rPr>
          <w:rFonts w:ascii="Arial" w:cs="Arial" w:eastAsia="Arial" w:hAnsi="Arial"/>
          <w:color w:val="555555"/>
          <w:sz w:val="20"/>
          <w:szCs w:val="20"/>
        </w:rPr>
        <w:t xml:space="preserve">	8</w:t>
      </w:r>
    </w:p>
    <w:p>
      <w:pPr>
        <w:tabs>
          <w:tab w:val="right" w:pos="9000"/>
        </w:tabs>
        <w:spacing w:before="60" w:after="60"/>
      </w:pPr>
      <w:r>
        <w:rPr>
          <w:rFonts w:ascii="Arial" w:cs="Arial" w:eastAsia="Arial" w:hAnsi="Arial"/>
          <w:color w:val="2C2C2C"/>
          <w:sz w:val="20"/>
          <w:szCs w:val="20"/>
        </w:rPr>
        <w:t xml:space="preserve">ARTICLE 2 – SCOPE OF SERVICES</w:t>
      </w:r>
      <w:r>
        <w:rPr>
          <w:rFonts w:ascii="Arial" w:cs="Arial" w:eastAsia="Arial" w:hAnsi="Arial"/>
          <w:color w:val="555555"/>
          <w:sz w:val="20"/>
          <w:szCs w:val="20"/>
        </w:rPr>
        <w:t xml:space="preserve">	14</w:t>
      </w:r>
    </w:p>
    <w:p>
      <w:pPr>
        <w:tabs>
          <w:tab w:val="right" w:pos="9000"/>
        </w:tabs>
        <w:spacing w:before="60" w:after="60"/>
      </w:pPr>
      <w:r>
        <w:rPr>
          <w:rFonts w:ascii="Arial" w:cs="Arial" w:eastAsia="Arial" w:hAnsi="Arial"/>
          <w:color w:val="2C2C2C"/>
          <w:sz w:val="20"/>
          <w:szCs w:val="20"/>
        </w:rPr>
        <w:t xml:space="preserve">ARTICLE 3 – TECHNOLOGY PLATFORM LICENSE</w:t>
      </w:r>
      <w:r>
        <w:rPr>
          <w:rFonts w:ascii="Arial" w:cs="Arial" w:eastAsia="Arial" w:hAnsi="Arial"/>
          <w:color w:val="555555"/>
          <w:sz w:val="20"/>
          <w:szCs w:val="20"/>
        </w:rPr>
        <w:t xml:space="preserve">	19</w:t>
      </w:r>
    </w:p>
    <w:p>
      <w:pPr>
        <w:tabs>
          <w:tab w:val="right" w:pos="9000"/>
        </w:tabs>
        <w:spacing w:before="60" w:after="60"/>
      </w:pPr>
      <w:r>
        <w:rPr>
          <w:rFonts w:ascii="Arial" w:cs="Arial" w:eastAsia="Arial" w:hAnsi="Arial"/>
          <w:color w:val="2C2C2C"/>
          <w:sz w:val="20"/>
          <w:szCs w:val="20"/>
        </w:rPr>
        <w:t xml:space="preserve">ARTICLE 4 – IMPLEMENTATION AND DEPLOYMENT</w:t>
      </w:r>
      <w:r>
        <w:rPr>
          <w:rFonts w:ascii="Arial" w:cs="Arial" w:eastAsia="Arial" w:hAnsi="Arial"/>
          <w:color w:val="555555"/>
          <w:sz w:val="20"/>
          <w:szCs w:val="20"/>
        </w:rPr>
        <w:t xml:space="preserve">	24</w:t>
      </w:r>
    </w:p>
    <w:p>
      <w:pPr>
        <w:tabs>
          <w:tab w:val="right" w:pos="9000"/>
        </w:tabs>
        <w:spacing w:before="60" w:after="60"/>
      </w:pPr>
      <w:r>
        <w:rPr>
          <w:rFonts w:ascii="Arial" w:cs="Arial" w:eastAsia="Arial" w:hAnsi="Arial"/>
          <w:color w:val="2C2C2C"/>
          <w:sz w:val="20"/>
          <w:szCs w:val="20"/>
        </w:rPr>
        <w:t xml:space="preserve">ARTICLE 5 – FEES, PAYMENT TERMS, AND INVOICING</w:t>
      </w:r>
      <w:r>
        <w:rPr>
          <w:rFonts w:ascii="Arial" w:cs="Arial" w:eastAsia="Arial" w:hAnsi="Arial"/>
          <w:color w:val="555555"/>
          <w:sz w:val="20"/>
          <w:szCs w:val="20"/>
        </w:rPr>
        <w:t xml:space="preserve">	29</w:t>
      </w:r>
    </w:p>
    <w:p>
      <w:pPr>
        <w:tabs>
          <w:tab w:val="right" w:pos="9000"/>
        </w:tabs>
        <w:spacing w:before="60" w:after="60"/>
      </w:pPr>
      <w:r>
        <w:rPr>
          <w:rFonts w:ascii="Arial" w:cs="Arial" w:eastAsia="Arial" w:hAnsi="Arial"/>
          <w:color w:val="2C2C2C"/>
          <w:sz w:val="20"/>
          <w:szCs w:val="20"/>
        </w:rPr>
        <w:t xml:space="preserve">ARTICLE 6 – SERVICE LEVEL AGREEMENTS</w:t>
      </w:r>
      <w:r>
        <w:rPr>
          <w:rFonts w:ascii="Arial" w:cs="Arial" w:eastAsia="Arial" w:hAnsi="Arial"/>
          <w:color w:val="555555"/>
          <w:sz w:val="20"/>
          <w:szCs w:val="20"/>
        </w:rPr>
        <w:t xml:space="preserve">	34</w:t>
      </w:r>
    </w:p>
    <w:p>
      <w:pPr>
        <w:tabs>
          <w:tab w:val="right" w:pos="9000"/>
        </w:tabs>
        <w:spacing w:before="60" w:after="60"/>
      </w:pPr>
      <w:r>
        <w:rPr>
          <w:rFonts w:ascii="Arial" w:cs="Arial" w:eastAsia="Arial" w:hAnsi="Arial"/>
          <w:color w:val="2C2C2C"/>
          <w:sz w:val="20"/>
          <w:szCs w:val="20"/>
        </w:rPr>
        <w:t xml:space="preserve">ARTICLE 7 – INTELLECTUAL PROPERTY RIGHTS</w:t>
      </w:r>
      <w:r>
        <w:rPr>
          <w:rFonts w:ascii="Arial" w:cs="Arial" w:eastAsia="Arial" w:hAnsi="Arial"/>
          <w:color w:val="555555"/>
          <w:sz w:val="20"/>
          <w:szCs w:val="20"/>
        </w:rPr>
        <w:t xml:space="preserve">	39</w:t>
      </w:r>
    </w:p>
    <w:p>
      <w:pPr>
        <w:tabs>
          <w:tab w:val="right" w:pos="9000"/>
        </w:tabs>
        <w:spacing w:before="60" w:after="60"/>
      </w:pPr>
      <w:r>
        <w:rPr>
          <w:rFonts w:ascii="Arial" w:cs="Arial" w:eastAsia="Arial" w:hAnsi="Arial"/>
          <w:color w:val="2C2C2C"/>
          <w:sz w:val="20"/>
          <w:szCs w:val="20"/>
        </w:rPr>
        <w:t xml:space="preserve">ARTICLE 8 – DATA PROTECTION AND PRIVACY</w:t>
      </w:r>
      <w:r>
        <w:rPr>
          <w:rFonts w:ascii="Arial" w:cs="Arial" w:eastAsia="Arial" w:hAnsi="Arial"/>
          <w:color w:val="555555"/>
          <w:sz w:val="20"/>
          <w:szCs w:val="20"/>
        </w:rPr>
        <w:t xml:space="preserve">	44</w:t>
      </w:r>
    </w:p>
    <w:p>
      <w:pPr>
        <w:tabs>
          <w:tab w:val="right" w:pos="9000"/>
        </w:tabs>
        <w:spacing w:before="60" w:after="60"/>
      </w:pPr>
      <w:r>
        <w:rPr>
          <w:rFonts w:ascii="Arial" w:cs="Arial" w:eastAsia="Arial" w:hAnsi="Arial"/>
          <w:color w:val="2C2C2C"/>
          <w:sz w:val="20"/>
          <w:szCs w:val="20"/>
        </w:rPr>
        <w:t xml:space="preserve">ARTICLE 9 – SECURITY REQUIREMENTS</w:t>
      </w:r>
      <w:r>
        <w:rPr>
          <w:rFonts w:ascii="Arial" w:cs="Arial" w:eastAsia="Arial" w:hAnsi="Arial"/>
          <w:color w:val="555555"/>
          <w:sz w:val="20"/>
          <w:szCs w:val="20"/>
        </w:rPr>
        <w:t xml:space="preserve">	49</w:t>
      </w:r>
    </w:p>
    <w:p>
      <w:pPr>
        <w:tabs>
          <w:tab w:val="right" w:pos="9000"/>
        </w:tabs>
        <w:spacing w:before="60" w:after="60"/>
      </w:pPr>
      <w:r>
        <w:rPr>
          <w:rFonts w:ascii="Arial" w:cs="Arial" w:eastAsia="Arial" w:hAnsi="Arial"/>
          <w:color w:val="2C2C2C"/>
          <w:sz w:val="20"/>
          <w:szCs w:val="20"/>
        </w:rPr>
        <w:t xml:space="preserve">ARTICLE 10 – CONFIDENTIALITY</w:t>
      </w:r>
      <w:r>
        <w:rPr>
          <w:rFonts w:ascii="Arial" w:cs="Arial" w:eastAsia="Arial" w:hAnsi="Arial"/>
          <w:color w:val="555555"/>
          <w:sz w:val="20"/>
          <w:szCs w:val="20"/>
        </w:rPr>
        <w:t xml:space="preserve">	53</w:t>
      </w:r>
    </w:p>
    <w:p>
      <w:pPr>
        <w:tabs>
          <w:tab w:val="right" w:pos="9000"/>
        </w:tabs>
        <w:spacing w:before="60" w:after="60"/>
      </w:pPr>
      <w:r>
        <w:rPr>
          <w:rFonts w:ascii="Arial" w:cs="Arial" w:eastAsia="Arial" w:hAnsi="Arial"/>
          <w:color w:val="2C2C2C"/>
          <w:sz w:val="20"/>
          <w:szCs w:val="20"/>
        </w:rPr>
        <w:t xml:space="preserve">ARTICLE 11 – REPRESENTATIONS AND WARRANTIES</w:t>
      </w:r>
      <w:r>
        <w:rPr>
          <w:rFonts w:ascii="Arial" w:cs="Arial" w:eastAsia="Arial" w:hAnsi="Arial"/>
          <w:color w:val="555555"/>
          <w:sz w:val="20"/>
          <w:szCs w:val="20"/>
        </w:rPr>
        <w:t xml:space="preserve">	57</w:t>
      </w:r>
    </w:p>
    <w:p>
      <w:pPr>
        <w:tabs>
          <w:tab w:val="right" w:pos="9000"/>
        </w:tabs>
        <w:spacing w:before="60" w:after="60"/>
      </w:pPr>
      <w:r>
        <w:rPr>
          <w:rFonts w:ascii="Arial" w:cs="Arial" w:eastAsia="Arial" w:hAnsi="Arial"/>
          <w:color w:val="2C2C2C"/>
          <w:sz w:val="20"/>
          <w:szCs w:val="20"/>
        </w:rPr>
        <w:t xml:space="preserve">ARTICLE 12 – INDEMNIFICATION</w:t>
      </w:r>
      <w:r>
        <w:rPr>
          <w:rFonts w:ascii="Arial" w:cs="Arial" w:eastAsia="Arial" w:hAnsi="Arial"/>
          <w:color w:val="555555"/>
          <w:sz w:val="20"/>
          <w:szCs w:val="20"/>
        </w:rPr>
        <w:t xml:space="preserve">	61</w:t>
      </w:r>
    </w:p>
    <w:p>
      <w:pPr>
        <w:tabs>
          <w:tab w:val="right" w:pos="9000"/>
        </w:tabs>
        <w:spacing w:before="60" w:after="60"/>
      </w:pPr>
      <w:r>
        <w:rPr>
          <w:rFonts w:ascii="Arial" w:cs="Arial" w:eastAsia="Arial" w:hAnsi="Arial"/>
          <w:color w:val="2C2C2C"/>
          <w:sz w:val="20"/>
          <w:szCs w:val="20"/>
        </w:rPr>
        <w:t xml:space="preserve">ARTICLE 13 – LIMITATION OF LIABILITY</w:t>
      </w:r>
      <w:r>
        <w:rPr>
          <w:rFonts w:ascii="Arial" w:cs="Arial" w:eastAsia="Arial" w:hAnsi="Arial"/>
          <w:color w:val="555555"/>
          <w:sz w:val="20"/>
          <w:szCs w:val="20"/>
        </w:rPr>
        <w:t xml:space="preserve">	64</w:t>
      </w:r>
    </w:p>
    <w:p>
      <w:pPr>
        <w:tabs>
          <w:tab w:val="right" w:pos="9000"/>
        </w:tabs>
        <w:spacing w:before="60" w:after="60"/>
      </w:pPr>
      <w:r>
        <w:rPr>
          <w:rFonts w:ascii="Arial" w:cs="Arial" w:eastAsia="Arial" w:hAnsi="Arial"/>
          <w:color w:val="2C2C2C"/>
          <w:sz w:val="20"/>
          <w:szCs w:val="20"/>
        </w:rPr>
        <w:t xml:space="preserve">ARTICLE 14 – INSURANCE REQUIREMENTS</w:t>
      </w:r>
      <w:r>
        <w:rPr>
          <w:rFonts w:ascii="Arial" w:cs="Arial" w:eastAsia="Arial" w:hAnsi="Arial"/>
          <w:color w:val="555555"/>
          <w:sz w:val="20"/>
          <w:szCs w:val="20"/>
        </w:rPr>
        <w:t xml:space="preserve">	66</w:t>
      </w:r>
    </w:p>
    <w:p>
      <w:pPr>
        <w:tabs>
          <w:tab w:val="right" w:pos="9000"/>
        </w:tabs>
        <w:spacing w:before="60" w:after="60"/>
      </w:pPr>
      <w:r>
        <w:rPr>
          <w:rFonts w:ascii="Arial" w:cs="Arial" w:eastAsia="Arial" w:hAnsi="Arial"/>
          <w:color w:val="2C2C2C"/>
          <w:sz w:val="20"/>
          <w:szCs w:val="20"/>
        </w:rPr>
        <w:t xml:space="preserve">ARTICLE 15 – TERM AND TERMINATION</w:t>
      </w:r>
      <w:r>
        <w:rPr>
          <w:rFonts w:ascii="Arial" w:cs="Arial" w:eastAsia="Arial" w:hAnsi="Arial"/>
          <w:color w:val="555555"/>
          <w:sz w:val="20"/>
          <w:szCs w:val="20"/>
        </w:rPr>
        <w:t xml:space="preserve">	69</w:t>
      </w:r>
    </w:p>
    <w:p>
      <w:pPr>
        <w:tabs>
          <w:tab w:val="right" w:pos="9000"/>
        </w:tabs>
        <w:spacing w:before="60" w:after="60"/>
      </w:pPr>
      <w:r>
        <w:rPr>
          <w:rFonts w:ascii="Arial" w:cs="Arial" w:eastAsia="Arial" w:hAnsi="Arial"/>
          <w:color w:val="2C2C2C"/>
          <w:sz w:val="20"/>
          <w:szCs w:val="20"/>
        </w:rPr>
        <w:t xml:space="preserve">ARTICLE 16 – TRANSITION SERVICES</w:t>
      </w:r>
      <w:r>
        <w:rPr>
          <w:rFonts w:ascii="Arial" w:cs="Arial" w:eastAsia="Arial" w:hAnsi="Arial"/>
          <w:color w:val="555555"/>
          <w:sz w:val="20"/>
          <w:szCs w:val="20"/>
        </w:rPr>
        <w:t xml:space="preserve">	73</w:t>
      </w:r>
    </w:p>
    <w:p>
      <w:pPr>
        <w:tabs>
          <w:tab w:val="right" w:pos="9000"/>
        </w:tabs>
        <w:spacing w:before="60" w:after="60"/>
      </w:pPr>
      <w:r>
        <w:rPr>
          <w:rFonts w:ascii="Arial" w:cs="Arial" w:eastAsia="Arial" w:hAnsi="Arial"/>
          <w:color w:val="2C2C2C"/>
          <w:sz w:val="20"/>
          <w:szCs w:val="20"/>
        </w:rPr>
        <w:t xml:space="preserve">ARTICLE 17 – COMPLIANCE AND REGULATORY REQUIREMENTS</w:t>
      </w:r>
      <w:r>
        <w:rPr>
          <w:rFonts w:ascii="Arial" w:cs="Arial" w:eastAsia="Arial" w:hAnsi="Arial"/>
          <w:color w:val="555555"/>
          <w:sz w:val="20"/>
          <w:szCs w:val="20"/>
        </w:rPr>
        <w:t xml:space="preserve">	76</w:t>
      </w:r>
    </w:p>
    <w:p>
      <w:pPr>
        <w:tabs>
          <w:tab w:val="right" w:pos="9000"/>
        </w:tabs>
        <w:spacing w:before="60" w:after="60"/>
      </w:pPr>
      <w:r>
        <w:rPr>
          <w:rFonts w:ascii="Arial" w:cs="Arial" w:eastAsia="Arial" w:hAnsi="Arial"/>
          <w:color w:val="2C2C2C"/>
          <w:sz w:val="20"/>
          <w:szCs w:val="20"/>
        </w:rPr>
        <w:t xml:space="preserve">ARTICLE 18 – AUDIT RIGHTS</w:t>
      </w:r>
      <w:r>
        <w:rPr>
          <w:rFonts w:ascii="Arial" w:cs="Arial" w:eastAsia="Arial" w:hAnsi="Arial"/>
          <w:color w:val="555555"/>
          <w:sz w:val="20"/>
          <w:szCs w:val="20"/>
        </w:rPr>
        <w:t xml:space="preserve">	80</w:t>
      </w:r>
    </w:p>
    <w:p>
      <w:pPr>
        <w:tabs>
          <w:tab w:val="right" w:pos="9000"/>
        </w:tabs>
        <w:spacing w:before="60" w:after="60"/>
      </w:pPr>
      <w:r>
        <w:rPr>
          <w:rFonts w:ascii="Arial" w:cs="Arial" w:eastAsia="Arial" w:hAnsi="Arial"/>
          <w:color w:val="2C2C2C"/>
          <w:sz w:val="20"/>
          <w:szCs w:val="20"/>
        </w:rPr>
        <w:t xml:space="preserve">ARTICLE 19 – CHANGE MANAGEMENT</w:t>
      </w:r>
      <w:r>
        <w:rPr>
          <w:rFonts w:ascii="Arial" w:cs="Arial" w:eastAsia="Arial" w:hAnsi="Arial"/>
          <w:color w:val="555555"/>
          <w:sz w:val="20"/>
          <w:szCs w:val="20"/>
        </w:rPr>
        <w:t xml:space="preserve">	83</w:t>
      </w:r>
    </w:p>
    <w:p>
      <w:pPr>
        <w:tabs>
          <w:tab w:val="right" w:pos="9000"/>
        </w:tabs>
        <w:spacing w:before="60" w:after="60"/>
      </w:pPr>
      <w:r>
        <w:rPr>
          <w:rFonts w:ascii="Arial" w:cs="Arial" w:eastAsia="Arial" w:hAnsi="Arial"/>
          <w:color w:val="2C2C2C"/>
          <w:sz w:val="20"/>
          <w:szCs w:val="20"/>
        </w:rPr>
        <w:t xml:space="preserve">ARTICLE 20 – DISPUTE RESOLUTION</w:t>
      </w:r>
      <w:r>
        <w:rPr>
          <w:rFonts w:ascii="Arial" w:cs="Arial" w:eastAsia="Arial" w:hAnsi="Arial"/>
          <w:color w:val="555555"/>
          <w:sz w:val="20"/>
          <w:szCs w:val="20"/>
        </w:rPr>
        <w:t xml:space="preserve">	86</w:t>
      </w:r>
    </w:p>
    <w:p>
      <w:pPr>
        <w:tabs>
          <w:tab w:val="right" w:pos="9000"/>
        </w:tabs>
        <w:spacing w:before="60" w:after="60"/>
      </w:pPr>
      <w:r>
        <w:rPr>
          <w:rFonts w:ascii="Arial" w:cs="Arial" w:eastAsia="Arial" w:hAnsi="Arial"/>
          <w:color w:val="2C2C2C"/>
          <w:sz w:val="20"/>
          <w:szCs w:val="20"/>
        </w:rPr>
        <w:t xml:space="preserve">ARTICLE 21 – FORCE MAJEURE</w:t>
      </w:r>
      <w:r>
        <w:rPr>
          <w:rFonts w:ascii="Arial" w:cs="Arial" w:eastAsia="Arial" w:hAnsi="Arial"/>
          <w:color w:val="555555"/>
          <w:sz w:val="20"/>
          <w:szCs w:val="20"/>
        </w:rPr>
        <w:t xml:space="preserve">	89</w:t>
      </w:r>
    </w:p>
    <w:p>
      <w:pPr>
        <w:tabs>
          <w:tab w:val="right" w:pos="9000"/>
        </w:tabs>
        <w:spacing w:before="60" w:after="60"/>
      </w:pPr>
      <w:r>
        <w:rPr>
          <w:rFonts w:ascii="Arial" w:cs="Arial" w:eastAsia="Arial" w:hAnsi="Arial"/>
          <w:color w:val="2C2C2C"/>
          <w:sz w:val="20"/>
          <w:szCs w:val="20"/>
        </w:rPr>
        <w:t xml:space="preserve">ARTICLE 22 – ANTI-CORRUPTION AND ETHICAL STANDARDS</w:t>
      </w:r>
      <w:r>
        <w:rPr>
          <w:rFonts w:ascii="Arial" w:cs="Arial" w:eastAsia="Arial" w:hAnsi="Arial"/>
          <w:color w:val="555555"/>
          <w:sz w:val="20"/>
          <w:szCs w:val="20"/>
        </w:rPr>
        <w:t xml:space="preserve">	91</w:t>
      </w:r>
    </w:p>
    <w:p>
      <w:pPr>
        <w:tabs>
          <w:tab w:val="right" w:pos="9000"/>
        </w:tabs>
        <w:spacing w:before="60" w:after="60"/>
      </w:pPr>
      <w:r>
        <w:rPr>
          <w:rFonts w:ascii="Arial" w:cs="Arial" w:eastAsia="Arial" w:hAnsi="Arial"/>
          <w:color w:val="2C2C2C"/>
          <w:sz w:val="20"/>
          <w:szCs w:val="20"/>
        </w:rPr>
        <w:t xml:space="preserve">ARTICLE 23 – SUBCONTRACTING</w:t>
      </w:r>
      <w:r>
        <w:rPr>
          <w:rFonts w:ascii="Arial" w:cs="Arial" w:eastAsia="Arial" w:hAnsi="Arial"/>
          <w:color w:val="555555"/>
          <w:sz w:val="20"/>
          <w:szCs w:val="20"/>
        </w:rPr>
        <w:t xml:space="preserve">	93</w:t>
      </w:r>
    </w:p>
    <w:p>
      <w:pPr>
        <w:tabs>
          <w:tab w:val="right" w:pos="9000"/>
        </w:tabs>
        <w:spacing w:before="60" w:after="60"/>
      </w:pPr>
      <w:r>
        <w:rPr>
          <w:rFonts w:ascii="Arial" w:cs="Arial" w:eastAsia="Arial" w:hAnsi="Arial"/>
          <w:color w:val="2C2C2C"/>
          <w:sz w:val="20"/>
          <w:szCs w:val="20"/>
        </w:rPr>
        <w:t xml:space="preserve">ARTICLE 24 – GENERAL PROVISIONS</w:t>
      </w:r>
      <w:r>
        <w:rPr>
          <w:rFonts w:ascii="Arial" w:cs="Arial" w:eastAsia="Arial" w:hAnsi="Arial"/>
          <w:color w:val="555555"/>
          <w:sz w:val="20"/>
          <w:szCs w:val="20"/>
        </w:rPr>
        <w:t xml:space="preserve">	95</w:t>
      </w:r>
    </w:p>
    <w:p>
      <w:pPr>
        <w:tabs>
          <w:tab w:val="right" w:pos="9000"/>
        </w:tabs>
        <w:spacing w:before="60" w:after="60"/>
      </w:pPr>
      <w:r>
        <w:rPr>
          <w:rFonts w:ascii="Arial" w:cs="Arial" w:eastAsia="Arial" w:hAnsi="Arial"/>
          <w:color w:val="2C2C2C"/>
          <w:sz w:val="20"/>
          <w:szCs w:val="20"/>
        </w:rPr>
        <w:t xml:space="preserve">SCHEDULE A – SERVICES DESCRIPTION AND SPECIFICATIONS</w:t>
      </w:r>
      <w:r>
        <w:rPr>
          <w:rFonts w:ascii="Arial" w:cs="Arial" w:eastAsia="Arial" w:hAnsi="Arial"/>
          <w:color w:val="555555"/>
          <w:sz w:val="20"/>
          <w:szCs w:val="20"/>
        </w:rPr>
        <w:t xml:space="preserve">	98</w:t>
      </w:r>
    </w:p>
    <w:p>
      <w:pPr>
        <w:tabs>
          <w:tab w:val="right" w:pos="9000"/>
        </w:tabs>
        <w:spacing w:before="60" w:after="60"/>
      </w:pPr>
      <w:r>
        <w:rPr>
          <w:rFonts w:ascii="Arial" w:cs="Arial" w:eastAsia="Arial" w:hAnsi="Arial"/>
          <w:color w:val="2C2C2C"/>
          <w:sz w:val="20"/>
          <w:szCs w:val="20"/>
        </w:rPr>
        <w:t xml:space="preserve">SCHEDULE B – PRICING AND PAYMENT SCHEDULE</w:t>
      </w:r>
      <w:r>
        <w:rPr>
          <w:rFonts w:ascii="Arial" w:cs="Arial" w:eastAsia="Arial" w:hAnsi="Arial"/>
          <w:color w:val="555555"/>
          <w:sz w:val="20"/>
          <w:szCs w:val="20"/>
        </w:rPr>
        <w:t xml:space="preserve">	102</w:t>
      </w:r>
    </w:p>
    <w:p>
      <w:pPr>
        <w:tabs>
          <w:tab w:val="right" w:pos="9000"/>
        </w:tabs>
        <w:spacing w:before="60" w:after="60"/>
      </w:pPr>
      <w:r>
        <w:rPr>
          <w:rFonts w:ascii="Arial" w:cs="Arial" w:eastAsia="Arial" w:hAnsi="Arial"/>
          <w:color w:val="2C2C2C"/>
          <w:sz w:val="20"/>
          <w:szCs w:val="20"/>
        </w:rPr>
        <w:t xml:space="preserve">SCHEDULE C – SERVICE LEVEL METRICS</w:t>
      </w:r>
      <w:r>
        <w:rPr>
          <w:rFonts w:ascii="Arial" w:cs="Arial" w:eastAsia="Arial" w:hAnsi="Arial"/>
          <w:color w:val="555555"/>
          <w:sz w:val="20"/>
          <w:szCs w:val="20"/>
        </w:rPr>
        <w:t xml:space="preserve">	106</w:t>
      </w:r>
    </w:p>
    <w:p>
      <w:pPr>
        <w:tabs>
          <w:tab w:val="right" w:pos="9000"/>
        </w:tabs>
        <w:spacing w:before="60" w:after="60"/>
      </w:pPr>
      <w:r>
        <w:rPr>
          <w:rFonts w:ascii="Arial" w:cs="Arial" w:eastAsia="Arial" w:hAnsi="Arial"/>
          <w:color w:val="2C2C2C"/>
          <w:sz w:val="20"/>
          <w:szCs w:val="20"/>
        </w:rPr>
        <w:t xml:space="preserve">SCHEDULE D – DATA PROCESSING AGREEMENT</w:t>
      </w:r>
      <w:r>
        <w:rPr>
          <w:rFonts w:ascii="Arial" w:cs="Arial" w:eastAsia="Arial" w:hAnsi="Arial"/>
          <w:color w:val="555555"/>
          <w:sz w:val="20"/>
          <w:szCs w:val="20"/>
        </w:rPr>
        <w:t xml:space="preserve">	109</w:t>
      </w:r>
    </w:p>
    <w:p>
      <w:pPr>
        <w:tabs>
          <w:tab w:val="right" w:pos="9000"/>
        </w:tabs>
        <w:spacing w:before="60" w:after="60"/>
      </w:pPr>
      <w:r>
        <w:rPr>
          <w:rFonts w:ascii="Arial" w:cs="Arial" w:eastAsia="Arial" w:hAnsi="Arial"/>
          <w:color w:val="2C2C2C"/>
          <w:sz w:val="20"/>
          <w:szCs w:val="20"/>
        </w:rPr>
        <w:t xml:space="preserve">SCHEDULE E – SECURITY STANDARDS</w:t>
      </w:r>
      <w:r>
        <w:rPr>
          <w:rFonts w:ascii="Arial" w:cs="Arial" w:eastAsia="Arial" w:hAnsi="Arial"/>
          <w:color w:val="555555"/>
          <w:sz w:val="20"/>
          <w:szCs w:val="20"/>
        </w:rPr>
        <w:t xml:space="preserve">	113</w:t>
      </w:r>
    </w:p>
    <w:p>
      <w:pPr>
        <w:tabs>
          <w:tab w:val="right" w:pos="9000"/>
        </w:tabs>
        <w:spacing w:before="60" w:after="60"/>
      </w:pPr>
      <w:r>
        <w:rPr>
          <w:rFonts w:ascii="Arial" w:cs="Arial" w:eastAsia="Arial" w:hAnsi="Arial"/>
          <w:color w:val="2C2C2C"/>
          <w:sz w:val="20"/>
          <w:szCs w:val="20"/>
        </w:rPr>
        <w:t xml:space="preserve">SCHEDULE F – KEY PERSONNEL</w:t>
      </w:r>
      <w:r>
        <w:rPr>
          <w:rFonts w:ascii="Arial" w:cs="Arial" w:eastAsia="Arial" w:hAnsi="Arial"/>
          <w:color w:val="555555"/>
          <w:sz w:val="20"/>
          <w:szCs w:val="20"/>
        </w:rPr>
        <w:t xml:space="preserve">	116</w:t>
      </w:r>
    </w:p>
    <w:p>
      <w:pPr>
        <w:tabs>
          <w:tab w:val="right" w:pos="9000"/>
        </w:tabs>
        <w:spacing w:before="60" w:after="60"/>
      </w:pPr>
      <w:r>
        <w:rPr>
          <w:rFonts w:ascii="Arial" w:cs="Arial" w:eastAsia="Arial" w:hAnsi="Arial"/>
          <w:color w:val="2C2C2C"/>
          <w:sz w:val="20"/>
          <w:szCs w:val="20"/>
        </w:rPr>
        <w:t xml:space="preserve">SCHEDULE G – APPROVED SUBCONTRACTORS</w:t>
      </w:r>
      <w:r>
        <w:rPr>
          <w:rFonts w:ascii="Arial" w:cs="Arial" w:eastAsia="Arial" w:hAnsi="Arial"/>
          <w:color w:val="555555"/>
          <w:sz w:val="20"/>
          <w:szCs w:val="20"/>
        </w:rPr>
        <w:t xml:space="preserve">	118</w:t>
      </w:r>
    </w:p>
    <w:p>
      <w:pPr>
        <w:tabs>
          <w:tab w:val="right" w:pos="9000"/>
        </w:tabs>
        <w:spacing w:before="60" w:after="60"/>
      </w:pPr>
      <w:r>
        <w:rPr>
          <w:rFonts w:ascii="Arial" w:cs="Arial" w:eastAsia="Arial" w:hAnsi="Arial"/>
          <w:color w:val="2C2C2C"/>
          <w:sz w:val="20"/>
          <w:szCs w:val="20"/>
        </w:rPr>
        <w:t xml:space="preserve">SCHEDULE H – CHANGE ORDER TEMPLATE</w:t>
      </w:r>
      <w:r>
        <w:rPr>
          <w:rFonts w:ascii="Arial" w:cs="Arial" w:eastAsia="Arial" w:hAnsi="Arial"/>
          <w:color w:val="555555"/>
          <w:sz w:val="20"/>
          <w:szCs w:val="20"/>
        </w:rPr>
        <w:t xml:space="preserve">	120</w:t>
      </w:r>
    </w:p>
    <w:p>
      <w:pPr>
        <w:tabs>
          <w:tab w:val="right" w:pos="9000"/>
        </w:tabs>
        <w:spacing w:before="60" w:after="60"/>
      </w:pPr>
      <w:r>
        <w:rPr>
          <w:rFonts w:ascii="Arial" w:cs="Arial" w:eastAsia="Arial" w:hAnsi="Arial"/>
          <w:color w:val="2C2C2C"/>
          <w:sz w:val="20"/>
          <w:szCs w:val="20"/>
        </w:rPr>
        <w:t xml:space="preserve">SCHEDULE I – BUSINESS CONTINUITY PLAN</w:t>
      </w:r>
      <w:r>
        <w:rPr>
          <w:rFonts w:ascii="Arial" w:cs="Arial" w:eastAsia="Arial" w:hAnsi="Arial"/>
          <w:color w:val="555555"/>
          <w:sz w:val="20"/>
          <w:szCs w:val="20"/>
        </w:rPr>
        <w:t xml:space="preserve">	122</w:t>
      </w:r>
    </w:p>
    <w:p>
      <w:pPr>
        <w:tabs>
          <w:tab w:val="right" w:pos="9000"/>
        </w:tabs>
        <w:spacing w:before="60" w:after="60"/>
      </w:pPr>
      <w:r>
        <w:rPr>
          <w:rFonts w:ascii="Arial" w:cs="Arial" w:eastAsia="Arial" w:hAnsi="Arial"/>
          <w:color w:val="2C2C2C"/>
          <w:sz w:val="20"/>
          <w:szCs w:val="20"/>
        </w:rPr>
        <w:t xml:space="preserve">EXHIBIT 1 – SOFTWARE LICENSE TERMS</w:t>
      </w:r>
      <w:r>
        <w:rPr>
          <w:rFonts w:ascii="Arial" w:cs="Arial" w:eastAsia="Arial" w:hAnsi="Arial"/>
          <w:color w:val="555555"/>
          <w:sz w:val="20"/>
          <w:szCs w:val="20"/>
        </w:rPr>
        <w:t xml:space="preserve">	125</w:t>
      </w:r>
    </w:p>
    <w:p>
      <w:pPr>
        <w:tabs>
          <w:tab w:val="right" w:pos="9000"/>
        </w:tabs>
        <w:spacing w:before="60" w:after="60"/>
      </w:pPr>
      <w:r>
        <w:rPr>
          <w:rFonts w:ascii="Arial" w:cs="Arial" w:eastAsia="Arial" w:hAnsi="Arial"/>
          <w:color w:val="2C2C2C"/>
          <w:sz w:val="20"/>
          <w:szCs w:val="20"/>
        </w:rPr>
        <w:t xml:space="preserve">EXHIBIT 2 – TECHNICAL ARCHITECTURE OVERVIEW</w:t>
      </w:r>
      <w:r>
        <w:rPr>
          <w:rFonts w:ascii="Arial" w:cs="Arial" w:eastAsia="Arial" w:hAnsi="Arial"/>
          <w:color w:val="555555"/>
          <w:sz w:val="20"/>
          <w:szCs w:val="20"/>
        </w:rPr>
        <w:t xml:space="preserve">	128</w:t>
      </w:r>
    </w:p>
    <w:p>
      <w:r>
        <w:br w:type="page"/>
      </w:r>
    </w:p>
    <w:p>
      <w:pPr>
        <w:pStyle w:val="Heading1"/>
        <w:spacing w:before="400" w:after="200"/>
      </w:pPr>
      <w:r>
        <w:rPr>
          <w:rFonts w:ascii="Arial" w:cs="Arial" w:eastAsia="Arial" w:hAnsi="Arial"/>
          <w:b/>
          <w:bCs/>
          <w:color w:val="1F3864"/>
          <w:sz w:val="32"/>
          <w:szCs w:val="32"/>
        </w:rPr>
        <w:t xml:space="preserve">PREAMBLE AND RECITALS</w:t>
      </w:r>
    </w:p>
    <w:p>
      <w:pPr>
        <w:pBdr>
          <w:bottom w:val="single" w:color="1F3864" w:sz="6" w:space="4"/>
        </w:pBdr>
        <w:spacing w:before="200" w:after="20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THIS MASTER ENTERPRISE SERVICES AGREEMENT AND COMPREHENSIVE TECHNOLOGY PLATFORM CONTRACT (this "Agreement") is entered into as of March 12, 2024 (the "Effective Date"), by and between:</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NEXOVATE GLOBAL SOLUTIONS, INC., a corporation duly organized and existing under the laws of the State of Delaware, having its principal place of business at 1200 Enterprise Boulevard, Suite 4000, Wilmington, Delaware 19801, United States of America (hereinafter referred to as "CLIENT"), and</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TECHSPHERE INNOVATIONS, LLC, a limited liability company duly organized and existing under the laws of the State of Delaware, having its principal place of business at 500 Innovation Drive, Floor 22, San Francisco, California 94105, United States of America (hereinafter referred to as "PROVIDER").</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CLIENT and PROVIDER are sometimes referred to herein individually as a "Party" and collectively as the "Parties."</w:t>
      </w:r>
    </w:p>
    <w:p>
      <w:pPr>
        <w:spacing w:before="200" w:after="0"/>
      </w:pPr>
      <w:r>
        <w:t xml:space="preserve"/>
      </w:r>
    </w:p>
    <w:p>
      <w:pPr>
        <w:pStyle w:val="Heading2"/>
        <w:spacing w:before="300" w:after="150"/>
      </w:pPr>
      <w:r>
        <w:rPr>
          <w:rFonts w:ascii="Arial" w:cs="Arial" w:eastAsia="Arial" w:hAnsi="Arial"/>
          <w:b/>
          <w:bCs/>
          <w:color w:val="1A5276"/>
          <w:sz w:val="26"/>
          <w:szCs w:val="26"/>
        </w:rPr>
        <w:t xml:space="preserve">RECITALS</w:t>
      </w:r>
    </w:p>
    <w:p>
      <w:pPr>
        <w:spacing w:before="80" w:after="80" w:line="280"/>
        <w:jc w:val="both"/>
      </w:pPr>
      <w:r>
        <w:rPr>
          <w:rFonts w:ascii="Arial" w:cs="Arial" w:eastAsia="Arial" w:hAnsi="Arial"/>
          <w:b w:val="false"/>
          <w:bCs w:val="false"/>
          <w:i w:val="false"/>
          <w:iCs w:val="false"/>
          <w:color w:val="2C2C2C"/>
          <w:sz w:val="20"/>
          <w:szCs w:val="20"/>
        </w:rPr>
        <w:t xml:space="preserve">WHEREAS, CLIENT is a global enterprise solutions company engaged in the provision of integrated business services across forty-seven (47) countries, employing approximately 128,000 persons worldwide, and generating annual revenues in excess of USD $8.4 billion;</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WHEREAS, PROVIDER is a leading technology innovation company specializing in enterprise-grade software platforms, artificial intelligence solutions, cloud infrastructure services, and managed technology services, with demonstrated expertise in delivering large-scale digital transformation initiatives;</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WHEREAS, CLIENT desires to engage PROVIDER to supply, implement, license, and support a comprehensive technology platform encompassing enterprise resource planning integration, AI-driven analytics, cybersecurity infrastructure, cloud migration services, and end-user experience platforms across CLIENT's global operations;</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WHEREAS, PROVIDER has represented that it possesses the technical capability, organizational capacity, certified expertise, and financial stability necessary to perform the Services as described herein, and CLIENT has relied upon such representations in entering into this Agreement;</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WHEREAS, the Parties desire to establish the terms and conditions governing their comprehensive commercial relationship, including without limitation the licensing of PROVIDER's proprietary technology platform, the provision of professional services, the support and maintenance obligations, and the data processing arrangements that will govern the handling of CLIENT's sensitive business information;</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WHEREAS, the Parties acknowledge that this Agreement supersedes and replaces all prior agreements, discussions, representations, and understandings between the Parties relating to the subject matter hereof, including without limitation that certain Letter of Intent dated September 15, 2023, and that certain Non-Disclosure Agreement dated October 3, 2023;</w:t>
      </w:r>
    </w:p>
    <w:p>
      <w:pPr>
        <w:spacing w:before="100" w:after="0"/>
      </w:pPr>
      <w:r>
        <w:t xml:space="preserve"/>
      </w:r>
    </w:p>
    <w:p>
      <w:pPr>
        <w:spacing w:before="80" w:after="80" w:line="280"/>
        <w:jc w:val="both"/>
      </w:pPr>
      <w:r>
        <w:rPr>
          <w:rFonts w:ascii="Arial" w:cs="Arial" w:eastAsia="Arial" w:hAnsi="Arial"/>
          <w:b/>
          <w:bCs/>
          <w:i w:val="false"/>
          <w:iCs w:val="false"/>
          <w:color w:val="1F3864"/>
          <w:sz w:val="20"/>
          <w:szCs w:val="20"/>
        </w:rPr>
        <w:t xml:space="preserve">NOW, THEREFORE, in consideration of the mutual covenants, promises, and obligations set forth herein, and for other good and valuable consideration, the receipt and sufficiency of which are hereby acknowledged, the Parties agree as follows:</w:t>
      </w:r>
    </w:p>
    <w:p>
      <w:r>
        <w:br w:type="page"/>
      </w:r>
    </w:p>
    <w:p>
      <w:pPr>
        <w:pStyle w:val="Heading1"/>
        <w:spacing w:before="400" w:after="200"/>
      </w:pPr>
      <w:r>
        <w:rPr>
          <w:rFonts w:ascii="Arial" w:cs="Arial" w:eastAsia="Arial" w:hAnsi="Arial"/>
          <w:b/>
          <w:bCs/>
          <w:color w:val="1F3864"/>
          <w:sz w:val="32"/>
          <w:szCs w:val="32"/>
        </w:rPr>
        <w:t xml:space="preserve">ARTICLE 1: DEFINITIONS AND INTERPRETATION</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1.1 Defined Terms</w:t>
      </w:r>
    </w:p>
    <w:p>
      <w:pPr>
        <w:spacing w:before="80" w:after="80" w:line="280"/>
        <w:jc w:val="both"/>
      </w:pPr>
      <w:r>
        <w:rPr>
          <w:rFonts w:ascii="Arial" w:cs="Arial" w:eastAsia="Arial" w:hAnsi="Arial"/>
          <w:b w:val="false"/>
          <w:bCs w:val="false"/>
          <w:i w:val="false"/>
          <w:iCs w:val="false"/>
          <w:color w:val="2C2C2C"/>
          <w:sz w:val="20"/>
          <w:szCs w:val="20"/>
        </w:rPr>
        <w:t xml:space="preserve">For purposes of this Agreement, the following terms shall have the meanings ascribed to them below. Capitalized terms not defined in this Article shall have the meanings ascribed to them elsewhere in this Agreement or its Schedules and Exhibits.</w:t>
      </w:r>
    </w:p>
    <w:p>
      <w:pPr>
        <w:spacing w:before="100" w:after="0"/>
      </w:pPr>
      <w:r>
        <w:t xml:space="preserve"/>
      </w:r>
    </w:p>
    <w:p>
      <w:pPr>
        <w:spacing w:before="80" w:after="80" w:line="260"/>
        <w:ind w:left="720" w:hanging="720"/>
      </w:pPr>
      <w:r>
        <w:rPr>
          <w:rFonts w:ascii="Arial" w:cs="Arial" w:eastAsia="Arial" w:hAnsi="Arial"/>
          <w:b/>
          <w:bCs/>
          <w:color w:val="1F3864"/>
          <w:sz w:val="20"/>
          <w:szCs w:val="20"/>
        </w:rPr>
        <w:t xml:space="preserve">"Affiliate"</w:t>
      </w:r>
      <w:r>
        <w:rPr>
          <w:rFonts w:ascii="Arial" w:cs="Arial" w:eastAsia="Arial" w:hAnsi="Arial"/>
          <w:color w:val="2C2C2C"/>
          <w:sz w:val="20"/>
          <w:szCs w:val="20"/>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or policies of an entity, whether through the ownership of voting securities, by contract, or otherwise; provided that such control must involve at least fifty percent (50%) of the voting rights or equity interests of such entity.</w:t>
      </w:r>
    </w:p>
    <w:p>
      <w:pPr>
        <w:spacing w:before="80" w:after="80" w:line="260"/>
        <w:ind w:left="720" w:hanging="720"/>
      </w:pPr>
      <w:r>
        <w:rPr>
          <w:rFonts w:ascii="Arial" w:cs="Arial" w:eastAsia="Arial" w:hAnsi="Arial"/>
          <w:b/>
          <w:bCs/>
          <w:color w:val="1F3864"/>
          <w:sz w:val="20"/>
          <w:szCs w:val="20"/>
        </w:rPr>
        <w:t xml:space="preserve">"Agreement"</w:t>
      </w:r>
      <w:r>
        <w:rPr>
          <w:rFonts w:ascii="Arial" w:cs="Arial" w:eastAsia="Arial" w:hAnsi="Arial"/>
          <w:color w:val="2C2C2C"/>
          <w:sz w:val="20"/>
          <w:szCs w:val="20"/>
        </w:rPr>
        <w:t xml:space="preserve"> means this Master Enterprise Services Agreement and Comprehensive Technology Platform Contract, including all Schedules, Exhibits, Appendices, Statements of Work, Change Orders, and other documents incorporated herein by reference, as each may be amended, supplemented, or restated from time to time in accordance with the terms hereof.</w:t>
      </w:r>
    </w:p>
    <w:p>
      <w:pPr>
        <w:spacing w:before="80" w:after="80" w:line="260"/>
        <w:ind w:left="720" w:hanging="720"/>
      </w:pPr>
      <w:r>
        <w:rPr>
          <w:rFonts w:ascii="Arial" w:cs="Arial" w:eastAsia="Arial" w:hAnsi="Arial"/>
          <w:b/>
          <w:bCs/>
          <w:color w:val="1F3864"/>
          <w:sz w:val="20"/>
          <w:szCs w:val="20"/>
        </w:rPr>
        <w:t xml:space="preserve">"Applicable Law"</w:t>
      </w:r>
      <w:r>
        <w:rPr>
          <w:rFonts w:ascii="Arial" w:cs="Arial" w:eastAsia="Arial" w:hAnsi="Arial"/>
          <w:color w:val="2C2C2C"/>
          <w:sz w:val="20"/>
          <w:szCs w:val="20"/>
        </w:rPr>
        <w:t xml:space="preserve"> means all laws, statutes, regulations, rules, ordinances, codes, directives, orders, decrees, judgments, injunctions, and other requirements of any Governmental Authority having jurisdiction over either Party, the Services, the Platform, or the subject matter of this Agreement, including without limitation those relating to data protection, privacy, export controls, anti-bribery, anti-money laundering, employment, environmental protection, and industry-specific regulations.</w:t>
      </w:r>
    </w:p>
    <w:p>
      <w:pPr>
        <w:spacing w:before="80" w:after="80" w:line="260"/>
        <w:ind w:left="720" w:hanging="720"/>
      </w:pPr>
      <w:r>
        <w:rPr>
          <w:rFonts w:ascii="Arial" w:cs="Arial" w:eastAsia="Arial" w:hAnsi="Arial"/>
          <w:b/>
          <w:bCs/>
          <w:color w:val="1F3864"/>
          <w:sz w:val="20"/>
          <w:szCs w:val="20"/>
        </w:rPr>
        <w:t xml:space="preserve">"Authorized Users"</w:t>
      </w:r>
      <w:r>
        <w:rPr>
          <w:rFonts w:ascii="Arial" w:cs="Arial" w:eastAsia="Arial" w:hAnsi="Arial"/>
          <w:color w:val="2C2C2C"/>
          <w:sz w:val="20"/>
          <w:szCs w:val="20"/>
        </w:rPr>
        <w:t xml:space="preserve"> means CLIENT's employees, contractors, and agents who are authorized by CLIENT to access and use the Platform and Services in accordance with this Agreement and any applicable Statements of Work, provided that PROVIDER has issued valid access credentials to such individuals and such individuals have agreed to the applicable end-user terms and conditions.</w:t>
      </w:r>
    </w:p>
    <w:p>
      <w:pPr>
        <w:spacing w:before="80" w:after="80" w:line="260"/>
        <w:ind w:left="720" w:hanging="720"/>
      </w:pPr>
      <w:r>
        <w:rPr>
          <w:rFonts w:ascii="Arial" w:cs="Arial" w:eastAsia="Arial" w:hAnsi="Arial"/>
          <w:b/>
          <w:bCs/>
          <w:color w:val="1F3864"/>
          <w:sz w:val="20"/>
          <w:szCs w:val="20"/>
        </w:rPr>
        <w:t xml:space="preserve">"Business Continuity Plan"</w:t>
      </w:r>
      <w:r>
        <w:rPr>
          <w:rFonts w:ascii="Arial" w:cs="Arial" w:eastAsia="Arial" w:hAnsi="Arial"/>
          <w:color w:val="2C2C2C"/>
          <w:sz w:val="20"/>
          <w:szCs w:val="20"/>
        </w:rPr>
        <w:t xml:space="preserve"> means the comprehensive plan developed and maintained by PROVIDER, as described in Schedule I, for the purpose of ensuring the continued provision of Services during and following any Business Disruption Event, including without limitation detailed recovery time objectives, recovery point objectives, failover procedures, emergency communication protocols, and tested restoration procedures.</w:t>
      </w:r>
    </w:p>
    <w:p>
      <w:pPr>
        <w:spacing w:before="80" w:after="80" w:line="260"/>
        <w:ind w:left="720" w:hanging="720"/>
      </w:pPr>
      <w:r>
        <w:rPr>
          <w:rFonts w:ascii="Arial" w:cs="Arial" w:eastAsia="Arial" w:hAnsi="Arial"/>
          <w:b/>
          <w:bCs/>
          <w:color w:val="1F3864"/>
          <w:sz w:val="20"/>
          <w:szCs w:val="20"/>
        </w:rPr>
        <w:t xml:space="preserve">"Change Order"</w:t>
      </w:r>
      <w:r>
        <w:rPr>
          <w:rFonts w:ascii="Arial" w:cs="Arial" w:eastAsia="Arial" w:hAnsi="Arial"/>
          <w:color w:val="2C2C2C"/>
          <w:sz w:val="20"/>
          <w:szCs w:val="20"/>
        </w:rPr>
        <w:t xml:space="preserve"> means a written document executed by authorized representatives of both Parties that modifies the scope, timeline, Fees, or other terms of an existing Statement of Work in accordance with the change management procedures set forth in Article 19 of this Agreement.</w:t>
      </w:r>
    </w:p>
    <w:p>
      <w:pPr>
        <w:spacing w:before="80" w:after="80" w:line="260"/>
        <w:ind w:left="720" w:hanging="720"/>
      </w:pPr>
      <w:r>
        <w:rPr>
          <w:rFonts w:ascii="Arial" w:cs="Arial" w:eastAsia="Arial" w:hAnsi="Arial"/>
          <w:b/>
          <w:bCs/>
          <w:color w:val="1F3864"/>
          <w:sz w:val="20"/>
          <w:szCs w:val="20"/>
        </w:rPr>
        <w:t xml:space="preserve">"Confidential Information"</w:t>
      </w:r>
      <w:r>
        <w:rPr>
          <w:rFonts w:ascii="Arial" w:cs="Arial" w:eastAsia="Arial" w:hAnsi="Arial"/>
          <w:color w:val="2C2C2C"/>
          <w:sz w:val="20"/>
          <w:szCs w:val="20"/>
        </w:rPr>
        <w:t xml:space="preserve"> has the meaning ascribed to it in Article 10 of this Agreement, and includes without limitation all non-public technical, business, financial, operational, strategic, and personal information disclosed by or on behalf of one Party (the "Disclosing Party") to the other Party (the "Receiving Party") in connection with this Agreement.</w:t>
      </w:r>
    </w:p>
    <w:p>
      <w:pPr>
        <w:spacing w:before="80" w:after="80" w:line="260"/>
        <w:ind w:left="720" w:hanging="720"/>
      </w:pPr>
      <w:r>
        <w:rPr>
          <w:rFonts w:ascii="Arial" w:cs="Arial" w:eastAsia="Arial" w:hAnsi="Arial"/>
          <w:b/>
          <w:bCs/>
          <w:color w:val="1F3864"/>
          <w:sz w:val="20"/>
          <w:szCs w:val="20"/>
        </w:rPr>
        <w:t xml:space="preserve">"Critical Defect"</w:t>
      </w:r>
      <w:r>
        <w:rPr>
          <w:rFonts w:ascii="Arial" w:cs="Arial" w:eastAsia="Arial" w:hAnsi="Arial"/>
          <w:color w:val="2C2C2C"/>
          <w:sz w:val="20"/>
          <w:szCs w:val="20"/>
        </w:rPr>
        <w:t xml:space="preserve"> means any defect, error, bug, or malfunction in the Platform or Services that renders the Platform wholly or substantially unusable, causes material loss of data, creates a significant security vulnerability, or prevents CLIENT from conducting its core business operations, and for which PROVIDER must initiate remediation within fifteen (15) minutes of notification.</w:t>
      </w:r>
    </w:p>
    <w:p>
      <w:pPr>
        <w:spacing w:before="80" w:after="80" w:line="260"/>
        <w:ind w:left="720" w:hanging="720"/>
      </w:pPr>
      <w:r>
        <w:rPr>
          <w:rFonts w:ascii="Arial" w:cs="Arial" w:eastAsia="Arial" w:hAnsi="Arial"/>
          <w:b/>
          <w:bCs/>
          <w:color w:val="1F3864"/>
          <w:sz w:val="20"/>
          <w:szCs w:val="20"/>
        </w:rPr>
        <w:t xml:space="preserve">"Data Processing Agreement"</w:t>
      </w:r>
      <w:r>
        <w:rPr>
          <w:rFonts w:ascii="Arial" w:cs="Arial" w:eastAsia="Arial" w:hAnsi="Arial"/>
          <w:color w:val="2C2C2C"/>
          <w:sz w:val="20"/>
          <w:szCs w:val="20"/>
        </w:rPr>
        <w:t xml:space="preserve"> means the agreement set forth in Schedule D, which governs PROVIDER's processing of CLIENT Personal Data and constitutes an integral part of this Agreement, and which shall be interpreted in accordance with Applicable Law including without limitation the General Data Protection Regulation (EU) 2016/679, the California Consumer Privacy Act, and other applicable data protection legislation.</w:t>
      </w:r>
    </w:p>
    <w:p>
      <w:pPr>
        <w:spacing w:before="80" w:after="80" w:line="260"/>
        <w:ind w:left="720" w:hanging="720"/>
      </w:pPr>
      <w:r>
        <w:rPr>
          <w:rFonts w:ascii="Arial" w:cs="Arial" w:eastAsia="Arial" w:hAnsi="Arial"/>
          <w:b/>
          <w:bCs/>
          <w:color w:val="1F3864"/>
          <w:sz w:val="20"/>
          <w:szCs w:val="20"/>
        </w:rPr>
        <w:t xml:space="preserve">"Deliverable"</w:t>
      </w:r>
      <w:r>
        <w:rPr>
          <w:rFonts w:ascii="Arial" w:cs="Arial" w:eastAsia="Arial" w:hAnsi="Arial"/>
          <w:color w:val="2C2C2C"/>
          <w:sz w:val="20"/>
          <w:szCs w:val="20"/>
        </w:rPr>
        <w:t xml:space="preserve"> means any work product, software, documentation, report, analysis, data set, code, design, specification, prototype, or other tangible output that PROVIDER is required to produce and deliver to CLIENT pursuant to a Statement of Work, whether in electronic, digital, physical, or other form.</w:t>
      </w:r>
    </w:p>
    <w:p>
      <w:pPr>
        <w:spacing w:before="80" w:after="80" w:line="260"/>
        <w:ind w:left="720" w:hanging="720"/>
      </w:pPr>
      <w:r>
        <w:rPr>
          <w:rFonts w:ascii="Arial" w:cs="Arial" w:eastAsia="Arial" w:hAnsi="Arial"/>
          <w:b/>
          <w:bCs/>
          <w:color w:val="1F3864"/>
          <w:sz w:val="20"/>
          <w:szCs w:val="20"/>
        </w:rPr>
        <w:t xml:space="preserve">"Documentation"</w:t>
      </w:r>
      <w:r>
        <w:rPr>
          <w:rFonts w:ascii="Arial" w:cs="Arial" w:eastAsia="Arial" w:hAnsi="Arial"/>
          <w:color w:val="2C2C2C"/>
          <w:sz w:val="20"/>
          <w:szCs w:val="20"/>
        </w:rPr>
        <w:t xml:space="preserve"> means all technical and user documentation, manuals, guides, specifications, API references, release notes, training materials, and other written or electronic materials provided by PROVIDER in connection with the Platform and Services, as updated from time to time by PROVIDER in accordance with this Agreement.</w:t>
      </w:r>
    </w:p>
    <w:p>
      <w:pPr>
        <w:spacing w:before="80" w:after="80" w:line="260"/>
        <w:ind w:left="720" w:hanging="720"/>
      </w:pPr>
      <w:r>
        <w:rPr>
          <w:rFonts w:ascii="Arial" w:cs="Arial" w:eastAsia="Arial" w:hAnsi="Arial"/>
          <w:b/>
          <w:bCs/>
          <w:color w:val="1F3864"/>
          <w:sz w:val="20"/>
          <w:szCs w:val="20"/>
        </w:rPr>
        <w:t xml:space="preserve">"Effective Date"</w:t>
      </w:r>
      <w:r>
        <w:rPr>
          <w:rFonts w:ascii="Arial" w:cs="Arial" w:eastAsia="Arial" w:hAnsi="Arial"/>
          <w:color w:val="2C2C2C"/>
          <w:sz w:val="20"/>
          <w:szCs w:val="20"/>
        </w:rPr>
        <w:t xml:space="preserve"> has the meaning set forth in the preamble of this Agreement, being March 12, 2024, which date shall govern the commencement of all rights, obligations, and responsibilities of the Parties under this Agreement, including without limitation the commencement of the initial Term.</w:t>
      </w:r>
    </w:p>
    <w:p>
      <w:pPr>
        <w:spacing w:before="80" w:after="80" w:line="260"/>
        <w:ind w:left="720" w:hanging="720"/>
      </w:pPr>
      <w:r>
        <w:rPr>
          <w:rFonts w:ascii="Arial" w:cs="Arial" w:eastAsia="Arial" w:hAnsi="Arial"/>
          <w:b/>
          <w:bCs/>
          <w:color w:val="1F3864"/>
          <w:sz w:val="20"/>
          <w:szCs w:val="20"/>
        </w:rPr>
        <w:t xml:space="preserve">"Enterprise Platform"</w:t>
      </w:r>
      <w:r>
        <w:rPr>
          <w:rFonts w:ascii="Arial" w:cs="Arial" w:eastAsia="Arial" w:hAnsi="Arial"/>
          <w:color w:val="2C2C2C"/>
          <w:sz w:val="20"/>
          <w:szCs w:val="20"/>
        </w:rPr>
        <w:t xml:space="preserve"> or "Platform" means PROVIDER's proprietary software platform designated as TechSphere Enterprise Suite version 8.x and subsequent versions, including all modules, components, APIs, integration connectors, mobile applications, web interfaces, administrative consoles, analytics dashboards, reporting tools, artificial intelligence and machine learning engines, and associated firmware, as more fully described in Schedule A and Exhibit 2.</w:t>
      </w:r>
    </w:p>
    <w:p>
      <w:pPr>
        <w:spacing w:before="80" w:after="80" w:line="260"/>
        <w:ind w:left="720" w:hanging="720"/>
      </w:pPr>
      <w:r>
        <w:rPr>
          <w:rFonts w:ascii="Arial" w:cs="Arial" w:eastAsia="Arial" w:hAnsi="Arial"/>
          <w:b/>
          <w:bCs/>
          <w:color w:val="1F3864"/>
          <w:sz w:val="20"/>
          <w:szCs w:val="20"/>
        </w:rPr>
        <w:t xml:space="preserve">"Error Correction"</w:t>
      </w:r>
      <w:r>
        <w:rPr>
          <w:rFonts w:ascii="Arial" w:cs="Arial" w:eastAsia="Arial" w:hAnsi="Arial"/>
          <w:color w:val="2C2C2C"/>
          <w:sz w:val="20"/>
          <w:szCs w:val="20"/>
        </w:rPr>
        <w:t xml:space="preserve"> means the identification of the root cause of a Defect and the provision of a patch, workaround, configuration change, or new software version that resolves or mitigates the Defect to CLIENT's reasonable satisfaction, including regression testing to ensure that the Error Correction does not introduce additional defects.</w:t>
      </w:r>
    </w:p>
    <w:p>
      <w:pPr>
        <w:spacing w:before="80" w:after="80" w:line="260"/>
        <w:ind w:left="720" w:hanging="720"/>
      </w:pPr>
      <w:r>
        <w:rPr>
          <w:rFonts w:ascii="Arial" w:cs="Arial" w:eastAsia="Arial" w:hAnsi="Arial"/>
          <w:b/>
          <w:bCs/>
          <w:color w:val="1F3864"/>
          <w:sz w:val="20"/>
          <w:szCs w:val="20"/>
        </w:rPr>
        <w:t xml:space="preserve">"Fees"</w:t>
      </w:r>
      <w:r>
        <w:rPr>
          <w:rFonts w:ascii="Arial" w:cs="Arial" w:eastAsia="Arial" w:hAnsi="Arial"/>
          <w:color w:val="2C2C2C"/>
          <w:sz w:val="20"/>
          <w:szCs w:val="20"/>
        </w:rPr>
        <w:t xml:space="preserve"> means all amounts payable by CLIENT to PROVIDER under this Agreement, including without limitation license fees, implementation fees, professional services fees, maintenance and support fees, infrastructure charges, pass-through costs, and any other charges specifically identified as payable in Schedule B.</w:t>
      </w:r>
    </w:p>
    <w:p>
      <w:pPr>
        <w:spacing w:before="80" w:after="80" w:line="260"/>
        <w:ind w:left="720" w:hanging="720"/>
      </w:pPr>
      <w:r>
        <w:rPr>
          <w:rFonts w:ascii="Arial" w:cs="Arial" w:eastAsia="Arial" w:hAnsi="Arial"/>
          <w:b/>
          <w:bCs/>
          <w:color w:val="1F3864"/>
          <w:sz w:val="20"/>
          <w:szCs w:val="20"/>
        </w:rPr>
        <w:t xml:space="preserve">"Force Majeure Event"</w:t>
      </w:r>
      <w:r>
        <w:rPr>
          <w:rFonts w:ascii="Arial" w:cs="Arial" w:eastAsia="Arial" w:hAnsi="Arial"/>
          <w:color w:val="2C2C2C"/>
          <w:sz w:val="20"/>
          <w:szCs w:val="20"/>
        </w:rPr>
        <w:t xml:space="preserve"> has the meaning ascribed to it in Article 21 of this Agreement, being any event, circumstance, or occurrence beyond the reasonable control of the affected Party that prevents, hinders, or delays the performance of that Party's obligations, provided that such event was not reasonably foreseeable at the time of executing this Agreement.</w:t>
      </w:r>
    </w:p>
    <w:p>
      <w:pPr>
        <w:spacing w:before="80" w:after="80" w:line="260"/>
        <w:ind w:left="720" w:hanging="720"/>
      </w:pPr>
      <w:r>
        <w:rPr>
          <w:rFonts w:ascii="Arial" w:cs="Arial" w:eastAsia="Arial" w:hAnsi="Arial"/>
          <w:b/>
          <w:bCs/>
          <w:color w:val="1F3864"/>
          <w:sz w:val="20"/>
          <w:szCs w:val="20"/>
        </w:rPr>
        <w:t xml:space="preserve">"Go-Live Date"</w:t>
      </w:r>
      <w:r>
        <w:rPr>
          <w:rFonts w:ascii="Arial" w:cs="Arial" w:eastAsia="Arial" w:hAnsi="Arial"/>
          <w:color w:val="2C2C2C"/>
          <w:sz w:val="20"/>
          <w:szCs w:val="20"/>
        </w:rPr>
        <w:t xml:space="preserve"> means the date on which the Platform or a specified component thereof has been successfully implemented, tested, accepted, and placed into production use by CLIENT following completion of all applicable Acceptance Testing, as confirmed in writing by CLIENT's designated Project Manager.</w:t>
      </w:r>
    </w:p>
    <w:p>
      <w:pPr>
        <w:spacing w:before="80" w:after="80" w:line="260"/>
        <w:ind w:left="720" w:hanging="720"/>
      </w:pPr>
      <w:r>
        <w:rPr>
          <w:rFonts w:ascii="Arial" w:cs="Arial" w:eastAsia="Arial" w:hAnsi="Arial"/>
          <w:b/>
          <w:bCs/>
          <w:color w:val="1F3864"/>
          <w:sz w:val="20"/>
          <w:szCs w:val="20"/>
        </w:rPr>
        <w:t xml:space="preserve">"Governmental Authority"</w:t>
      </w:r>
      <w:r>
        <w:rPr>
          <w:rFonts w:ascii="Arial" w:cs="Arial" w:eastAsia="Arial" w:hAnsi="Arial"/>
          <w:color w:val="2C2C2C"/>
          <w:sz w:val="20"/>
          <w:szCs w:val="20"/>
        </w:rPr>
        <w:t xml:space="preserve"> means any federal, state, provincial, municipal, local, or foreign government or governmental body, any regulatory or administrative agency, authority, board, bureau, commission, department, instrumentality, or political subdivision thereof, and any court, tribunal, or arbitral body having jurisdiction over the subject matter.</w:t>
      </w:r>
    </w:p>
    <w:p>
      <w:pPr>
        <w:spacing w:before="80" w:after="80" w:line="260"/>
        <w:ind w:left="720" w:hanging="720"/>
      </w:pPr>
      <w:r>
        <w:rPr>
          <w:rFonts w:ascii="Arial" w:cs="Arial" w:eastAsia="Arial" w:hAnsi="Arial"/>
          <w:b/>
          <w:bCs/>
          <w:color w:val="1F3864"/>
          <w:sz w:val="20"/>
          <w:szCs w:val="20"/>
        </w:rPr>
        <w:t xml:space="preserve">"Implementation Plan"</w:t>
      </w:r>
      <w:r>
        <w:rPr>
          <w:rFonts w:ascii="Arial" w:cs="Arial" w:eastAsia="Arial" w:hAnsi="Arial"/>
          <w:color w:val="2C2C2C"/>
          <w:sz w:val="20"/>
          <w:szCs w:val="20"/>
        </w:rPr>
        <w:t xml:space="preserve"> means the detailed project plan, milestone schedule, resource allocation plan, risk register, testing strategy, and deployment roadmap developed jointly by the Parties and approved by both Parties' Project Managers, as described in Section 4.1 and Schedule A of this Agreement.</w:t>
      </w:r>
    </w:p>
    <w:p>
      <w:pPr>
        <w:spacing w:before="80" w:after="80" w:line="260"/>
        <w:ind w:left="720" w:hanging="720"/>
      </w:pPr>
      <w:r>
        <w:rPr>
          <w:rFonts w:ascii="Arial" w:cs="Arial" w:eastAsia="Arial" w:hAnsi="Arial"/>
          <w:b/>
          <w:bCs/>
          <w:color w:val="1F3864"/>
          <w:sz w:val="20"/>
          <w:szCs w:val="20"/>
        </w:rPr>
        <w:t xml:space="preserve">"Intellectual Property Rights"</w:t>
      </w:r>
      <w:r>
        <w:rPr>
          <w:rFonts w:ascii="Arial" w:cs="Arial" w:eastAsia="Arial" w:hAnsi="Arial"/>
          <w:color w:val="2C2C2C"/>
          <w:sz w:val="20"/>
          <w:szCs w:val="20"/>
        </w:rPr>
        <w:t xml:space="preserve"> means all present and future rights in and to patents, utility models, trade secrets, know-how, copyrights, moral rights, database rights, design rights, trademarks, service marks, trade names, domain names, semiconductor topography rights, and any other proprietary rights recognized under Applicable Law, whether registered or unregistered, and including all applications, extensions, renewals, and continuations of the foregoing.</w:t>
      </w:r>
    </w:p>
    <w:p>
      <w:pPr>
        <w:spacing w:before="80" w:after="80" w:line="260"/>
        <w:ind w:left="720" w:hanging="720"/>
      </w:pPr>
      <w:r>
        <w:rPr>
          <w:rFonts w:ascii="Arial" w:cs="Arial" w:eastAsia="Arial" w:hAnsi="Arial"/>
          <w:b/>
          <w:bCs/>
          <w:color w:val="1F3864"/>
          <w:sz w:val="20"/>
          <w:szCs w:val="20"/>
        </w:rPr>
        <w:t xml:space="preserve">"Maintenance Window"</w:t>
      </w:r>
      <w:r>
        <w:rPr>
          <w:rFonts w:ascii="Arial" w:cs="Arial" w:eastAsia="Arial" w:hAnsi="Arial"/>
          <w:color w:val="2C2C2C"/>
          <w:sz w:val="20"/>
          <w:szCs w:val="20"/>
        </w:rPr>
        <w:t xml:space="preserve"> means the scheduled period during which PROVIDER may perform system maintenance, upgrades, patches, and other technical operations that may cause temporary interruption or degradation of Platform availability, as set forth in Schedule C, and which shall not exceed eight (8) hours per month without CLIENT's prior written approval.</w:t>
      </w:r>
    </w:p>
    <w:p>
      <w:pPr>
        <w:spacing w:before="80" w:after="80" w:line="260"/>
        <w:ind w:left="720" w:hanging="720"/>
      </w:pPr>
      <w:r>
        <w:rPr>
          <w:rFonts w:ascii="Arial" w:cs="Arial" w:eastAsia="Arial" w:hAnsi="Arial"/>
          <w:b/>
          <w:bCs/>
          <w:color w:val="1F3864"/>
          <w:sz w:val="20"/>
          <w:szCs w:val="20"/>
        </w:rPr>
        <w:t xml:space="preserve">"Personal Data"</w:t>
      </w:r>
      <w:r>
        <w:rPr>
          <w:rFonts w:ascii="Arial" w:cs="Arial" w:eastAsia="Arial" w:hAnsi="Arial"/>
          <w:color w:val="2C2C2C"/>
          <w:sz w:val="20"/>
          <w:szCs w:val="20"/>
        </w:rPr>
        <w:t xml:space="preserve"> means any information relating to an identified or identifiable natural person as defined under Applicable Law, including without limitation information subject to the General Data Protection Regulation, the California Consumer Privacy Act, and other applicable privacy legislation, which is processed by PROVIDER on behalf of CLIENT in connection with this Agreement.</w:t>
      </w:r>
    </w:p>
    <w:p>
      <w:pPr>
        <w:spacing w:before="80" w:after="80" w:line="260"/>
        <w:ind w:left="720" w:hanging="720"/>
      </w:pPr>
      <w:r>
        <w:rPr>
          <w:rFonts w:ascii="Arial" w:cs="Arial" w:eastAsia="Arial" w:hAnsi="Arial"/>
          <w:b/>
          <w:bCs/>
          <w:color w:val="1F3864"/>
          <w:sz w:val="20"/>
          <w:szCs w:val="20"/>
        </w:rPr>
        <w:t xml:space="preserve">"Platform Availability"</w:t>
      </w:r>
      <w:r>
        <w:rPr>
          <w:rFonts w:ascii="Arial" w:cs="Arial" w:eastAsia="Arial" w:hAnsi="Arial"/>
          <w:color w:val="2C2C2C"/>
          <w:sz w:val="20"/>
          <w:szCs w:val="20"/>
        </w:rPr>
        <w:t xml:space="preserve"> means the percentage of time during a given measurement period during which the Platform is accessible and fully functional for Authorized Users, excluding planned Maintenance Windows, Force Majeure Events, and outages caused by CLIENT's acts or omissions, calculated in accordance with the methodology set forth in Schedule C.</w:t>
      </w:r>
    </w:p>
    <w:p>
      <w:pPr>
        <w:spacing w:before="80" w:after="80" w:line="260"/>
        <w:ind w:left="720" w:hanging="720"/>
      </w:pPr>
      <w:r>
        <w:rPr>
          <w:rFonts w:ascii="Arial" w:cs="Arial" w:eastAsia="Arial" w:hAnsi="Arial"/>
          <w:b/>
          <w:bCs/>
          <w:color w:val="1F3864"/>
          <w:sz w:val="20"/>
          <w:szCs w:val="20"/>
        </w:rPr>
        <w:t xml:space="preserve">"Project Manager"</w:t>
      </w:r>
      <w:r>
        <w:rPr>
          <w:rFonts w:ascii="Arial" w:cs="Arial" w:eastAsia="Arial" w:hAnsi="Arial"/>
          <w:color w:val="2C2C2C"/>
          <w:sz w:val="20"/>
          <w:szCs w:val="20"/>
        </w:rPr>
        <w:t xml:space="preserve"> means the designated individual appointed by each Party to serve as the primary point of contact for day-to-day management, communication, coordination, and decision-making in connection with the implementation and ongoing provision of the Services.</w:t>
      </w:r>
    </w:p>
    <w:p>
      <w:pPr>
        <w:spacing w:before="80" w:after="80" w:line="260"/>
        <w:ind w:left="720" w:hanging="720"/>
      </w:pPr>
      <w:r>
        <w:rPr>
          <w:rFonts w:ascii="Arial" w:cs="Arial" w:eastAsia="Arial" w:hAnsi="Arial"/>
          <w:b/>
          <w:bCs/>
          <w:color w:val="1F3864"/>
          <w:sz w:val="20"/>
          <w:szCs w:val="20"/>
        </w:rPr>
        <w:t xml:space="preserve">"Security Incident"</w:t>
      </w:r>
      <w:r>
        <w:rPr>
          <w:rFonts w:ascii="Arial" w:cs="Arial" w:eastAsia="Arial" w:hAnsi="Arial"/>
          <w:color w:val="2C2C2C"/>
          <w:sz w:val="20"/>
          <w:szCs w:val="20"/>
        </w:rPr>
        <w:t xml:space="preserve"> means any actual or reasonably suspected unauthorized access to, use, disclosure, modification, destruction, or loss of CLIENT's data, systems, or networks; any breach of security safeguards required under this Agreement; or any event that compromises or may compromise the confidentiality, integrity, or availability of CLIENT's information assets.</w:t>
      </w:r>
    </w:p>
    <w:p>
      <w:pPr>
        <w:spacing w:before="80" w:after="80" w:line="260"/>
        <w:ind w:left="720" w:hanging="720"/>
      </w:pPr>
      <w:r>
        <w:rPr>
          <w:rFonts w:ascii="Arial" w:cs="Arial" w:eastAsia="Arial" w:hAnsi="Arial"/>
          <w:b/>
          <w:bCs/>
          <w:color w:val="1F3864"/>
          <w:sz w:val="20"/>
          <w:szCs w:val="20"/>
        </w:rPr>
        <w:t xml:space="preserve">"Service Credits"</w:t>
      </w:r>
      <w:r>
        <w:rPr>
          <w:rFonts w:ascii="Arial" w:cs="Arial" w:eastAsia="Arial" w:hAnsi="Arial"/>
          <w:color w:val="2C2C2C"/>
          <w:sz w:val="20"/>
          <w:szCs w:val="20"/>
        </w:rPr>
        <w:t xml:space="preserve"> means the credits applied to CLIENT's invoices as compensation for PROVIDER's failure to meet the applicable Service Level requirements set forth in Schedule C, calculated in accordance with the credit methodology described therein, and representing CLIENT's exclusive remedy for such failures except in cases of material or persistent breach.</w:t>
      </w:r>
    </w:p>
    <w:p>
      <w:pPr>
        <w:spacing w:before="80" w:after="80" w:line="260"/>
        <w:ind w:left="720" w:hanging="720"/>
      </w:pPr>
      <w:r>
        <w:rPr>
          <w:rFonts w:ascii="Arial" w:cs="Arial" w:eastAsia="Arial" w:hAnsi="Arial"/>
          <w:b/>
          <w:bCs/>
          <w:color w:val="1F3864"/>
          <w:sz w:val="20"/>
          <w:szCs w:val="20"/>
        </w:rPr>
        <w:t xml:space="preserve">"Service Level Agreement"</w:t>
      </w:r>
      <w:r>
        <w:rPr>
          <w:rFonts w:ascii="Arial" w:cs="Arial" w:eastAsia="Arial" w:hAnsi="Arial"/>
          <w:color w:val="2C2C2C"/>
          <w:sz w:val="20"/>
          <w:szCs w:val="20"/>
        </w:rPr>
        <w:t xml:space="preserve"> or "SLA" means the specific, measurable performance standards, targets, metrics, and associated Service Credits that govern PROVIDER's delivery of the Services and Platform, as set forth in Schedule C and incorporated into this Agreement.</w:t>
      </w:r>
    </w:p>
    <w:p>
      <w:pPr>
        <w:spacing w:before="80" w:after="80" w:line="260"/>
        <w:ind w:left="720" w:hanging="720"/>
      </w:pPr>
      <w:r>
        <w:rPr>
          <w:rFonts w:ascii="Arial" w:cs="Arial" w:eastAsia="Arial" w:hAnsi="Arial"/>
          <w:b/>
          <w:bCs/>
          <w:color w:val="1F3864"/>
          <w:sz w:val="20"/>
          <w:szCs w:val="20"/>
        </w:rPr>
        <w:t xml:space="preserve">"Services"</w:t>
      </w:r>
      <w:r>
        <w:rPr>
          <w:rFonts w:ascii="Arial" w:cs="Arial" w:eastAsia="Arial" w:hAnsi="Arial"/>
          <w:color w:val="2C2C2C"/>
          <w:sz w:val="20"/>
          <w:szCs w:val="20"/>
        </w:rPr>
        <w:t xml:space="preserve"> means all services to be provided by PROVIDER under this Agreement, including without limitation platform implementation, software development, data migration, system integration, testing, training, technical support, maintenance, monitoring, security operations, and managed services, as further described in Schedule A and any applicable Statements of Work.</w:t>
      </w:r>
    </w:p>
    <w:p>
      <w:pPr>
        <w:spacing w:before="80" w:after="80" w:line="260"/>
        <w:ind w:left="720" w:hanging="720"/>
      </w:pPr>
      <w:r>
        <w:rPr>
          <w:rFonts w:ascii="Arial" w:cs="Arial" w:eastAsia="Arial" w:hAnsi="Arial"/>
          <w:b/>
          <w:bCs/>
          <w:color w:val="1F3864"/>
          <w:sz w:val="20"/>
          <w:szCs w:val="20"/>
        </w:rPr>
        <w:t xml:space="preserve">"Software"</w:t>
      </w:r>
      <w:r>
        <w:rPr>
          <w:rFonts w:ascii="Arial" w:cs="Arial" w:eastAsia="Arial" w:hAnsi="Arial"/>
          <w:color w:val="2C2C2C"/>
          <w:sz w:val="20"/>
          <w:szCs w:val="20"/>
        </w:rPr>
        <w:t xml:space="preserve"> means the machine-readable object code, source code (where explicitly licensed), associated libraries, algorithms, artificial intelligence and machine learning models, APIs, integration software, and associated software components of the Enterprise Platform and any related software tools provided by PROVIDER under this Agreement.</w:t>
      </w:r>
    </w:p>
    <w:p>
      <w:pPr>
        <w:spacing w:before="80" w:after="80" w:line="260"/>
        <w:ind w:left="720" w:hanging="720"/>
      </w:pPr>
      <w:r>
        <w:rPr>
          <w:rFonts w:ascii="Arial" w:cs="Arial" w:eastAsia="Arial" w:hAnsi="Arial"/>
          <w:b/>
          <w:bCs/>
          <w:color w:val="1F3864"/>
          <w:sz w:val="20"/>
          <w:szCs w:val="20"/>
        </w:rPr>
        <w:t xml:space="preserve">"Statement of Work"</w:t>
      </w:r>
      <w:r>
        <w:rPr>
          <w:rFonts w:ascii="Arial" w:cs="Arial" w:eastAsia="Arial" w:hAnsi="Arial"/>
          <w:color w:val="2C2C2C"/>
          <w:sz w:val="20"/>
          <w:szCs w:val="20"/>
        </w:rPr>
        <w:t xml:space="preserve"> or "SOW" means a separate document executed by authorized representatives of both Parties that describes in detail the specific Services to be performed, the Deliverables to be produced, the timeline and milestones, the resources to be allocated, the applicable Fees, and any other terms specific to a particular engagement under this Agreement.</w:t>
      </w:r>
    </w:p>
    <w:p>
      <w:pPr>
        <w:spacing w:before="80" w:after="80" w:line="260"/>
        <w:ind w:left="720" w:hanging="720"/>
      </w:pPr>
      <w:r>
        <w:rPr>
          <w:rFonts w:ascii="Arial" w:cs="Arial" w:eastAsia="Arial" w:hAnsi="Arial"/>
          <w:b/>
          <w:bCs/>
          <w:color w:val="1F3864"/>
          <w:sz w:val="20"/>
          <w:szCs w:val="20"/>
        </w:rPr>
        <w:t xml:space="preserve">"Subcontractor"</w:t>
      </w:r>
      <w:r>
        <w:rPr>
          <w:rFonts w:ascii="Arial" w:cs="Arial" w:eastAsia="Arial" w:hAnsi="Arial"/>
          <w:color w:val="2C2C2C"/>
          <w:sz w:val="20"/>
          <w:szCs w:val="20"/>
        </w:rPr>
        <w:t xml:space="preserve"> means any third-party service provider, supplier, or vendor engaged by PROVIDER to assist in the performance of PROVIDER's obligations under this Agreement, subject to the requirements of Article 23 hereof.</w:t>
      </w:r>
    </w:p>
    <w:p>
      <w:pPr>
        <w:spacing w:before="80" w:after="80" w:line="260"/>
        <w:ind w:left="720" w:hanging="720"/>
      </w:pPr>
      <w:r>
        <w:rPr>
          <w:rFonts w:ascii="Arial" w:cs="Arial" w:eastAsia="Arial" w:hAnsi="Arial"/>
          <w:b/>
          <w:bCs/>
          <w:color w:val="1F3864"/>
          <w:sz w:val="20"/>
          <w:szCs w:val="20"/>
        </w:rPr>
        <w:t xml:space="preserve">"Territory"</w:t>
      </w:r>
      <w:r>
        <w:rPr>
          <w:rFonts w:ascii="Arial" w:cs="Arial" w:eastAsia="Arial" w:hAnsi="Arial"/>
          <w:color w:val="2C2C2C"/>
          <w:sz w:val="20"/>
          <w:szCs w:val="20"/>
        </w:rPr>
        <w:t xml:space="preserve"> means the countries and jurisdictions in which CLIENT is authorized to deploy and use the Platform and Services under this Agreement, as specified in Section 3.2 and Schedule A.</w:t>
      </w:r>
    </w:p>
    <w:p>
      <w:pPr>
        <w:spacing w:before="80" w:after="80" w:line="260"/>
        <w:ind w:left="720" w:hanging="720"/>
      </w:pPr>
      <w:r>
        <w:rPr>
          <w:rFonts w:ascii="Arial" w:cs="Arial" w:eastAsia="Arial" w:hAnsi="Arial"/>
          <w:b/>
          <w:bCs/>
          <w:color w:val="1F3864"/>
          <w:sz w:val="20"/>
          <w:szCs w:val="20"/>
        </w:rPr>
        <w:t xml:space="preserve">"Term"</w:t>
      </w:r>
      <w:r>
        <w:rPr>
          <w:rFonts w:ascii="Arial" w:cs="Arial" w:eastAsia="Arial" w:hAnsi="Arial"/>
          <w:color w:val="2C2C2C"/>
          <w:sz w:val="20"/>
          <w:szCs w:val="20"/>
        </w:rPr>
        <w:t xml:space="preserve"> means the initial period of this Agreement commencing on the Effective Date and expiring on March 31, 2029, together with any renewal periods agreed in writing by the Parties in accordance with Section 15.1.</w:t>
      </w:r>
    </w:p>
    <w:p>
      <w:pPr>
        <w:spacing w:before="80" w:after="80" w:line="260"/>
        <w:ind w:left="720" w:hanging="720"/>
      </w:pPr>
      <w:r>
        <w:rPr>
          <w:rFonts w:ascii="Arial" w:cs="Arial" w:eastAsia="Arial" w:hAnsi="Arial"/>
          <w:b/>
          <w:bCs/>
          <w:color w:val="1F3864"/>
          <w:sz w:val="20"/>
          <w:szCs w:val="20"/>
        </w:rPr>
        <w:t xml:space="preserve">"Uptime Commitment"</w:t>
      </w:r>
      <w:r>
        <w:rPr>
          <w:rFonts w:ascii="Arial" w:cs="Arial" w:eastAsia="Arial" w:hAnsi="Arial"/>
          <w:color w:val="2C2C2C"/>
          <w:sz w:val="20"/>
          <w:szCs w:val="20"/>
        </w:rPr>
        <w:t xml:space="preserve"> means PROVIDER's commitment to maintain Platform Availability at or above the minimum percentage specified in Schedule C during each calendar month of the Term, subject to the exclusions described therein.</w:t>
      </w:r>
    </w:p>
    <w:p>
      <w:pPr>
        <w:spacing w:before="80" w:after="80" w:line="260"/>
        <w:ind w:left="720" w:hanging="720"/>
      </w:pPr>
      <w:r>
        <w:rPr>
          <w:rFonts w:ascii="Arial" w:cs="Arial" w:eastAsia="Arial" w:hAnsi="Arial"/>
          <w:b/>
          <w:bCs/>
          <w:color w:val="1F3864"/>
          <w:sz w:val="20"/>
          <w:szCs w:val="20"/>
        </w:rPr>
        <w:t xml:space="preserve">"User Data"</w:t>
      </w:r>
      <w:r>
        <w:rPr>
          <w:rFonts w:ascii="Arial" w:cs="Arial" w:eastAsia="Arial" w:hAnsi="Arial"/>
          <w:color w:val="2C2C2C"/>
          <w:sz w:val="20"/>
          <w:szCs w:val="20"/>
        </w:rPr>
        <w:t xml:space="preserve"> means all data, content, information, and materials input into, uploaded to, or generated through the Platform by Authorized Users or CLIENT's systems, including transaction records, business data, analytics outputs, and any other information created or stored in connection with CLIENT's use of the Platform.</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1.2 Rules of Interpretation</w:t>
      </w:r>
    </w:p>
    <w:p>
      <w:pPr>
        <w:spacing w:before="80" w:after="80" w:line="280"/>
        <w:jc w:val="both"/>
      </w:pPr>
      <w:r>
        <w:rPr>
          <w:rFonts w:ascii="Arial" w:cs="Arial" w:eastAsia="Arial" w:hAnsi="Arial"/>
          <w:b w:val="false"/>
          <w:bCs w:val="false"/>
          <w:i w:val="false"/>
          <w:iCs w:val="false"/>
          <w:color w:val="2C2C2C"/>
          <w:sz w:val="20"/>
          <w:szCs w:val="20"/>
        </w:rPr>
        <w:t xml:space="preserve">Unless the context otherwise requires, the following rules of interpretation shall apply throughout this Agreement:</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(a) Words importing the singular shall include the plural and vice versa, and words importing any gender shall include all other genders.</w:t>
      </w:r>
    </w:p>
    <w:p>
      <w:pPr>
        <w:spacing w:before="80" w:after="80" w:line="280"/>
        <w:jc w:val="both"/>
      </w:pPr>
      <w:r>
        <w:rPr>
          <w:rFonts w:ascii="Arial" w:cs="Arial" w:eastAsia="Arial" w:hAnsi="Arial"/>
          <w:b w:val="false"/>
          <w:bCs w:val="false"/>
          <w:i w:val="false"/>
          <w:iCs w:val="false"/>
          <w:color w:val="2C2C2C"/>
          <w:sz w:val="20"/>
          <w:szCs w:val="20"/>
        </w:rPr>
        <w:t xml:space="preserve">(b) References to a Party include that Party's permitted successors, assigns, heirs, and legal representatives.</w:t>
      </w:r>
    </w:p>
    <w:p>
      <w:pPr>
        <w:spacing w:before="80" w:after="80" w:line="280"/>
        <w:jc w:val="both"/>
      </w:pPr>
      <w:r>
        <w:rPr>
          <w:rFonts w:ascii="Arial" w:cs="Arial" w:eastAsia="Arial" w:hAnsi="Arial"/>
          <w:b w:val="false"/>
          <w:bCs w:val="false"/>
          <w:i w:val="false"/>
          <w:iCs w:val="false"/>
          <w:color w:val="2C2C2C"/>
          <w:sz w:val="20"/>
          <w:szCs w:val="20"/>
        </w:rPr>
        <w:t xml:space="preserve">(c) References to any statute, regulation, or legal provision shall be deemed to include references to any statutory modification, re-enactment, or successor provision.</w:t>
      </w:r>
    </w:p>
    <w:p>
      <w:pPr>
        <w:spacing w:before="80" w:after="80" w:line="280"/>
        <w:jc w:val="both"/>
      </w:pPr>
      <w:r>
        <w:rPr>
          <w:rFonts w:ascii="Arial" w:cs="Arial" w:eastAsia="Arial" w:hAnsi="Arial"/>
          <w:b w:val="false"/>
          <w:bCs w:val="false"/>
          <w:i w:val="false"/>
          <w:iCs w:val="false"/>
          <w:color w:val="2C2C2C"/>
          <w:sz w:val="20"/>
          <w:szCs w:val="20"/>
        </w:rPr>
        <w:t xml:space="preserve">(d) The words "include," "includes," and "including" shall be deemed to be followed by the words "without limitation" and shall not be construed to limit any general statement that they follow.</w:t>
      </w:r>
    </w:p>
    <w:p>
      <w:pPr>
        <w:spacing w:before="80" w:after="80" w:line="280"/>
        <w:jc w:val="both"/>
      </w:pPr>
      <w:r>
        <w:rPr>
          <w:rFonts w:ascii="Arial" w:cs="Arial" w:eastAsia="Arial" w:hAnsi="Arial"/>
          <w:b w:val="false"/>
          <w:bCs w:val="false"/>
          <w:i w:val="false"/>
          <w:iCs w:val="false"/>
          <w:color w:val="2C2C2C"/>
          <w:sz w:val="20"/>
          <w:szCs w:val="20"/>
        </w:rPr>
        <w:t xml:space="preserve">(e) References to "days" shall mean calendar days unless expressly stated to be business days. "Business Days" means days other than Saturdays, Sundays, and public holidays in the State of Delaware.</w:t>
      </w:r>
    </w:p>
    <w:p>
      <w:pPr>
        <w:spacing w:before="80" w:after="80" w:line="280"/>
        <w:jc w:val="both"/>
      </w:pPr>
      <w:r>
        <w:rPr>
          <w:rFonts w:ascii="Arial" w:cs="Arial" w:eastAsia="Arial" w:hAnsi="Arial"/>
          <w:b w:val="false"/>
          <w:bCs w:val="false"/>
          <w:i w:val="false"/>
          <w:iCs w:val="false"/>
          <w:color w:val="2C2C2C"/>
          <w:sz w:val="20"/>
          <w:szCs w:val="20"/>
        </w:rPr>
        <w:t xml:space="preserve">(f) Headings and titles are included for convenience of reference only and shall not affect the interpretation of this Agreement.</w:t>
      </w:r>
    </w:p>
    <w:p>
      <w:pPr>
        <w:spacing w:before="80" w:after="80" w:line="280"/>
        <w:jc w:val="both"/>
      </w:pPr>
      <w:r>
        <w:rPr>
          <w:rFonts w:ascii="Arial" w:cs="Arial" w:eastAsia="Arial" w:hAnsi="Arial"/>
          <w:b w:val="false"/>
          <w:bCs w:val="false"/>
          <w:i w:val="false"/>
          <w:iCs w:val="false"/>
          <w:color w:val="2C2C2C"/>
          <w:sz w:val="20"/>
          <w:szCs w:val="20"/>
        </w:rPr>
        <w:t xml:space="preserve">(g) Where PROVIDER is required to use "reasonable efforts" or "commercially reasonable efforts," such standard shall be measured by reference to what a reasonably prudent enterprise technology provider would do in similar circumstances, taking into account available resources, technical feasibility, and commercial impact.</w:t>
      </w:r>
    </w:p>
    <w:p>
      <w:pPr>
        <w:spacing w:before="80" w:after="80" w:line="280"/>
        <w:jc w:val="both"/>
      </w:pPr>
      <w:r>
        <w:rPr>
          <w:rFonts w:ascii="Arial" w:cs="Arial" w:eastAsia="Arial" w:hAnsi="Arial"/>
          <w:b w:val="false"/>
          <w:bCs w:val="false"/>
          <w:i w:val="false"/>
          <w:iCs w:val="false"/>
          <w:color w:val="2C2C2C"/>
          <w:sz w:val="20"/>
          <w:szCs w:val="20"/>
        </w:rPr>
        <w:t xml:space="preserve">(h) This Agreement is the joint product of both Parties and their respective counsel. Accordingly, the Agreement shall be construed without regard to the principle that ambiguities are to be construed against the drafter.</w:t>
      </w:r>
    </w:p>
    <w:p>
      <w:pPr>
        <w:pStyle w:val="Heading2"/>
        <w:spacing w:before="300" w:after="150"/>
      </w:pPr>
      <w:r>
        <w:rPr>
          <w:rFonts w:ascii="Arial" w:cs="Arial" w:eastAsia="Arial" w:hAnsi="Arial"/>
          <w:b/>
          <w:bCs/>
          <w:color w:val="1A5276"/>
          <w:sz w:val="26"/>
          <w:szCs w:val="26"/>
        </w:rPr>
        <w:t xml:space="preserve">1.3 Order of Precedence</w:t>
      </w:r>
    </w:p>
    <w:p>
      <w:pPr>
        <w:spacing w:before="80" w:after="80" w:line="280"/>
        <w:jc w:val="both"/>
      </w:pPr>
      <w:r>
        <w:rPr>
          <w:rFonts w:ascii="Arial" w:cs="Arial" w:eastAsia="Arial" w:hAnsi="Arial"/>
          <w:b w:val="false"/>
          <w:bCs w:val="false"/>
          <w:i w:val="false"/>
          <w:iCs w:val="false"/>
          <w:color w:val="2C2C2C"/>
          <w:sz w:val="20"/>
          <w:szCs w:val="20"/>
        </w:rPr>
        <w:t xml:space="preserve">In the event of any conflict or inconsistency between the various documents comprising this Agreement, the following order of precedence shall apply, with documents earlier in the list taking precedence over documents later in the list:</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(a) The Data Processing Agreement (Schedule D), with respect to data protection matters only;</w:t>
      </w:r>
    </w:p>
    <w:p>
      <w:pPr>
        <w:spacing w:before="80" w:after="80" w:line="280"/>
        <w:jc w:val="both"/>
      </w:pPr>
      <w:r>
        <w:rPr>
          <w:rFonts w:ascii="Arial" w:cs="Arial" w:eastAsia="Arial" w:hAnsi="Arial"/>
          <w:b w:val="false"/>
          <w:bCs w:val="false"/>
          <w:i w:val="false"/>
          <w:iCs w:val="false"/>
          <w:color w:val="2C2C2C"/>
          <w:sz w:val="20"/>
          <w:szCs w:val="20"/>
        </w:rPr>
        <w:t xml:space="preserve">(b) The body of this Master Agreement;</w:t>
      </w:r>
    </w:p>
    <w:p>
      <w:pPr>
        <w:spacing w:before="80" w:after="80" w:line="280"/>
        <w:jc w:val="both"/>
      </w:pPr>
      <w:r>
        <w:rPr>
          <w:rFonts w:ascii="Arial" w:cs="Arial" w:eastAsia="Arial" w:hAnsi="Arial"/>
          <w:b w:val="false"/>
          <w:bCs w:val="false"/>
          <w:i w:val="false"/>
          <w:iCs w:val="false"/>
          <w:color w:val="2C2C2C"/>
          <w:sz w:val="20"/>
          <w:szCs w:val="20"/>
        </w:rPr>
        <w:t xml:space="preserve">(c) Signed Change Orders, with respect to matters addressed therein;</w:t>
      </w:r>
    </w:p>
    <w:p>
      <w:pPr>
        <w:spacing w:before="80" w:after="80" w:line="280"/>
        <w:jc w:val="both"/>
      </w:pPr>
      <w:r>
        <w:rPr>
          <w:rFonts w:ascii="Arial" w:cs="Arial" w:eastAsia="Arial" w:hAnsi="Arial"/>
          <w:b w:val="false"/>
          <w:bCs w:val="false"/>
          <w:i w:val="false"/>
          <w:iCs w:val="false"/>
          <w:color w:val="2C2C2C"/>
          <w:sz w:val="20"/>
          <w:szCs w:val="20"/>
        </w:rPr>
        <w:t xml:space="preserve">(d) Executed Statements of Work, with respect to matters addressed therein;</w:t>
      </w:r>
    </w:p>
    <w:p>
      <w:pPr>
        <w:spacing w:before="80" w:after="80" w:line="280"/>
        <w:jc w:val="both"/>
      </w:pPr>
      <w:r>
        <w:rPr>
          <w:rFonts w:ascii="Arial" w:cs="Arial" w:eastAsia="Arial" w:hAnsi="Arial"/>
          <w:b w:val="false"/>
          <w:bCs w:val="false"/>
          <w:i w:val="false"/>
          <w:iCs w:val="false"/>
          <w:color w:val="2C2C2C"/>
          <w:sz w:val="20"/>
          <w:szCs w:val="20"/>
        </w:rPr>
        <w:t xml:space="preserve">(e) The Schedules attached to this Agreement;</w:t>
      </w:r>
    </w:p>
    <w:p>
      <w:pPr>
        <w:spacing w:before="80" w:after="80" w:line="280"/>
        <w:jc w:val="both"/>
      </w:pPr>
      <w:r>
        <w:rPr>
          <w:rFonts w:ascii="Arial" w:cs="Arial" w:eastAsia="Arial" w:hAnsi="Arial"/>
          <w:b w:val="false"/>
          <w:bCs w:val="false"/>
          <w:i w:val="false"/>
          <w:iCs w:val="false"/>
          <w:color w:val="2C2C2C"/>
          <w:sz w:val="20"/>
          <w:szCs w:val="20"/>
        </w:rPr>
        <w:t xml:space="preserve">(f) The Exhibits attached to this Agreement;</w:t>
      </w:r>
    </w:p>
    <w:p>
      <w:pPr>
        <w:spacing w:before="80" w:after="80" w:line="280"/>
        <w:jc w:val="both"/>
      </w:pPr>
      <w:r>
        <w:rPr>
          <w:rFonts w:ascii="Arial" w:cs="Arial" w:eastAsia="Arial" w:hAnsi="Arial"/>
          <w:b w:val="false"/>
          <w:bCs w:val="false"/>
          <w:i w:val="false"/>
          <w:iCs w:val="false"/>
          <w:color w:val="2C2C2C"/>
          <w:sz w:val="20"/>
          <w:szCs w:val="20"/>
        </w:rPr>
        <w:t xml:space="preserve">(g) Any other documents incorporated herein by reference.</w:t>
      </w:r>
    </w:p>
    <w:p>
      <w:r>
        <w:br w:type="page"/>
      </w:r>
    </w:p>
    <w:p>
      <w:pPr>
        <w:pStyle w:val="Heading1"/>
        <w:spacing w:before="400" w:after="200"/>
      </w:pPr>
      <w:r>
        <w:rPr>
          <w:rFonts w:ascii="Arial" w:cs="Arial" w:eastAsia="Arial" w:hAnsi="Arial"/>
          <w:b/>
          <w:bCs/>
          <w:color w:val="1F3864"/>
          <w:sz w:val="32"/>
          <w:szCs w:val="32"/>
        </w:rPr>
        <w:t xml:space="preserve">ARTICLE 2: SCOPE OF SERVICES</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2.1 Overview of Services</w:t>
      </w:r>
    </w:p>
    <w:p>
      <w:pPr>
        <w:spacing w:before="80" w:after="80" w:line="280"/>
        <w:jc w:val="both"/>
      </w:pPr>
      <w:r>
        <w:rPr>
          <w:rFonts w:ascii="Arial" w:cs="Arial" w:eastAsia="Arial" w:hAnsi="Arial"/>
          <w:b w:val="false"/>
          <w:bCs w:val="false"/>
          <w:i w:val="false"/>
          <w:iCs w:val="false"/>
          <w:color w:val="2C2C2C"/>
          <w:sz w:val="20"/>
          <w:szCs w:val="20"/>
        </w:rPr>
        <w:t xml:space="preserve">Subject to the terms and conditions of this Agreement, PROVIDER shall provide CLIENT with the comprehensive suite of Services described in this Article 2 and further detailed in Schedule A and any applicable Statements of Work. The Services are designed to support CLIENT's digital transformation strategy and shall be delivered in accordance with the Implementation Plan, Service Level Agreement, and other applicable standards set forth herein.</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PROVIDER acknowledges that the successful delivery of the Services is critical to CLIENT's business operations and that CLIENT is entering into this Agreement in reliance upon PROVIDER's representation that it has the technical expertise, organizational capability, financial stability, and qualified personnel necessary to deliver the Services in accordance with the terms hereof.</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2.2 Core Service Categories</w:t>
      </w:r>
    </w:p>
    <w:p>
      <w:pPr>
        <w:spacing w:before="80" w:after="80" w:line="280"/>
        <w:jc w:val="both"/>
      </w:pPr>
      <w:r>
        <w:rPr>
          <w:rFonts w:ascii="Arial" w:cs="Arial" w:eastAsia="Arial" w:hAnsi="Arial"/>
          <w:b w:val="false"/>
          <w:bCs w:val="false"/>
          <w:i w:val="false"/>
          <w:iCs w:val="false"/>
          <w:color w:val="2C2C2C"/>
          <w:sz w:val="20"/>
          <w:szCs w:val="20"/>
        </w:rPr>
        <w:t xml:space="preserve">The Services to be provided by PROVIDER under this Agreement shall be organized into the following core service categories, each of which is described in greater detail in Schedule A:</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Service Category</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Service Name</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Service Category 1</w:t>
            </w:r>
          </w:p>
        </w:tc>
        <w:tc>
          <w:tcPr>
            <w:tcW w:type="dxa" w:w="2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Enterprise Platform Implementation</w:t>
            </w:r>
          </w:p>
        </w:tc>
        <w:tc>
          <w:tcPr>
            <w:tcW w:type="dxa" w:w="5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Implementation, configuration, testing, and deployment of the TechSphere Enterprise Suite across CLIENT's global operations, including all necessary system integration, data migration, user acceptance testing, and go-live support activities.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Service Category 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Cloud Infrastructure Services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Design, provisioning, migration, optimization, and ongoing management of CLIENT's cloud infrastructure environment across multiple cloud providers, including AWS, Microsoft Azure, and Google Cloud Platform, with a focus on high availability, scalability, performance, and cost optimization.</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Service Category 3</w:t>
            </w:r>
          </w:p>
        </w:tc>
        <w:tc>
          <w:tcPr>
            <w:tcW w:type="dxa" w:w="2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AI and Analytics Platform</w:t>
            </w:r>
          </w:p>
        </w:tc>
        <w:tc>
          <w:tcPr>
            <w:tcW w:type="dxa" w:w="5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Implementation and ongoing operation of PROVIDER's artificial intelligence and machine learning platform, including natural language processing capabilities, predictive analytics engines, automated reporting, data visualization, and business intelligence tools.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Service Category 4</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Cybersecurity and Compliance Services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Comprehensive cybersecurity services including security operations center (SOC) monitoring, vulnerability assessment and penetration testing, threat intelligence, incident response, security information and event management (SIEM), identity and access management, and compliance management services.</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Service Category 5</w:t>
            </w:r>
          </w:p>
        </w:tc>
        <w:tc>
          <w:tcPr>
            <w:tcW w:type="dxa" w:w="2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Managed Technology Operations</w:t>
            </w:r>
          </w:p>
        </w:tc>
        <w:tc>
          <w:tcPr>
            <w:tcW w:type="dxa" w:w="5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Ongoing management, monitoring, optimization, and support of CLIENT's technology environment, including system administration, performance monitoring, capacity planning, incident management, problem management, change management, and service desk operations.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Service Category 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Professional Services and Training</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Project management, business analysis, solution architecture, software development, quality assurance, training program development and delivery, organizational change management, and other professional services as specified in applicable Statements of Work.</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Service Category 7</w:t>
            </w:r>
          </w:p>
        </w:tc>
        <w:tc>
          <w:tcPr>
            <w:tcW w:type="dxa" w:w="2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Integration and API Services</w:t>
            </w:r>
          </w:p>
        </w:tc>
        <w:tc>
          <w:tcPr>
            <w:tcW w:type="dxa" w:w="5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Design, development, testing, deployment, and maintenance of integration solutions connecting the Platform with CLIENT's existing enterprise systems, third-party applications, data sources, and external partners, utilizing industry-standard integration patterns and API management practices.</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2.3 Statements of Work</w:t>
      </w:r>
    </w:p>
    <w:p>
      <w:pPr>
        <w:spacing w:before="80" w:after="80" w:line="280"/>
        <w:jc w:val="both"/>
      </w:pPr>
      <w:r>
        <w:rPr>
          <w:rFonts w:ascii="Arial" w:cs="Arial" w:eastAsia="Arial" w:hAnsi="Arial"/>
          <w:b w:val="false"/>
          <w:bCs w:val="false"/>
          <w:i w:val="false"/>
          <w:iCs w:val="false"/>
          <w:color w:val="2C2C2C"/>
          <w:sz w:val="20"/>
          <w:szCs w:val="20"/>
        </w:rPr>
        <w:t xml:space="preserve">The specific scope, timeline, resources, and Fees applicable to each engagement under this Agreement shall be set forth in one or more Statements of Work executed by authorized representatives of both Parties. Each Statement of Work shall include, at minimum, the following elements:</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(a) A detailed description of the Services to be performed and Deliverables to be produced;</w:t>
      </w:r>
    </w:p>
    <w:p>
      <w:pPr>
        <w:spacing w:before="80" w:after="80" w:line="280"/>
        <w:jc w:val="both"/>
      </w:pPr>
      <w:r>
        <w:rPr>
          <w:rFonts w:ascii="Arial" w:cs="Arial" w:eastAsia="Arial" w:hAnsi="Arial"/>
          <w:b w:val="false"/>
          <w:bCs w:val="false"/>
          <w:i w:val="false"/>
          <w:iCs w:val="false"/>
          <w:color w:val="2C2C2C"/>
          <w:sz w:val="20"/>
          <w:szCs w:val="20"/>
        </w:rPr>
        <w:t xml:space="preserve">(b) The applicable implementation timeline, including key milestones and Go-Live Dates;</w:t>
      </w:r>
    </w:p>
    <w:p>
      <w:pPr>
        <w:spacing w:before="80" w:after="80" w:line="280"/>
        <w:jc w:val="both"/>
      </w:pPr>
      <w:r>
        <w:rPr>
          <w:rFonts w:ascii="Arial" w:cs="Arial" w:eastAsia="Arial" w:hAnsi="Arial"/>
          <w:b w:val="false"/>
          <w:bCs w:val="false"/>
          <w:i w:val="false"/>
          <w:iCs w:val="false"/>
          <w:color w:val="2C2C2C"/>
          <w:sz w:val="20"/>
          <w:szCs w:val="20"/>
        </w:rPr>
        <w:t xml:space="preserve">(c) The roles and responsibilities of each Party, including identification of Key Personnel;</w:t>
      </w:r>
    </w:p>
    <w:p>
      <w:pPr>
        <w:spacing w:before="80" w:after="80" w:line="280"/>
        <w:jc w:val="both"/>
      </w:pPr>
      <w:r>
        <w:rPr>
          <w:rFonts w:ascii="Arial" w:cs="Arial" w:eastAsia="Arial" w:hAnsi="Arial"/>
          <w:b w:val="false"/>
          <w:bCs w:val="false"/>
          <w:i w:val="false"/>
          <w:iCs w:val="false"/>
          <w:color w:val="2C2C2C"/>
          <w:sz w:val="20"/>
          <w:szCs w:val="20"/>
        </w:rPr>
        <w:t xml:space="preserve">(d) The applicable Fees, payment schedule, and invoicing instructions;</w:t>
      </w:r>
    </w:p>
    <w:p>
      <w:pPr>
        <w:spacing w:before="80" w:after="80" w:line="280"/>
        <w:jc w:val="both"/>
      </w:pPr>
      <w:r>
        <w:rPr>
          <w:rFonts w:ascii="Arial" w:cs="Arial" w:eastAsia="Arial" w:hAnsi="Arial"/>
          <w:b w:val="false"/>
          <w:bCs w:val="false"/>
          <w:i w:val="false"/>
          <w:iCs w:val="false"/>
          <w:color w:val="2C2C2C"/>
          <w:sz w:val="20"/>
          <w:szCs w:val="20"/>
        </w:rPr>
        <w:t xml:space="preserve">(e) Acceptance criteria and testing procedures for each Deliverable;</w:t>
      </w:r>
    </w:p>
    <w:p>
      <w:pPr>
        <w:spacing w:before="80" w:after="80" w:line="280"/>
        <w:jc w:val="both"/>
      </w:pPr>
      <w:r>
        <w:rPr>
          <w:rFonts w:ascii="Arial" w:cs="Arial" w:eastAsia="Arial" w:hAnsi="Arial"/>
          <w:b w:val="false"/>
          <w:bCs w:val="false"/>
          <w:i w:val="false"/>
          <w:iCs w:val="false"/>
          <w:color w:val="2C2C2C"/>
          <w:sz w:val="20"/>
          <w:szCs w:val="20"/>
        </w:rPr>
        <w:t xml:space="preserve">(f) Any special requirements, constraints, assumptions, or dependencies;</w:t>
      </w:r>
    </w:p>
    <w:p>
      <w:pPr>
        <w:spacing w:before="80" w:after="80" w:line="280"/>
        <w:jc w:val="both"/>
      </w:pPr>
      <w:r>
        <w:rPr>
          <w:rFonts w:ascii="Arial" w:cs="Arial" w:eastAsia="Arial" w:hAnsi="Arial"/>
          <w:b w:val="false"/>
          <w:bCs w:val="false"/>
          <w:i w:val="false"/>
          <w:iCs w:val="false"/>
          <w:color w:val="2C2C2C"/>
          <w:sz w:val="20"/>
          <w:szCs w:val="20"/>
        </w:rPr>
        <w:t xml:space="preserve">(g) Risk identification and mitigation strategies specific to the engagement;</w:t>
      </w:r>
    </w:p>
    <w:p>
      <w:pPr>
        <w:spacing w:before="80" w:after="80" w:line="280"/>
        <w:jc w:val="both"/>
      </w:pPr>
      <w:r>
        <w:rPr>
          <w:rFonts w:ascii="Arial" w:cs="Arial" w:eastAsia="Arial" w:hAnsi="Arial"/>
          <w:b w:val="false"/>
          <w:bCs w:val="false"/>
          <w:i w:val="false"/>
          <w:iCs w:val="false"/>
          <w:color w:val="2C2C2C"/>
          <w:sz w:val="20"/>
          <w:szCs w:val="20"/>
        </w:rPr>
        <w:t xml:space="preserve">(h) Escalation procedures for issues arising during the engagement.</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In the event of any conflict between a Statement of Work and the body of this Agreement, the terms of this Agreement shall prevail unless the Statement of Work expressly states the intention to modify a specific provision of this Agreement and both Parties have executed the Statement of Work with explicit knowledge of such modification.</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2.4 Geographic Scope</w:t>
      </w:r>
    </w:p>
    <w:p>
      <w:pPr>
        <w:spacing w:before="80" w:after="80" w:line="280"/>
        <w:jc w:val="both"/>
      </w:pPr>
      <w:r>
        <w:rPr>
          <w:rFonts w:ascii="Arial" w:cs="Arial" w:eastAsia="Arial" w:hAnsi="Arial"/>
          <w:b w:val="false"/>
          <w:bCs w:val="false"/>
          <w:i w:val="false"/>
          <w:iCs w:val="false"/>
          <w:color w:val="2C2C2C"/>
          <w:sz w:val="20"/>
          <w:szCs w:val="20"/>
        </w:rPr>
        <w:t xml:space="preserve">The Services shall initially be provided to support CLIENT's operations in the following regions and countries, with the possibility of expansion to additional territories as agreed by the Parties in writing: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800"/>
        <w:gridCol w:w="21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Region</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Countries Included</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Deployment Phase</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 Go-Live</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North America</w:t>
            </w:r>
          </w:p>
        </w:tc>
        <w:tc>
          <w:tcPr>
            <w:tcW w:type="dxa" w:w="3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United States, Canada, Mexico</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Phase 1</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Q3 2024</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Western Europe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United Kingdom, Germany, France, Netherlands, Belgium, Spain, Italy, Switzerland, Austria, Sweden, Denmark, Norway, Finland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Phase 2</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Q1 2025</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Eastern Europe</w:t>
            </w:r>
          </w:p>
        </w:tc>
        <w:tc>
          <w:tcPr>
            <w:tcW w:type="dxa" w:w="3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Poland, Czech Republic, Hungary, Romania, Bulgaria, Croatia, Slovakia</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Phase 3</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Q2 2025</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Asia Pacific</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Japan, South Korea, Singapore, Australia, New Zealand, Hong Kong, Taiwan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Phase 4</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Q3 2025</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South and Southeast Asia</w:t>
            </w:r>
          </w:p>
        </w:tc>
        <w:tc>
          <w:tcPr>
            <w:tcW w:type="dxa" w:w="3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India, Thailand, Malaysia, Indonesia, Philippines, Vietnam</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Phase 5</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Q4 2025</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Latin America</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Brazil, Argentina, Colombia, Chile, Peru, Uruguay, Ecuador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Phase 6</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Q1 2026</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Middle East and Africa</w:t>
            </w:r>
          </w:p>
        </w:tc>
        <w:tc>
          <w:tcPr>
            <w:tcW w:type="dxa" w:w="3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UAE, Saudi Arabia, South Africa, Egypt, Israel, Turkey, Nigeria</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Phase 7</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Q2 2026</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2.5 PROVIDER's General Obligations</w:t>
      </w:r>
    </w:p>
    <w:p>
      <w:pPr>
        <w:spacing w:before="80" w:after="80" w:line="280"/>
        <w:jc w:val="both"/>
      </w:pPr>
      <w:r>
        <w:rPr>
          <w:rFonts w:ascii="Arial" w:cs="Arial" w:eastAsia="Arial" w:hAnsi="Arial"/>
          <w:b w:val="false"/>
          <w:bCs w:val="false"/>
          <w:i w:val="false"/>
          <w:iCs w:val="false"/>
          <w:color w:val="2C2C2C"/>
          <w:sz w:val="20"/>
          <w:szCs w:val="20"/>
        </w:rPr>
        <w:t xml:space="preserve">In addition to the specific obligations set forth elsewhere in this Agreement, PROVIDER shall:</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perform the Services with the highest degree of professional care, skill, and diligence, consistent with the standards of a leading enterprise technology services provider;</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dedicate sufficient qualified personnel, resources, and infrastructure to meet the performance standards and timelines specified in this Agreement and applicable Statements of Work;</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promptly notify CLIENT of any actual or potential issues, risks, or circumstances that may affect PROVIDER's ability to perform the Services or meet the applicable service level standards;</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comply with all Applicable Law in connection with its performance under this Agreement, including without limitation laws relating to data protection, cybersecurity, employment, anti-corruption, and export controls;</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maintain a quality management system and quality assurance program that meets or exceeds the requirements of ISO 9001:2015 throughout the Term of this Agreement;</w:t>
      </w:r>
    </w:p>
    <w:p>
      <w:pPr>
        <w:spacing w:before="60" w:after="60" w:line="260"/>
        <w:ind w:left="720" w:hanging="360"/>
      </w:pPr>
      <w:r>
        <w:rPr>
          <w:rFonts w:ascii="Arial" w:cs="Arial" w:eastAsia="Arial" w:hAnsi="Arial"/>
          <w:b/>
          <w:bCs/>
          <w:color w:val="1F3864"/>
          <w:sz w:val="20"/>
          <w:szCs w:val="20"/>
        </w:rPr>
        <w:t xml:space="preserve">6. </w:t>
      </w:r>
      <w:r>
        <w:rPr>
          <w:rFonts w:ascii="Arial" w:cs="Arial" w:eastAsia="Arial" w:hAnsi="Arial"/>
          <w:color w:val="2C2C2C"/>
          <w:sz w:val="20"/>
          <w:szCs w:val="20"/>
        </w:rPr>
        <w:t xml:space="preserve">cooperate fully and in good faith with CLIENT, CLIENT's other vendors, and CLIENT's advisors in connection with the implementation and operation of the Services;</w:t>
      </w:r>
    </w:p>
    <w:p>
      <w:pPr>
        <w:spacing w:before="60" w:after="60" w:line="260"/>
        <w:ind w:left="720" w:hanging="360"/>
      </w:pPr>
      <w:r>
        <w:rPr>
          <w:rFonts w:ascii="Arial" w:cs="Arial" w:eastAsia="Arial" w:hAnsi="Arial"/>
          <w:b/>
          <w:bCs/>
          <w:color w:val="1F3864"/>
          <w:sz w:val="20"/>
          <w:szCs w:val="20"/>
        </w:rPr>
        <w:t xml:space="preserve">7. </w:t>
      </w:r>
      <w:r>
        <w:rPr>
          <w:rFonts w:ascii="Arial" w:cs="Arial" w:eastAsia="Arial" w:hAnsi="Arial"/>
          <w:color w:val="2C2C2C"/>
          <w:sz w:val="20"/>
          <w:szCs w:val="20"/>
        </w:rPr>
        <w:t xml:space="preserve">provide CLIENT with access to PROVIDER's subject matter experts and senior technical personnel as reasonably required for the resolution of complex issues or the review of significant design decisions;</w:t>
      </w:r>
    </w:p>
    <w:p>
      <w:pPr>
        <w:spacing w:before="60" w:after="60" w:line="260"/>
        <w:ind w:left="720" w:hanging="360"/>
      </w:pPr>
      <w:r>
        <w:rPr>
          <w:rFonts w:ascii="Arial" w:cs="Arial" w:eastAsia="Arial" w:hAnsi="Arial"/>
          <w:b/>
          <w:bCs/>
          <w:color w:val="1F3864"/>
          <w:sz w:val="20"/>
          <w:szCs w:val="20"/>
        </w:rPr>
        <w:t xml:space="preserve">8. </w:t>
      </w:r>
      <w:r>
        <w:rPr>
          <w:rFonts w:ascii="Arial" w:cs="Arial" w:eastAsia="Arial" w:hAnsi="Arial"/>
          <w:color w:val="2C2C2C"/>
          <w:sz w:val="20"/>
          <w:szCs w:val="20"/>
        </w:rPr>
        <w:t xml:space="preserve">maintain comprehensive and accurate records of all Services performed, Deliverables produced, and resources utilized under this Agreement, and make such records available to CLIENT upon request.</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2.6 CLIENT's Cooperation Obligations</w:t>
      </w:r>
    </w:p>
    <w:p>
      <w:pPr>
        <w:spacing w:before="80" w:after="80" w:line="280"/>
        <w:jc w:val="both"/>
      </w:pPr>
      <w:r>
        <w:rPr>
          <w:rFonts w:ascii="Arial" w:cs="Arial" w:eastAsia="Arial" w:hAnsi="Arial"/>
          <w:b w:val="false"/>
          <w:bCs w:val="false"/>
          <w:i w:val="false"/>
          <w:iCs w:val="false"/>
          <w:color w:val="2C2C2C"/>
          <w:sz w:val="20"/>
          <w:szCs w:val="20"/>
        </w:rPr>
        <w:t xml:space="preserve">CLIENT acknowledges that PROVIDER's ability to perform the Services depends in part on CLIENT's timely cooperation and the provision of necessary access, information, and decisions. CLIENT shall:</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designate a Project Manager with sufficient authority to make decisions on CLIENT's behalf regarding the Services;</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provide PROVIDER with timely access to CLIENT's systems, facilities, personnel, and data as reasonably required for the performance of the Services;</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review and respond to PROVIDER's requests for decisions, approvals, and information within the timeframes specified in the applicable Statement of Work;</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ensure that CLIENT's personnel actively participate in training, user acceptance testing, and other activities requiring CLIENT's involvement;</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inform PROVIDER promptly of any changes to CLIENT's business requirements, systems, or environment that may affect the Services;</w:t>
      </w:r>
    </w:p>
    <w:p>
      <w:pPr>
        <w:spacing w:before="60" w:after="60" w:line="260"/>
        <w:ind w:left="720" w:hanging="360"/>
      </w:pPr>
      <w:r>
        <w:rPr>
          <w:rFonts w:ascii="Arial" w:cs="Arial" w:eastAsia="Arial" w:hAnsi="Arial"/>
          <w:b/>
          <w:bCs/>
          <w:color w:val="1F3864"/>
          <w:sz w:val="20"/>
          <w:szCs w:val="20"/>
        </w:rPr>
        <w:t xml:space="preserve">6. </w:t>
      </w:r>
      <w:r>
        <w:rPr>
          <w:rFonts w:ascii="Arial" w:cs="Arial" w:eastAsia="Arial" w:hAnsi="Arial"/>
          <w:color w:val="2C2C2C"/>
          <w:sz w:val="20"/>
          <w:szCs w:val="20"/>
        </w:rPr>
        <w:t xml:space="preserve">comply with PROVIDER's reasonable security policies and procedures when accessing PROVIDER's systems or facilities.</w:t>
      </w:r>
    </w:p>
    <w:p>
      <w:r>
        <w:br w:type="page"/>
      </w:r>
    </w:p>
    <w:p>
      <w:pPr>
        <w:pStyle w:val="Heading1"/>
        <w:spacing w:before="400" w:after="200"/>
      </w:pPr>
      <w:r>
        <w:rPr>
          <w:rFonts w:ascii="Arial" w:cs="Arial" w:eastAsia="Arial" w:hAnsi="Arial"/>
          <w:b/>
          <w:bCs/>
          <w:color w:val="1F3864"/>
          <w:sz w:val="32"/>
          <w:szCs w:val="32"/>
        </w:rPr>
        <w:t xml:space="preserve">ARTICLE 3: TECHNOLOGY PLATFORM LICENSE</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3.1 License Grant</w:t>
      </w:r>
    </w:p>
    <w:p>
      <w:pPr>
        <w:spacing w:before="80" w:after="80" w:line="280"/>
        <w:jc w:val="both"/>
      </w:pPr>
      <w:r>
        <w:rPr>
          <w:rFonts w:ascii="Arial" w:cs="Arial" w:eastAsia="Arial" w:hAnsi="Arial"/>
          <w:b w:val="false"/>
          <w:bCs w:val="false"/>
          <w:i w:val="false"/>
          <w:iCs w:val="false"/>
          <w:color w:val="2C2C2C"/>
          <w:sz w:val="20"/>
          <w:szCs w:val="20"/>
        </w:rPr>
        <w:t xml:space="preserve">Subject to the terms and conditions of this Agreement, including without limitation the payment of all applicable Fees and CLIENT's compliance with all usage restrictions, PROVIDER hereby grants to CLIENT, for the duration of the Term, a limited, non-exclusive, non-transferable, non-sublicensable (except as permitted under Section 3.6), revocable license to:</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access and use the Enterprise Platform in object code form via PROVIDER's hosted environment or, where agreed in a Statement of Work, within CLIENT's designated private cloud infrastructure;</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permit Authorized Users to access and use the Enterprise Platform solely for CLIENT's internal business purposes within the Territory;</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use the Documentation in connection with CLIENT's exercise of the rights granted under this Agreement;</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make a reasonable number of copies of the Documentation for internal use, provided that all copies display PROVIDER's copyright notices and other proprietary markings;</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develop and operate custom integrations and extensions using PROVIDER's published APIs, subject to PROVIDER's API usage policies and rate limits;</w:t>
      </w:r>
    </w:p>
    <w:p>
      <w:pPr>
        <w:spacing w:before="60" w:after="60" w:line="260"/>
        <w:ind w:left="720" w:hanging="360"/>
      </w:pPr>
      <w:r>
        <w:rPr>
          <w:rFonts w:ascii="Arial" w:cs="Arial" w:eastAsia="Arial" w:hAnsi="Arial"/>
          <w:b/>
          <w:bCs/>
          <w:color w:val="1F3864"/>
          <w:sz w:val="20"/>
          <w:szCs w:val="20"/>
        </w:rPr>
        <w:t xml:space="preserve">6. </w:t>
      </w:r>
      <w:r>
        <w:rPr>
          <w:rFonts w:ascii="Arial" w:cs="Arial" w:eastAsia="Arial" w:hAnsi="Arial"/>
          <w:color w:val="2C2C2C"/>
          <w:sz w:val="20"/>
          <w:szCs w:val="20"/>
        </w:rPr>
        <w:t xml:space="preserve">extract, export, and use data generated through CLIENT's use of the Platform, including User Data and analytics outputs, for CLIENT's internal business purposes.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3.2 License Restrictions</w:t>
      </w:r>
    </w:p>
    <w:p>
      <w:pPr>
        <w:spacing w:before="80" w:after="80" w:line="280"/>
        <w:jc w:val="both"/>
      </w:pPr>
      <w:r>
        <w:rPr>
          <w:rFonts w:ascii="Arial" w:cs="Arial" w:eastAsia="Arial" w:hAnsi="Arial"/>
          <w:b w:val="false"/>
          <w:bCs w:val="false"/>
          <w:i w:val="false"/>
          <w:iCs w:val="false"/>
          <w:color w:val="2C2C2C"/>
          <w:sz w:val="20"/>
          <w:szCs w:val="20"/>
        </w:rPr>
        <w:t xml:space="preserve">CLIENT shall not, and shall ensure that Authorized Users do not, without PROVIDER's prior written consent:</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copy, modify, adapt, translate, reverse engineer, disassemble, decompile, or create derivative works based upon the Platform, except to the extent expressly permitted by Applicable Law that cannot be excluded by contract;</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sell, resell, distribute, sublicense, rent, lease, lend, or otherwise transfer or assign any rights in or to the Platform to any third party;</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use the Platform to provide services to third parties on a service bureau, outsourcing, time-sharing, or similar basis;</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remove, alter, cover, or obfuscate any copyright notices, trademark notices, or other proprietary rights notices on or in the Platform;</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attempt to gain unauthorized access to any portion of the Platform, PROVIDER's systems, or any related networks;</w:t>
      </w:r>
    </w:p>
    <w:p>
      <w:pPr>
        <w:spacing w:before="60" w:after="60" w:line="260"/>
        <w:ind w:left="720" w:hanging="360"/>
      </w:pPr>
      <w:r>
        <w:rPr>
          <w:rFonts w:ascii="Arial" w:cs="Arial" w:eastAsia="Arial" w:hAnsi="Arial"/>
          <w:b/>
          <w:bCs/>
          <w:color w:val="1F3864"/>
          <w:sz w:val="20"/>
          <w:szCs w:val="20"/>
        </w:rPr>
        <w:t xml:space="preserve">6. </w:t>
      </w:r>
      <w:r>
        <w:rPr>
          <w:rFonts w:ascii="Arial" w:cs="Arial" w:eastAsia="Arial" w:hAnsi="Arial"/>
          <w:color w:val="2C2C2C"/>
          <w:sz w:val="20"/>
          <w:szCs w:val="20"/>
        </w:rPr>
        <w:t xml:space="preserve">use the Platform in any manner that violates Applicable Law or infringes the Intellectual Property Rights of any third party;</w:t>
      </w:r>
    </w:p>
    <w:p>
      <w:pPr>
        <w:spacing w:before="60" w:after="60" w:line="260"/>
        <w:ind w:left="720" w:hanging="360"/>
      </w:pPr>
      <w:r>
        <w:rPr>
          <w:rFonts w:ascii="Arial" w:cs="Arial" w:eastAsia="Arial" w:hAnsi="Arial"/>
          <w:b/>
          <w:bCs/>
          <w:color w:val="1F3864"/>
          <w:sz w:val="20"/>
          <w:szCs w:val="20"/>
        </w:rPr>
        <w:t xml:space="preserve">7. </w:t>
      </w:r>
      <w:r>
        <w:rPr>
          <w:rFonts w:ascii="Arial" w:cs="Arial" w:eastAsia="Arial" w:hAnsi="Arial"/>
          <w:color w:val="2C2C2C"/>
          <w:sz w:val="20"/>
          <w:szCs w:val="20"/>
        </w:rPr>
        <w:t xml:space="preserve">benchmark the Platform against competing products and publish the results without PROVIDER's prior written consent;</w:t>
      </w:r>
    </w:p>
    <w:p>
      <w:pPr>
        <w:spacing w:before="60" w:after="60" w:line="260"/>
        <w:ind w:left="720" w:hanging="360"/>
      </w:pPr>
      <w:r>
        <w:rPr>
          <w:rFonts w:ascii="Arial" w:cs="Arial" w:eastAsia="Arial" w:hAnsi="Arial"/>
          <w:b/>
          <w:bCs/>
          <w:color w:val="1F3864"/>
          <w:sz w:val="20"/>
          <w:szCs w:val="20"/>
        </w:rPr>
        <w:t xml:space="preserve">8. </w:t>
      </w:r>
      <w:r>
        <w:rPr>
          <w:rFonts w:ascii="Arial" w:cs="Arial" w:eastAsia="Arial" w:hAnsi="Arial"/>
          <w:color w:val="2C2C2C"/>
          <w:sz w:val="20"/>
          <w:szCs w:val="20"/>
        </w:rPr>
        <w:t xml:space="preserve">use automated scripts, bots, or scrapers to interact with the Platform in a manner inconsistent with normal human use or that would place unreasonable loads on PROVIDER's infrastructure.</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3.3 User Access Management</w:t>
      </w:r>
    </w:p>
    <w:p>
      <w:pPr>
        <w:spacing w:before="80" w:after="80" w:line="280"/>
        <w:jc w:val="both"/>
      </w:pPr>
      <w:r>
        <w:rPr>
          <w:rFonts w:ascii="Arial" w:cs="Arial" w:eastAsia="Arial" w:hAnsi="Arial"/>
          <w:b w:val="false"/>
          <w:bCs w:val="false"/>
          <w:i w:val="false"/>
          <w:iCs w:val="false"/>
          <w:color w:val="2C2C2C"/>
          <w:sz w:val="20"/>
          <w:szCs w:val="20"/>
        </w:rPr>
        <w:t xml:space="preserve">CLIENT shall be responsible for managing access to the Platform, including the issuance and revocation of Authorized User credentials. CLIENT shall:</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(a) Maintain an accurate and current list of Authorized Users, and provide PROVIDER with updates to such list within five (5) Business Days of any changes;</w:t>
      </w:r>
    </w:p>
    <w:p>
      <w:pPr>
        <w:spacing w:before="80" w:after="80" w:line="280"/>
        <w:jc w:val="both"/>
      </w:pPr>
      <w:r>
        <w:rPr>
          <w:rFonts w:ascii="Arial" w:cs="Arial" w:eastAsia="Arial" w:hAnsi="Arial"/>
          <w:b w:val="false"/>
          <w:bCs w:val="false"/>
          <w:i w:val="false"/>
          <w:iCs w:val="false"/>
          <w:color w:val="2C2C2C"/>
          <w:sz w:val="20"/>
          <w:szCs w:val="20"/>
        </w:rPr>
        <w:t xml:space="preserve">(b) Ensure that each Authorized User has agreed to usage terms that are at least as protective of PROVIDER's rights as those set forth in this Agreement;</w:t>
      </w:r>
    </w:p>
    <w:p>
      <w:pPr>
        <w:spacing w:before="80" w:after="80" w:line="280"/>
        <w:jc w:val="both"/>
      </w:pPr>
      <w:r>
        <w:rPr>
          <w:rFonts w:ascii="Arial" w:cs="Arial" w:eastAsia="Arial" w:hAnsi="Arial"/>
          <w:b w:val="false"/>
          <w:bCs w:val="false"/>
          <w:i w:val="false"/>
          <w:iCs w:val="false"/>
          <w:color w:val="2C2C2C"/>
          <w:sz w:val="20"/>
          <w:szCs w:val="20"/>
        </w:rPr>
        <w:t xml:space="preserve">(c) Promptly revoke access for any Authorized User who is no longer authorized to use the Platform, including upon termination of employment or engagement;</w:t>
      </w:r>
    </w:p>
    <w:p>
      <w:pPr>
        <w:spacing w:before="80" w:after="80" w:line="280"/>
        <w:jc w:val="both"/>
      </w:pPr>
      <w:r>
        <w:rPr>
          <w:rFonts w:ascii="Arial" w:cs="Arial" w:eastAsia="Arial" w:hAnsi="Arial"/>
          <w:b w:val="false"/>
          <w:bCs w:val="false"/>
          <w:i w:val="false"/>
          <w:iCs w:val="false"/>
          <w:color w:val="2C2C2C"/>
          <w:sz w:val="20"/>
          <w:szCs w:val="20"/>
        </w:rPr>
        <w:t xml:space="preserve">(d) Implement and enforce multi-factor authentication for all Authorized User accounts accessing the Platform;</w:t>
      </w:r>
    </w:p>
    <w:p>
      <w:pPr>
        <w:spacing w:before="80" w:after="80" w:line="280"/>
        <w:jc w:val="both"/>
      </w:pPr>
      <w:r>
        <w:rPr>
          <w:rFonts w:ascii="Arial" w:cs="Arial" w:eastAsia="Arial" w:hAnsi="Arial"/>
          <w:b w:val="false"/>
          <w:bCs w:val="false"/>
          <w:i w:val="false"/>
          <w:iCs w:val="false"/>
          <w:color w:val="2C2C2C"/>
          <w:sz w:val="20"/>
          <w:szCs w:val="20"/>
        </w:rPr>
        <w:t xml:space="preserve">(e) Notify PROVIDER immediately upon becoming aware of any unauthorized use of the Platform or any breach of Platform security.</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3.4 Platform Availability and Hosting</w:t>
      </w:r>
    </w:p>
    <w:p>
      <w:pPr>
        <w:spacing w:before="80" w:after="80" w:line="280"/>
        <w:jc w:val="both"/>
      </w:pPr>
      <w:r>
        <w:rPr>
          <w:rFonts w:ascii="Arial" w:cs="Arial" w:eastAsia="Arial" w:hAnsi="Arial"/>
          <w:b w:val="false"/>
          <w:bCs w:val="false"/>
          <w:i w:val="false"/>
          <w:iCs w:val="false"/>
          <w:color w:val="2C2C2C"/>
          <w:sz w:val="20"/>
          <w:szCs w:val="20"/>
        </w:rPr>
        <w:t xml:space="preserve">PROVIDER shall host and operate the Platform on infrastructure that meets or exceeds the specifications set forth in Exhibit 2 and the service level requirements set forth in Schedule C. Unless otherwise agreed in a Statement of Work, the Platform shall be hosted in PROVIDER's Tier 4 equivalent data centers located in the United States and the European Union, with automatic failover capabilities ensuring geographic redundancy.</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The Platform hosting infrastructure shall include, without limitation: (i) 99.95% uptime infrastructure with N+1 redundancy for all critical components; (ii) real-time data replication between primary and secondary data centers with recovery point objectives not exceeding fifteen (15) minutes; (iii) automated monitoring and alerting systems providing 24/7/365 visibility into Platform health; (iv) enterprise-grade cybersecurity controls including next-generation firewalls, intrusion detection and prevention systems, web application firewalls, and DDoS protection; and (v) physical security controls meeting SOC 2 Type II and ISO 27001 requirements.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3.5 Updates and Upgrades</w:t>
      </w:r>
    </w:p>
    <w:p>
      <w:pPr>
        <w:spacing w:before="80" w:after="80" w:line="280"/>
        <w:jc w:val="both"/>
      </w:pPr>
      <w:r>
        <w:rPr>
          <w:rFonts w:ascii="Arial" w:cs="Arial" w:eastAsia="Arial" w:hAnsi="Arial"/>
          <w:b w:val="false"/>
          <w:bCs w:val="false"/>
          <w:i w:val="false"/>
          <w:iCs w:val="false"/>
          <w:color w:val="2C2C2C"/>
          <w:sz w:val="20"/>
          <w:szCs w:val="20"/>
        </w:rPr>
        <w:t xml:space="preserve">During the Term, PROVIDER shall provide CLIENT with all generally available updates, patches, bug fixes, and minor version releases of the Platform at no additional charge. PROVIDER shall provide CLIENT with at least sixty (60) days' prior written notice before implementing any major version release that may require migration or that may materially change the functionality, interface, or integration points of the Platform.</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PROVIDER shall maintain backward compatibility for all published APIs for a minimum period of twenty-four (24) months following the introduction of any new API version, providing CLIENT with sufficient time to update any custom integrations. PROVIDER shall provide a detailed migration guide for each major version release and shall make available PROVIDER's technical staff to assist CLIENT with the migration process at the rates specified in Schedule B.</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3.6 Sublicensing to Affiliates</w:t>
      </w:r>
    </w:p>
    <w:p>
      <w:pPr>
        <w:spacing w:before="80" w:after="80" w:line="280"/>
        <w:jc w:val="both"/>
      </w:pPr>
      <w:r>
        <w:rPr>
          <w:rFonts w:ascii="Arial" w:cs="Arial" w:eastAsia="Arial" w:hAnsi="Arial"/>
          <w:b w:val="false"/>
          <w:bCs w:val="false"/>
          <w:i w:val="false"/>
          <w:iCs w:val="false"/>
          <w:color w:val="2C2C2C"/>
          <w:sz w:val="20"/>
          <w:szCs w:val="20"/>
        </w:rPr>
        <w:t xml:space="preserve">CLIENT may sublicense the rights granted in Section 3.1 to its Affiliates, provided that: (a) CLIENT notifies PROVIDER in writing of any such sublicensing within thirty (30) days; (b) each sublicensed Affiliate agrees in writing to be bound by the terms of this Agreement; (c) CLIENT remains jointly and severally liable with each sublicensed Affiliate for all obligations under this Agreement; and (d) the total number of Authorized Users across CLIENT and all sublicensed Affiliates does not exceed the maximum user count specified in Schedule B without payment of additional license fees.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3.7 Open Source Components</w:t>
      </w:r>
    </w:p>
    <w:p>
      <w:pPr>
        <w:spacing w:before="80" w:after="80" w:line="280"/>
        <w:jc w:val="both"/>
      </w:pPr>
      <w:r>
        <w:rPr>
          <w:rFonts w:ascii="Arial" w:cs="Arial" w:eastAsia="Arial" w:hAnsi="Arial"/>
          <w:b w:val="false"/>
          <w:bCs w:val="false"/>
          <w:i w:val="false"/>
          <w:iCs w:val="false"/>
          <w:color w:val="2C2C2C"/>
          <w:sz w:val="20"/>
          <w:szCs w:val="20"/>
        </w:rPr>
        <w:t xml:space="preserve">The Platform may incorporate open source software components. PROVIDER shall maintain and provide to CLIENT upon request a complete and accurate bill of materials listing all open source components incorporated into the Platform, including the license terms applicable to each component. PROVIDER represents and warrants that its use of open source components complies with all applicable open source license terms and does not impose any obligations on CLIENT beyond those set forth in this Agreement.</w:t>
      </w:r>
    </w:p>
    <w:p>
      <w:r>
        <w:br w:type="page"/>
      </w:r>
    </w:p>
    <w:p>
      <w:pPr>
        <w:pStyle w:val="Heading1"/>
        <w:spacing w:before="400" w:after="200"/>
      </w:pPr>
      <w:r>
        <w:rPr>
          <w:rFonts w:ascii="Arial" w:cs="Arial" w:eastAsia="Arial" w:hAnsi="Arial"/>
          <w:b/>
          <w:bCs/>
          <w:color w:val="1F3864"/>
          <w:sz w:val="32"/>
          <w:szCs w:val="32"/>
        </w:rPr>
        <w:t xml:space="preserve">ARTICLE 4: IMPLEMENTATION AND DEPLOYMENT</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4.1 Implementation Planning</w:t>
      </w:r>
    </w:p>
    <w:p>
      <w:pPr>
        <w:spacing w:before="80" w:after="80" w:line="280"/>
        <w:jc w:val="both"/>
      </w:pPr>
      <w:r>
        <w:rPr>
          <w:rFonts w:ascii="Arial" w:cs="Arial" w:eastAsia="Arial" w:hAnsi="Arial"/>
          <w:b w:val="false"/>
          <w:bCs w:val="false"/>
          <w:i w:val="false"/>
          <w:iCs w:val="false"/>
          <w:color w:val="2C2C2C"/>
          <w:sz w:val="20"/>
          <w:szCs w:val="20"/>
        </w:rPr>
        <w:t xml:space="preserve">Within thirty (30) days of the Effective Date, the Parties' respective Project Managers shall jointly develop and agree upon a comprehensive Implementation Plan that shall govern the deployment of the Platform and the delivery of the Services across all Phases identified in Section 2.4. The Implementation Plan shall be based on PROVIDER's standard implementation methodology and shall be tailored to CLIENT's specific requirements, existing systems landscape, and organizational structure.</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The Implementation Plan shall include, at minimum:</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A detailed work breakdown structure identifying all tasks required for successful implementation;</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A Gantt chart or equivalent project schedule showing the sequence, duration, and dependencies of all implementation activities;</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Clear identification of all critical path activities and associated risk mitigation strategies;</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A resource allocation plan identifying the PROVIDER personnel, CLIENT personnel, and third-party resources required at each stage of the implementation;</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Defined milestones, acceptance criteria, and quality gates that must be satisfied before proceeding to subsequent implementation phases;</w:t>
      </w:r>
    </w:p>
    <w:p>
      <w:pPr>
        <w:spacing w:before="60" w:after="60" w:line="260"/>
        <w:ind w:left="720" w:hanging="360"/>
      </w:pPr>
      <w:r>
        <w:rPr>
          <w:rFonts w:ascii="Arial" w:cs="Arial" w:eastAsia="Arial" w:hAnsi="Arial"/>
          <w:b/>
          <w:bCs/>
          <w:color w:val="1F3864"/>
          <w:sz w:val="20"/>
          <w:szCs w:val="20"/>
        </w:rPr>
        <w:t xml:space="preserve">6. </w:t>
      </w:r>
      <w:r>
        <w:rPr>
          <w:rFonts w:ascii="Arial" w:cs="Arial" w:eastAsia="Arial" w:hAnsi="Arial"/>
          <w:color w:val="2C2C2C"/>
          <w:sz w:val="20"/>
          <w:szCs w:val="20"/>
        </w:rPr>
        <w:t xml:space="preserve">A comprehensive data migration strategy including data mapping, cleansing, validation, and verification procedures;</w:t>
      </w:r>
    </w:p>
    <w:p>
      <w:pPr>
        <w:spacing w:before="60" w:after="60" w:line="260"/>
        <w:ind w:left="720" w:hanging="360"/>
      </w:pPr>
      <w:r>
        <w:rPr>
          <w:rFonts w:ascii="Arial" w:cs="Arial" w:eastAsia="Arial" w:hAnsi="Arial"/>
          <w:b/>
          <w:bCs/>
          <w:color w:val="1F3864"/>
          <w:sz w:val="20"/>
          <w:szCs w:val="20"/>
        </w:rPr>
        <w:t xml:space="preserve">7. </w:t>
      </w:r>
      <w:r>
        <w:rPr>
          <w:rFonts w:ascii="Arial" w:cs="Arial" w:eastAsia="Arial" w:hAnsi="Arial"/>
          <w:color w:val="2C2C2C"/>
          <w:sz w:val="20"/>
          <w:szCs w:val="20"/>
        </w:rPr>
        <w:t xml:space="preserve">A user acceptance testing strategy including test scenarios, test scripts, and acceptance criteria;</w:t>
      </w:r>
    </w:p>
    <w:p>
      <w:pPr>
        <w:spacing w:before="60" w:after="60" w:line="260"/>
        <w:ind w:left="720" w:hanging="360"/>
      </w:pPr>
      <w:r>
        <w:rPr>
          <w:rFonts w:ascii="Arial" w:cs="Arial" w:eastAsia="Arial" w:hAnsi="Arial"/>
          <w:b/>
          <w:bCs/>
          <w:color w:val="1F3864"/>
          <w:sz w:val="20"/>
          <w:szCs w:val="20"/>
        </w:rPr>
        <w:t xml:space="preserve">8. </w:t>
      </w:r>
      <w:r>
        <w:rPr>
          <w:rFonts w:ascii="Arial" w:cs="Arial" w:eastAsia="Arial" w:hAnsi="Arial"/>
          <w:color w:val="2C2C2C"/>
          <w:sz w:val="20"/>
          <w:szCs w:val="20"/>
        </w:rPr>
        <w:t xml:space="preserve">A training plan covering all user roles and levels within CLIENT's organization;</w:t>
      </w:r>
    </w:p>
    <w:p>
      <w:pPr>
        <w:spacing w:before="60" w:after="60" w:line="260"/>
        <w:ind w:left="720" w:hanging="360"/>
      </w:pPr>
      <w:r>
        <w:rPr>
          <w:rFonts w:ascii="Arial" w:cs="Arial" w:eastAsia="Arial" w:hAnsi="Arial"/>
          <w:b/>
          <w:bCs/>
          <w:color w:val="1F3864"/>
          <w:sz w:val="20"/>
          <w:szCs w:val="20"/>
        </w:rPr>
        <w:t xml:space="preserve">9. </w:t>
      </w:r>
      <w:r>
        <w:rPr>
          <w:rFonts w:ascii="Arial" w:cs="Arial" w:eastAsia="Arial" w:hAnsi="Arial"/>
          <w:color w:val="2C2C2C"/>
          <w:sz w:val="20"/>
          <w:szCs w:val="20"/>
        </w:rPr>
        <w:t xml:space="preserve">A cutover plan for transitioning from CLIENT's legacy systems to the new Platform with minimal business disruption;</w:t>
      </w:r>
    </w:p>
    <w:p>
      <w:pPr>
        <w:spacing w:before="60" w:after="60" w:line="260"/>
        <w:ind w:left="720" w:hanging="360"/>
      </w:pPr>
      <w:r>
        <w:rPr>
          <w:rFonts w:ascii="Arial" w:cs="Arial" w:eastAsia="Arial" w:hAnsi="Arial"/>
          <w:b/>
          <w:bCs/>
          <w:color w:val="1F3864"/>
          <w:sz w:val="20"/>
          <w:szCs w:val="20"/>
        </w:rPr>
        <w:t xml:space="preserve">10. </w:t>
      </w:r>
      <w:r>
        <w:rPr>
          <w:rFonts w:ascii="Arial" w:cs="Arial" w:eastAsia="Arial" w:hAnsi="Arial"/>
          <w:color w:val="2C2C2C"/>
          <w:sz w:val="20"/>
          <w:szCs w:val="20"/>
        </w:rPr>
        <w:t xml:space="preserve">A post-go-live support plan ensuring PROVIDER's enhanced support during the stabilization period following each Go-Live Date.</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4.2 Project Governance</w:t>
      </w:r>
    </w:p>
    <w:p>
      <w:pPr>
        <w:spacing w:before="80" w:after="80" w:line="280"/>
        <w:jc w:val="both"/>
      </w:pPr>
      <w:r>
        <w:rPr>
          <w:rFonts w:ascii="Arial" w:cs="Arial" w:eastAsia="Arial" w:hAnsi="Arial"/>
          <w:b w:val="false"/>
          <w:bCs w:val="false"/>
          <w:i w:val="false"/>
          <w:iCs w:val="false"/>
          <w:color w:val="2C2C2C"/>
          <w:sz w:val="20"/>
          <w:szCs w:val="20"/>
        </w:rPr>
        <w:t xml:space="preserve">The Parties shall establish a joint project governance structure to oversee the implementation and ongoing operation of the Services. This governance structure shall include: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00"/>
        <w:gridCol w:w="30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Governance Body</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Participants</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c>
          <w:tcPr>
            <w:tcW w:type="dxa" w:w="3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Executive Steering Committee</w:t>
            </w:r>
          </w:p>
        </w:tc>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C-level executives from both Parties</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Quarterly</w:t>
            </w:r>
          </w:p>
        </w:tc>
        <w:tc>
          <w:tcPr>
            <w:tcW w:type="dxa" w:w="30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Strategic oversight, issue escalation, contractual changes, budget approvals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Program Management Office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Program Managers from both Parties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Bi-weekly</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Program coordination, cross-workstream issues, risk management, milestone tracking</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Technical Architecture Board</w:t>
            </w:r>
          </w:p>
        </w:tc>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Solution Architects and Technical Leads</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Monthly</w:t>
            </w:r>
          </w:p>
        </w:tc>
        <w:tc>
          <w:tcPr>
            <w:tcW w:type="dxa" w:w="30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Technical decisions, architecture review, integration standards, security review</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Workstream Teams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Project leads and team members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Weekly</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Day-to-day delivery, task coordination, progress reporting, issue resolution</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Change Advisory Board</w:t>
            </w:r>
          </w:p>
        </w:tc>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Representatives from both Parties</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As needed</w:t>
            </w:r>
          </w:p>
        </w:tc>
        <w:tc>
          <w:tcPr>
            <w:tcW w:type="dxa" w:w="30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Review and approve change requests, assess impact on scope, timeline, and cost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Security and Compliance Committee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CISO representatives from both Parties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Monthly</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Security posture review, compliance monitoring, incident management oversight</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4.3 Acceptance Testing</w:t>
      </w:r>
    </w:p>
    <w:p>
      <w:pPr>
        <w:spacing w:before="80" w:after="80" w:line="280"/>
        <w:jc w:val="both"/>
      </w:pPr>
      <w:r>
        <w:rPr>
          <w:rFonts w:ascii="Arial" w:cs="Arial" w:eastAsia="Arial" w:hAnsi="Arial"/>
          <w:b w:val="false"/>
          <w:bCs w:val="false"/>
          <w:i w:val="false"/>
          <w:iCs w:val="false"/>
          <w:color w:val="2C2C2C"/>
          <w:sz w:val="20"/>
          <w:szCs w:val="20"/>
        </w:rPr>
        <w:t xml:space="preserve">Each Deliverable and each implementation Phase shall be subject to a formal Acceptance Testing process conducted by CLIENT. PROVIDER shall provide CLIENT with a test environment, test data, testing scripts, and all necessary support to enable CLIENT to perform comprehensive Acceptance Testing. The Acceptance Testing process shall proceed as follows:</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PROVIDER shall deliver to CLIENT written notice that a Deliverable or Phase is ready for Acceptance Testing, together with evidence demonstrating that PROVIDER has completed its own quality assurance testing;</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CLIENT shall have thirty (30) Business Days following such notice to complete Acceptance Testing and notify PROVIDER in writing of either acceptance or rejection of the Deliverable or Phase;</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If CLIENT accepts the Deliverable or Phase, CLIENT shall issue a written Acceptance Certificate signed by CLIENT's Project Manager;</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If CLIENT rejects a Deliverable or Phase, CLIENT shall provide PROVIDER with a detailed written description of all deficiencies, non-conformities, and unmet acceptance criteria;</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PROVIDER shall have fifteen (15) Business Days following receipt of CLIENT's rejection notice to remedy the identified deficiencies and resubmit the Deliverable or Phase for further Acceptance Testing;</w:t>
      </w:r>
    </w:p>
    <w:p>
      <w:pPr>
        <w:spacing w:before="60" w:after="60" w:line="260"/>
        <w:ind w:left="720" w:hanging="360"/>
      </w:pPr>
      <w:r>
        <w:rPr>
          <w:rFonts w:ascii="Arial" w:cs="Arial" w:eastAsia="Arial" w:hAnsi="Arial"/>
          <w:b/>
          <w:bCs/>
          <w:color w:val="1F3864"/>
          <w:sz w:val="20"/>
          <w:szCs w:val="20"/>
        </w:rPr>
        <w:t xml:space="preserve">6. </w:t>
      </w:r>
      <w:r>
        <w:rPr>
          <w:rFonts w:ascii="Arial" w:cs="Arial" w:eastAsia="Arial" w:hAnsi="Arial"/>
          <w:color w:val="2C2C2C"/>
          <w:sz w:val="20"/>
          <w:szCs w:val="20"/>
        </w:rPr>
        <w:t xml:space="preserve">The above process shall repeat until CLIENT either accepts the Deliverable or Phase or determines that PROVIDER has failed to remedy the deficiencies within three (3) resubmission cycles, which shall constitute a material breach of this Agreement entitling CLIENT to pursue all available remedies.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4.4 Data Migration</w:t>
      </w:r>
    </w:p>
    <w:p>
      <w:pPr>
        <w:spacing w:before="80" w:after="80" w:line="280"/>
        <w:jc w:val="both"/>
      </w:pPr>
      <w:r>
        <w:rPr>
          <w:rFonts w:ascii="Arial" w:cs="Arial" w:eastAsia="Arial" w:hAnsi="Arial"/>
          <w:b w:val="false"/>
          <w:bCs w:val="false"/>
          <w:i w:val="false"/>
          <w:iCs w:val="false"/>
          <w:color w:val="2C2C2C"/>
          <w:sz w:val="20"/>
          <w:szCs w:val="20"/>
        </w:rPr>
        <w:t xml:space="preserve">PROVIDER shall be responsible for the design and execution of the data migration strategy, subject to CLIENT's approval. The data migration process shall include:</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(a) Data Discovery and Assessment: PROVIDER shall conduct a comprehensive assessment of CLIENT's legacy data to identify data quality issues, gaps, inconsistencies, and migration risks.</w:t>
      </w:r>
    </w:p>
    <w:p>
      <w:pPr>
        <w:spacing w:before="80" w:after="80" w:line="280"/>
        <w:jc w:val="both"/>
      </w:pPr>
      <w:r>
        <w:rPr>
          <w:rFonts w:ascii="Arial" w:cs="Arial" w:eastAsia="Arial" w:hAnsi="Arial"/>
          <w:b w:val="false"/>
          <w:bCs w:val="false"/>
          <w:i w:val="false"/>
          <w:iCs w:val="false"/>
          <w:color w:val="2C2C2C"/>
          <w:sz w:val="20"/>
          <w:szCs w:val="20"/>
        </w:rPr>
        <w:t xml:space="preserve">(b) Data Mapping: PROVIDER shall develop detailed field-level data mapping documentation showing how data elements in CLIENT's legacy systems will be transformed and loaded into the new Platform.</w:t>
      </w:r>
    </w:p>
    <w:p>
      <w:pPr>
        <w:spacing w:before="80" w:after="80" w:line="280"/>
        <w:jc w:val="both"/>
      </w:pPr>
      <w:r>
        <w:rPr>
          <w:rFonts w:ascii="Arial" w:cs="Arial" w:eastAsia="Arial" w:hAnsi="Arial"/>
          <w:b w:val="false"/>
          <w:bCs w:val="false"/>
          <w:i w:val="false"/>
          <w:iCs w:val="false"/>
          <w:color w:val="2C2C2C"/>
          <w:sz w:val="20"/>
          <w:szCs w:val="20"/>
        </w:rPr>
        <w:t xml:space="preserve">(c) Data Cleansing: PROVIDER shall develop and execute data cleansing procedures to address data quality issues identified during the discovery phase, with CLIENT's approval of all proposed cleansing rules.</w:t>
      </w:r>
    </w:p>
    <w:p>
      <w:pPr>
        <w:spacing w:before="80" w:after="80" w:line="280"/>
        <w:jc w:val="both"/>
      </w:pPr>
      <w:r>
        <w:rPr>
          <w:rFonts w:ascii="Arial" w:cs="Arial" w:eastAsia="Arial" w:hAnsi="Arial"/>
          <w:b w:val="false"/>
          <w:bCs w:val="false"/>
          <w:i w:val="false"/>
          <w:iCs w:val="false"/>
          <w:color w:val="2C2C2C"/>
          <w:sz w:val="20"/>
          <w:szCs w:val="20"/>
        </w:rPr>
        <w:t xml:space="preserve">(d) Trial Migrations: PROVIDER shall perform at least three (3) trial migrations in a non-production environment to validate the migration approach and identify any issues before the final production migration.</w:t>
      </w:r>
    </w:p>
    <w:p>
      <w:pPr>
        <w:spacing w:before="80" w:after="80" w:line="280"/>
        <w:jc w:val="both"/>
      </w:pPr>
      <w:r>
        <w:rPr>
          <w:rFonts w:ascii="Arial" w:cs="Arial" w:eastAsia="Arial" w:hAnsi="Arial"/>
          <w:b w:val="false"/>
          <w:bCs w:val="false"/>
          <w:i w:val="false"/>
          <w:iCs w:val="false"/>
          <w:color w:val="2C2C2C"/>
          <w:sz w:val="20"/>
          <w:szCs w:val="20"/>
        </w:rPr>
        <w:t xml:space="preserve">(e) Production Migration: The production data migration shall be performed during an agreed maintenance window with CLIENT's full participation and authorization, using fully tested and validated migration scripts.</w:t>
      </w:r>
    </w:p>
    <w:p>
      <w:pPr>
        <w:spacing w:before="80" w:after="80" w:line="280"/>
        <w:jc w:val="both"/>
      </w:pPr>
      <w:r>
        <w:rPr>
          <w:rFonts w:ascii="Arial" w:cs="Arial" w:eastAsia="Arial" w:hAnsi="Arial"/>
          <w:b w:val="false"/>
          <w:bCs w:val="false"/>
          <w:i w:val="false"/>
          <w:iCs w:val="false"/>
          <w:color w:val="2C2C2C"/>
          <w:sz w:val="20"/>
          <w:szCs w:val="20"/>
        </w:rPr>
        <w:t xml:space="preserve">(f) Data Validation: Following migration, PROVIDER shall provide CLIENT with comprehensive reconciliation reports demonstrating the accuracy and completeness of the migrated data.</w:t>
      </w:r>
    </w:p>
    <w:p>
      <w:r>
        <w:br w:type="page"/>
      </w:r>
    </w:p>
    <w:p>
      <w:pPr>
        <w:pStyle w:val="Heading1"/>
        <w:spacing w:before="400" w:after="200"/>
      </w:pPr>
      <w:r>
        <w:rPr>
          <w:rFonts w:ascii="Arial" w:cs="Arial" w:eastAsia="Arial" w:hAnsi="Arial"/>
          <w:b/>
          <w:bCs/>
          <w:color w:val="1F3864"/>
          <w:sz w:val="32"/>
          <w:szCs w:val="32"/>
        </w:rPr>
        <w:t xml:space="preserve">ARTICLE 5: FEES, PAYMENT TERMS, AND INVOICING</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5.1 Fee Structure</w:t>
      </w:r>
    </w:p>
    <w:p>
      <w:pPr>
        <w:spacing w:before="80" w:after="80" w:line="280"/>
        <w:jc w:val="both"/>
      </w:pPr>
      <w:r>
        <w:rPr>
          <w:rFonts w:ascii="Arial" w:cs="Arial" w:eastAsia="Arial" w:hAnsi="Arial"/>
          <w:b w:val="false"/>
          <w:bCs w:val="false"/>
          <w:i w:val="false"/>
          <w:iCs w:val="false"/>
          <w:color w:val="2C2C2C"/>
          <w:sz w:val="20"/>
          <w:szCs w:val="20"/>
        </w:rPr>
        <w:t xml:space="preserve">In consideration for the Services and the license rights granted hereunder, CLIENT shall pay PROVIDER the Fees set forth in Schedule B in accordance with the payment terms specified in this Article 5. The total contract value over the initial five (5) year Term is USD $47,850,000 (Forty-Seven Million, Eight Hundred Fifty Thousand Dollars), allocated as follows: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15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Fee Category</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Year 1</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Year 2</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Year 3</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Year 4</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Year 5</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Total</w:t>
            </w:r>
          </w:p>
        </w:tc>
      </w:tr>
      <w:tr>
        <w:tc>
          <w:tcPr>
            <w:tcW w:type="dxa" w:w="2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Platform License Fees</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$2,400,000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$2,400,000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$2,640,000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$2,904,000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$3,194,400</w:t>
            </w:r>
          </w:p>
        </w:tc>
        <w:tc>
          <w:tcPr>
            <w:tcW w:type="dxa" w:w="1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$13,538,400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Implementation Fees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$4,800,000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$3,200,000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$1,600,000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$800,000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$400,000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$10,800,000</w:t>
            </w:r>
          </w:p>
        </w:tc>
      </w:tr>
      <w:tr>
        <w:tc>
          <w:tcPr>
            <w:tcW w:type="dxa" w:w="2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Managed Services Fees</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$1,800,000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$2,000,000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$2,200,000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$2,420,000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$2,662,000</w:t>
            </w:r>
          </w:p>
        </w:tc>
        <w:tc>
          <w:tcPr>
            <w:tcW w:type="dxa" w:w="1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$11,082,000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Cloud Infrastructure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$960,000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$1,056,000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$1,161,600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$1,277,760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$1,405,536</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$5,860,896</w:t>
            </w:r>
          </w:p>
        </w:tc>
      </w:tr>
      <w:tr>
        <w:tc>
          <w:tcPr>
            <w:tcW w:type="dxa" w:w="2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Professional Services</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$1,600,000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$1,200,000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$800,000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$600,000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$400,000</w:t>
            </w:r>
          </w:p>
        </w:tc>
        <w:tc>
          <w:tcPr>
            <w:tcW w:type="dxa" w:w="1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$4,600,000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Training Services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$320,000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$240,000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$160,000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$120,000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$80,000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$920,000</w:t>
            </w:r>
          </w:p>
        </w:tc>
      </w:tr>
      <w:tr>
        <w:tc>
          <w:tcPr>
            <w:tcW w:type="dxa" w:w="2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Security Services</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$480,000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$528,000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$580,800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$638,880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$702,768</w:t>
            </w:r>
          </w:p>
        </w:tc>
        <w:tc>
          <w:tcPr>
            <w:tcW w:type="dxa" w:w="1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$2,930,448</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Support and Maintenance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$144,000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$158,400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$174,240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$191,664</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$668,304</w:t>
            </w:r>
          </w:p>
        </w:tc>
      </w:tr>
      <w:tr>
        <w:tc>
          <w:tcPr>
            <w:tcW w:type="dxa" w:w="2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Reserve/Contingency</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$600,000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$300,000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$200,000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$150,000</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$100,000</w:t>
            </w:r>
          </w:p>
        </w:tc>
        <w:tc>
          <w:tcPr>
            <w:tcW w:type="dxa" w:w="1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$1,350,000 (est.)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TOTAL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$12,960,000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$11,068,000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$9,500,800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$8,884,880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$9,136,368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$51,550,048 (est.)</w:t>
            </w:r>
          </w:p>
        </w:tc>
      </w:tr>
    </w:tbl>
    <w:p>
      <w:pPr>
        <w:spacing w:before="200" w:after="0"/>
      </w:pPr>
      <w:r>
        <w:t xml:space="preserve"/>
      </w:r>
    </w:p>
    <w:p>
      <w:pPr>
        <w:spacing w:before="80" w:after="80" w:line="280"/>
        <w:jc w:val="both"/>
      </w:pPr>
      <w:r>
        <w:rPr>
          <w:rFonts w:ascii="Arial" w:cs="Arial" w:eastAsia="Arial" w:hAnsi="Arial"/>
          <w:b w:val="false"/>
          <w:bCs w:val="false"/>
          <w:i/>
          <w:iCs/>
          <w:color w:val="2C2C2C"/>
          <w:sz w:val="20"/>
          <w:szCs w:val="20"/>
        </w:rPr>
        <w:t xml:space="preserve">Note: The total contract value for core Services is USD $47,850,000. The estimated total including variable components (cloud infrastructure consumption, professional services at time and materials rates) may vary. The contingency reserve is held by CLIENT and released only upon written approval for specific scope additions.</w:t>
      </w:r>
    </w:p>
    <w:p>
      <w:pPr>
        <w:spacing w:before="200" w:after="0"/>
      </w:pPr>
      <w:r>
        <w:t xml:space="preserve"/>
      </w:r>
    </w:p>
    <w:p>
      <w:pPr>
        <w:pStyle w:val="Heading2"/>
        <w:spacing w:before="300" w:after="150"/>
      </w:pPr>
      <w:r>
        <w:rPr>
          <w:rFonts w:ascii="Arial" w:cs="Arial" w:eastAsia="Arial" w:hAnsi="Arial"/>
          <w:b/>
          <w:bCs/>
          <w:color w:val="1A5276"/>
          <w:sz w:val="26"/>
          <w:szCs w:val="26"/>
        </w:rPr>
        <w:t xml:space="preserve">5.2 Payment Terms</w:t>
      </w:r>
    </w:p>
    <w:p>
      <w:pPr>
        <w:spacing w:before="80" w:after="80" w:line="280"/>
        <w:jc w:val="both"/>
      </w:pPr>
      <w:r>
        <w:rPr>
          <w:rFonts w:ascii="Arial" w:cs="Arial" w:eastAsia="Arial" w:hAnsi="Arial"/>
          <w:b w:val="false"/>
          <w:bCs w:val="false"/>
          <w:i w:val="false"/>
          <w:iCs w:val="false"/>
          <w:color w:val="2C2C2C"/>
          <w:sz w:val="20"/>
          <w:szCs w:val="20"/>
        </w:rPr>
        <w:t xml:space="preserve">Unless otherwise specified in Schedule B or an applicable Statement of Work, the following payment terms shall govern all invoices issued under this Agreement:</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(a) Platform License Fees shall be invoiced annually in advance on the first Business Day of each contract year, and shall be payable by CLIENT within thirty (30) calendar days of the invoice date.</w:t>
      </w:r>
    </w:p>
    <w:p>
      <w:pPr>
        <w:spacing w:before="80" w:after="80" w:line="280"/>
        <w:jc w:val="both"/>
      </w:pPr>
      <w:r>
        <w:rPr>
          <w:rFonts w:ascii="Arial" w:cs="Arial" w:eastAsia="Arial" w:hAnsi="Arial"/>
          <w:b w:val="false"/>
          <w:bCs w:val="false"/>
          <w:i w:val="false"/>
          <w:iCs w:val="false"/>
          <w:color w:val="2C2C2C"/>
          <w:sz w:val="20"/>
          <w:szCs w:val="20"/>
        </w:rPr>
        <w:t xml:space="preserve">(b) Implementation Fees shall be invoiced monthly in arrears based on the actual milestones achieved and percentage of work completed as documented in the monthly progress report jointly approved by the Parties' Project Managers.</w:t>
      </w:r>
    </w:p>
    <w:p>
      <w:pPr>
        <w:spacing w:before="80" w:after="80" w:line="280"/>
        <w:jc w:val="both"/>
      </w:pPr>
      <w:r>
        <w:rPr>
          <w:rFonts w:ascii="Arial" w:cs="Arial" w:eastAsia="Arial" w:hAnsi="Arial"/>
          <w:b w:val="false"/>
          <w:bCs w:val="false"/>
          <w:i w:val="false"/>
          <w:iCs w:val="false"/>
          <w:color w:val="2C2C2C"/>
          <w:sz w:val="20"/>
          <w:szCs w:val="20"/>
        </w:rPr>
        <w:t xml:space="preserve">(c) Managed Services Fees shall be invoiced monthly in advance and shall be payable within thirty (30) calendar days of the invoice date.</w:t>
      </w:r>
    </w:p>
    <w:p>
      <w:pPr>
        <w:spacing w:before="80" w:after="80" w:line="280"/>
        <w:jc w:val="both"/>
      </w:pPr>
      <w:r>
        <w:rPr>
          <w:rFonts w:ascii="Arial" w:cs="Arial" w:eastAsia="Arial" w:hAnsi="Arial"/>
          <w:b w:val="false"/>
          <w:bCs w:val="false"/>
          <w:i w:val="false"/>
          <w:iCs w:val="false"/>
          <w:color w:val="2C2C2C"/>
          <w:sz w:val="20"/>
          <w:szCs w:val="20"/>
        </w:rPr>
        <w:t xml:space="preserve">(d) Professional Services provided on a time and materials basis shall be invoiced bi-weekly in arrears based on actual hours worked at the rates specified in Schedule B, and shall be payable within thirty (30) calendar days of the invoice date.</w:t>
      </w:r>
    </w:p>
    <w:p>
      <w:pPr>
        <w:spacing w:before="80" w:after="80" w:line="280"/>
        <w:jc w:val="both"/>
      </w:pPr>
      <w:r>
        <w:rPr>
          <w:rFonts w:ascii="Arial" w:cs="Arial" w:eastAsia="Arial" w:hAnsi="Arial"/>
          <w:b w:val="false"/>
          <w:bCs w:val="false"/>
          <w:i w:val="false"/>
          <w:iCs w:val="false"/>
          <w:color w:val="2C2C2C"/>
          <w:sz w:val="20"/>
          <w:szCs w:val="20"/>
        </w:rPr>
        <w:t xml:space="preserve">(e) Pass-through costs, including cloud infrastructure consumption charges, shall be invoiced monthly in arrears at actual cost with no markup, supported by originating invoices from the relevant cloud providers.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5.3 Invoicing Requirements</w:t>
      </w:r>
    </w:p>
    <w:p>
      <w:pPr>
        <w:spacing w:before="80" w:after="80" w:line="280"/>
        <w:jc w:val="both"/>
      </w:pPr>
      <w:r>
        <w:rPr>
          <w:rFonts w:ascii="Arial" w:cs="Arial" w:eastAsia="Arial" w:hAnsi="Arial"/>
          <w:b w:val="false"/>
          <w:bCs w:val="false"/>
          <w:i w:val="false"/>
          <w:iCs w:val="false"/>
          <w:color w:val="2C2C2C"/>
          <w:sz w:val="20"/>
          <w:szCs w:val="20"/>
        </w:rPr>
        <w:t xml:space="preserve">All invoices submitted by PROVIDER under this Agreement shall comply with the following requirements:</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Invoices shall be addressed to CLIENT's Accounts Payable department and clearly identify the purchase order number, contract number, and Statement of Work number (if applicable) to which the invoice relates;</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Invoices for time and materials services shall include a detailed breakdown of hours worked by each individual, their billing rate, the tasks performed, and the Deliverable or activity to which the work relates;</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Invoices for milestone-based Fees shall be accompanied by the relevant Acceptance Certificate signed by CLIENT's Project Manager;</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Invoices shall be submitted in both electronic format (PDF via email to the designated billing email address) and through CLIENT's designated procurement portal;</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Invoices shall comply with all applicable tax regulations, including the inclusion of all required tax identifiers, tax registration numbers, and tax breakdowns.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5.4 Disputed Invoices</w:t>
      </w:r>
    </w:p>
    <w:p>
      <w:pPr>
        <w:spacing w:before="80" w:after="80" w:line="280"/>
        <w:jc w:val="both"/>
      </w:pPr>
      <w:r>
        <w:rPr>
          <w:rFonts w:ascii="Arial" w:cs="Arial" w:eastAsia="Arial" w:hAnsi="Arial"/>
          <w:b w:val="false"/>
          <w:bCs w:val="false"/>
          <w:i w:val="false"/>
          <w:iCs w:val="false"/>
          <w:color w:val="2C2C2C"/>
          <w:sz w:val="20"/>
          <w:szCs w:val="20"/>
        </w:rPr>
        <w:t xml:space="preserve">CLIENT may dispute any invoice or portion thereof in good faith by providing PROVIDER with written notice of the disputed amount within fifteen (15) Business Days of receipt of the invoice, specifying in reasonable detail the basis for the dispute. CLIENT shall pay all undisputed amounts by the applicable due date. PROVIDER shall not suspend or degrade the Services as a result of a good faith invoice dispute while the dispute resolution process is ongoing.</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5.5 Late Payment</w:t>
      </w:r>
    </w:p>
    <w:p>
      <w:pPr>
        <w:spacing w:before="80" w:after="80" w:line="280"/>
        <w:jc w:val="both"/>
      </w:pPr>
      <w:r>
        <w:rPr>
          <w:rFonts w:ascii="Arial" w:cs="Arial" w:eastAsia="Arial" w:hAnsi="Arial"/>
          <w:b w:val="false"/>
          <w:bCs w:val="false"/>
          <w:i w:val="false"/>
          <w:iCs w:val="false"/>
          <w:color w:val="2C2C2C"/>
          <w:sz w:val="20"/>
          <w:szCs w:val="20"/>
        </w:rPr>
        <w:t xml:space="preserve">Undisputed amounts that remain unpaid after the applicable due date shall accrue interest at a rate of one and one-half percent (1.5%) per month (or the maximum rate permitted by Applicable Law, if lower) from the due date until paid in full. PROVIDER shall provide CLIENT with written notice of any late payment and a cure period of fifteen (15) Business Days before assessing interest charges.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5.6 Taxes</w:t>
      </w:r>
    </w:p>
    <w:p>
      <w:pPr>
        <w:spacing w:before="80" w:after="80" w:line="280"/>
        <w:jc w:val="both"/>
      </w:pPr>
      <w:r>
        <w:rPr>
          <w:rFonts w:ascii="Arial" w:cs="Arial" w:eastAsia="Arial" w:hAnsi="Arial"/>
          <w:b w:val="false"/>
          <w:bCs w:val="false"/>
          <w:i w:val="false"/>
          <w:iCs w:val="false"/>
          <w:color w:val="2C2C2C"/>
          <w:sz w:val="20"/>
          <w:szCs w:val="20"/>
        </w:rPr>
        <w:t xml:space="preserve">Each Party shall be responsible for all taxes imposed on its own income or net revenues. PROVIDER is responsible for collecting and remitting all applicable sales, use, value-added, goods and services, and similar taxes arising from the provision of the Services, and shall separately state the amount of any such taxes on each invoice. CLIENT shall provide PROVIDER with applicable tax exemption certificates where CLIENT is exempt from particular taxes. If any withholding tax is required to be deducted from payments to PROVIDER by Applicable Law, CLIENT shall gross up the payment such that PROVIDER receives the full amount it would have received absent the withholding, and shall promptly provide PROVIDER with an official withholding tax certificate.</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5.7 Fee Adjustments</w:t>
      </w:r>
    </w:p>
    <w:p>
      <w:pPr>
        <w:spacing w:before="80" w:after="80" w:line="280"/>
        <w:jc w:val="both"/>
      </w:pPr>
      <w:r>
        <w:rPr>
          <w:rFonts w:ascii="Arial" w:cs="Arial" w:eastAsia="Arial" w:hAnsi="Arial"/>
          <w:b w:val="false"/>
          <w:bCs w:val="false"/>
          <w:i w:val="false"/>
          <w:iCs w:val="false"/>
          <w:color w:val="2C2C2C"/>
          <w:sz w:val="20"/>
          <w:szCs w:val="20"/>
        </w:rPr>
        <w:t xml:space="preserve">License Fees shall be subject to annual adjustment as follows: (a) beginning on April 1, 2026, Platform License Fees shall increase by ten percent (10%) annually; (b) Managed Services Fees shall be subject to annual adjustment equal to the lesser of (i) five percent (5%) or (ii) the change in the U.S. Bureau of Labor Statistics Consumer Price Index for All Urban Consumers (CPI-U) for the twelve-month period ending on December 31 of the preceding year. Professional Services rates shall be fixed for the first two (2) years and thereafter may be adjusted annually upon ninety (90) days' prior written notice, subject to CLIENT's approval.</w:t>
      </w:r>
    </w:p>
    <w:p>
      <w:r>
        <w:br w:type="page"/>
      </w:r>
    </w:p>
    <w:p>
      <w:pPr>
        <w:pStyle w:val="Heading1"/>
        <w:spacing w:before="400" w:after="200"/>
      </w:pPr>
      <w:r>
        <w:rPr>
          <w:rFonts w:ascii="Arial" w:cs="Arial" w:eastAsia="Arial" w:hAnsi="Arial"/>
          <w:b/>
          <w:bCs/>
          <w:color w:val="1F3864"/>
          <w:sz w:val="32"/>
          <w:szCs w:val="32"/>
        </w:rPr>
        <w:t xml:space="preserve">ARTICLE 6: SERVICE LEVEL AGREEMENTS</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6.1 Service Level Commitments</w:t>
      </w:r>
    </w:p>
    <w:p>
      <w:pPr>
        <w:spacing w:before="80" w:after="80" w:line="280"/>
        <w:jc w:val="both"/>
      </w:pPr>
      <w:r>
        <w:rPr>
          <w:rFonts w:ascii="Arial" w:cs="Arial" w:eastAsia="Arial" w:hAnsi="Arial"/>
          <w:b w:val="false"/>
          <w:bCs w:val="false"/>
          <w:i w:val="false"/>
          <w:iCs w:val="false"/>
          <w:color w:val="2C2C2C"/>
          <w:sz w:val="20"/>
          <w:szCs w:val="20"/>
        </w:rPr>
        <w:t xml:space="preserve">PROVIDER shall deliver the Services in accordance with the Service Level Agreement set forth in Schedule C. The key service level commitments are summarized below, with full details, measurement methodologies, exclusions, and remedies specified in Schedule C:</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Service Level Metric</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Measurement Period</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Reporting Frequency</w:t>
            </w:r>
          </w:p>
        </w:tc>
      </w:tr>
      <w:tr>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Platform Availability (Production)</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99.95%</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Monthly</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Monthly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Platform Availability (Staging/UAT)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99.50%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Monthly</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Monthly</w:t>
            </w:r>
          </w:p>
        </w:tc>
      </w:tr>
      <w:tr>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Critical Defect Response Time</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15 minutes</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Per incident</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Real-time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Critical Defect Resolution Time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 hours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Per incident</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Per incident</w:t>
            </w:r>
          </w:p>
        </w:tc>
      </w:tr>
      <w:tr>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High Severity Defect Response Time</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 hour</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Per incident</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Real-time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High Severity Defect Resolution Time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8 business hours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Per incident</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Per incident</w:t>
            </w:r>
          </w:p>
        </w:tc>
      </w:tr>
      <w:tr>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Medium Severity Defect Response Time</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4 business hours</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Per incident</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Daily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Medium Severity Defect Resolution Time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 business days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Per incident</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Per incident</w:t>
            </w:r>
          </w:p>
        </w:tc>
      </w:tr>
      <w:tr>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Low Severity Defect Resolution Time</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30 business days</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Per incident</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Monthly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Planned Maintenance Window (max)</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8 hours per month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Monthly</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Monthly</w:t>
            </w:r>
          </w:p>
        </w:tc>
      </w:tr>
      <w:tr>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Service Desk Response (Phone)</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30 seconds (95th percentile)</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Monthly</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Monthly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Service Desk Response (Email/Portal)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 business hours (95th percentile)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Monthly</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Monthly</w:t>
            </w:r>
          </w:p>
        </w:tc>
      </w:tr>
      <w:tr>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Patch Deployment (Critical Security)</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24 hours from release</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Per patch</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Per patch</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 Backup Completion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100% nightly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Daily</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Daily</w:t>
            </w:r>
          </w:p>
        </w:tc>
      </w:tr>
      <w:tr>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Recovery Point Objective</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15 minutes</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Per incident</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Per incident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Recovery Time Objective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 hours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Per incident</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Per incident</w:t>
            </w:r>
          </w:p>
        </w:tc>
      </w:tr>
      <w:tr>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Monthly Reporting Delivery</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5th business day of following month</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Monthly</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Monthly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Security Incident Notification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 hours of discovery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Per incident</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Per incident</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6.2 Service Credits</w:t>
      </w:r>
    </w:p>
    <w:p>
      <w:pPr>
        <w:spacing w:before="80" w:after="80" w:line="280"/>
        <w:jc w:val="both"/>
      </w:pPr>
      <w:r>
        <w:rPr>
          <w:rFonts w:ascii="Arial" w:cs="Arial" w:eastAsia="Arial" w:hAnsi="Arial"/>
          <w:b w:val="false"/>
          <w:bCs w:val="false"/>
          <w:i w:val="false"/>
          <w:iCs w:val="false"/>
          <w:color w:val="2C2C2C"/>
          <w:sz w:val="20"/>
          <w:szCs w:val="20"/>
        </w:rPr>
        <w:t xml:space="preserve">In the event that PROVIDER fails to meet any Service Level commitment, CLIENT shall be entitled to Service Credits calculated in accordance with the credit schedule set forth in Schedule C. Service Credits shall be automatically calculated by PROVIDER and applied to CLIENT's following monthly invoice. The aggregate maximum Service Credits in any calendar month shall not exceed twenty-five percent (25%) of the monthly Fees payable by CLIENT for the affected Service.</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CLIENT acknowledges that Service Credits are CLIENT's exclusive financial remedy for PROVIDER's failure to meet the Service Level commitments, except where such failure constitutes a material breach of this Agreement (which shall be determined by reference to persistent failure over multiple months, as defined in Schedule C), in which case CLIENT may pursue all available legal remedies.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6.3 Service Level Reporting</w:t>
      </w:r>
    </w:p>
    <w:p>
      <w:pPr>
        <w:spacing w:before="80" w:after="80" w:line="280"/>
        <w:jc w:val="both"/>
      </w:pPr>
      <w:r>
        <w:rPr>
          <w:rFonts w:ascii="Arial" w:cs="Arial" w:eastAsia="Arial" w:hAnsi="Arial"/>
          <w:b w:val="false"/>
          <w:bCs w:val="false"/>
          <w:i w:val="false"/>
          <w:iCs w:val="false"/>
          <w:color w:val="2C2C2C"/>
          <w:sz w:val="20"/>
          <w:szCs w:val="20"/>
        </w:rPr>
        <w:t xml:space="preserve">PROVIDER shall provide CLIENT with a comprehensive monthly Service Level report within five (5) Business Days following the end of each calendar month. The monthly report shall include:</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Actual performance against each Service Level metric, including raw measurement data and trend analysis;</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A detailed explanation of any Service Level failures, including root cause analysis and corrective action plans;</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Calculation of any applicable Service Credits;</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Summary of all incidents, including severity classification, response times, resolution times, and closure status;</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Infrastructure capacity and performance metrics;</w:t>
      </w:r>
    </w:p>
    <w:p>
      <w:pPr>
        <w:spacing w:before="60" w:after="60" w:line="260"/>
        <w:ind w:left="720" w:hanging="360"/>
      </w:pPr>
      <w:r>
        <w:rPr>
          <w:rFonts w:ascii="Arial" w:cs="Arial" w:eastAsia="Arial" w:hAnsi="Arial"/>
          <w:b/>
          <w:bCs/>
          <w:color w:val="1F3864"/>
          <w:sz w:val="20"/>
          <w:szCs w:val="20"/>
        </w:rPr>
        <w:t xml:space="preserve">6. </w:t>
      </w:r>
      <w:r>
        <w:rPr>
          <w:rFonts w:ascii="Arial" w:cs="Arial" w:eastAsia="Arial" w:hAnsi="Arial"/>
          <w:color w:val="2C2C2C"/>
          <w:sz w:val="20"/>
          <w:szCs w:val="20"/>
        </w:rPr>
        <w:t xml:space="preserve">Security event summary and vulnerability status;</w:t>
      </w:r>
    </w:p>
    <w:p>
      <w:pPr>
        <w:spacing w:before="60" w:after="60" w:line="260"/>
        <w:ind w:left="720" w:hanging="360"/>
      </w:pPr>
      <w:r>
        <w:rPr>
          <w:rFonts w:ascii="Arial" w:cs="Arial" w:eastAsia="Arial" w:hAnsi="Arial"/>
          <w:b/>
          <w:bCs/>
          <w:color w:val="1F3864"/>
          <w:sz w:val="20"/>
          <w:szCs w:val="20"/>
        </w:rPr>
        <w:t xml:space="preserve">7. </w:t>
      </w:r>
      <w:r>
        <w:rPr>
          <w:rFonts w:ascii="Arial" w:cs="Arial" w:eastAsia="Arial" w:hAnsi="Arial"/>
          <w:color w:val="2C2C2C"/>
          <w:sz w:val="20"/>
          <w:szCs w:val="20"/>
        </w:rPr>
        <w:t xml:space="preserve">Planned maintenance activities for the upcoming month;</w:t>
      </w:r>
    </w:p>
    <w:p>
      <w:pPr>
        <w:spacing w:before="60" w:after="60" w:line="260"/>
        <w:ind w:left="720" w:hanging="360"/>
      </w:pPr>
      <w:r>
        <w:rPr>
          <w:rFonts w:ascii="Arial" w:cs="Arial" w:eastAsia="Arial" w:hAnsi="Arial"/>
          <w:b/>
          <w:bCs/>
          <w:color w:val="1F3864"/>
          <w:sz w:val="20"/>
          <w:szCs w:val="20"/>
        </w:rPr>
        <w:t xml:space="preserve">8. </w:t>
      </w:r>
      <w:r>
        <w:rPr>
          <w:rFonts w:ascii="Arial" w:cs="Arial" w:eastAsia="Arial" w:hAnsi="Arial"/>
          <w:color w:val="2C2C2C"/>
          <w:sz w:val="20"/>
          <w:szCs w:val="20"/>
        </w:rPr>
        <w:t xml:space="preserve">Key risks and issues affecting or potentially affecting service delivery.</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6.4 Continuous Improvement</w:t>
      </w:r>
    </w:p>
    <w:p>
      <w:pPr>
        <w:spacing w:before="80" w:after="80" w:line="280"/>
        <w:jc w:val="both"/>
      </w:pPr>
      <w:r>
        <w:rPr>
          <w:rFonts w:ascii="Arial" w:cs="Arial" w:eastAsia="Arial" w:hAnsi="Arial"/>
          <w:b w:val="false"/>
          <w:bCs w:val="false"/>
          <w:i w:val="false"/>
          <w:iCs w:val="false"/>
          <w:color w:val="2C2C2C"/>
          <w:sz w:val="20"/>
          <w:szCs w:val="20"/>
        </w:rPr>
        <w:t xml:space="preserve">PROVIDER shall implement a continuous improvement program in connection with the Services, which shall include quarterly service review meetings with CLIENT to assess performance trends, identify opportunities for improvement, and agree on specific improvement initiatives. PROVIDER shall present an annual technology roadmap showing planned investments in the Platform and infrastructure that are expected to improve service quality, reliability, and performance.</w:t>
      </w:r>
    </w:p>
    <w:p>
      <w:r>
        <w:br w:type="page"/>
      </w:r>
    </w:p>
    <w:p>
      <w:pPr>
        <w:pStyle w:val="Heading1"/>
        <w:spacing w:before="400" w:after="200"/>
      </w:pPr>
      <w:r>
        <w:rPr>
          <w:rFonts w:ascii="Arial" w:cs="Arial" w:eastAsia="Arial" w:hAnsi="Arial"/>
          <w:b/>
          <w:bCs/>
          <w:color w:val="1F3864"/>
          <w:sz w:val="32"/>
          <w:szCs w:val="32"/>
        </w:rPr>
        <w:t xml:space="preserve">ARTICLE 7: INTELLECTUAL PROPERTY RIGHTS</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7.1 Ownership of Pre-Existing Intellectual Property</w:t>
      </w:r>
    </w:p>
    <w:p>
      <w:pPr>
        <w:spacing w:before="80" w:after="80" w:line="280"/>
        <w:jc w:val="both"/>
      </w:pPr>
      <w:r>
        <w:rPr>
          <w:rFonts w:ascii="Arial" w:cs="Arial" w:eastAsia="Arial" w:hAnsi="Arial"/>
          <w:b w:val="false"/>
          <w:bCs w:val="false"/>
          <w:i w:val="false"/>
          <w:iCs w:val="false"/>
          <w:color w:val="2C2C2C"/>
          <w:sz w:val="20"/>
          <w:szCs w:val="20"/>
        </w:rPr>
        <w:t xml:space="preserve">Each Party shall retain all right, title, and interest in and to its Pre-Existing IP. "Pre-Existing IP" means all Intellectual Property Rights owned by or licensed to a Party prior to the Effective Date, or developed or acquired by a Party independently of this Agreement. Nothing in this Agreement shall be construed as transferring any ownership interest in either Party's Pre-Existing IP to the other Party.</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7.2 PROVIDER's Intellectual Property</w:t>
      </w:r>
    </w:p>
    <w:p>
      <w:pPr>
        <w:spacing w:before="80" w:after="80" w:line="280"/>
        <w:jc w:val="both"/>
      </w:pPr>
      <w:r>
        <w:rPr>
          <w:rFonts w:ascii="Arial" w:cs="Arial" w:eastAsia="Arial" w:hAnsi="Arial"/>
          <w:b w:val="false"/>
          <w:bCs w:val="false"/>
          <w:i w:val="false"/>
          <w:iCs w:val="false"/>
          <w:color w:val="2C2C2C"/>
          <w:sz w:val="20"/>
          <w:szCs w:val="20"/>
        </w:rPr>
        <w:t xml:space="preserve">PROVIDER retains all right, title, and interest in and to: (a) the Enterprise Platform and all components thereof; (b) PROVIDER's proprietary tools, methodologies, processes, and know-how; (c) all work product and improvements that are of general applicability to PROVIDER's business and not specifically developed for CLIENT; and (d) all Intellectual Property Rights in the foregoing. The license granted to CLIENT in Article 3 does not constitute a transfer of any ownership interest in the foregoing.</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7.3 Ownership of Client-Specific Deliverables</w:t>
      </w:r>
    </w:p>
    <w:p>
      <w:pPr>
        <w:spacing w:before="80" w:after="80" w:line="280"/>
        <w:jc w:val="both"/>
      </w:pPr>
      <w:r>
        <w:rPr>
          <w:rFonts w:ascii="Arial" w:cs="Arial" w:eastAsia="Arial" w:hAnsi="Arial"/>
          <w:b w:val="false"/>
          <w:bCs w:val="false"/>
          <w:i w:val="false"/>
          <w:iCs w:val="false"/>
          <w:color w:val="2C2C2C"/>
          <w:sz w:val="20"/>
          <w:szCs w:val="20"/>
        </w:rPr>
        <w:t xml:space="preserve">All Deliverables that are specifically developed for CLIENT and funded by CLIENT's Fees ("Client-Specific Deliverables") shall be owned by CLIENT upon payment in full of all applicable Fees. For the avoidance of doubt, Client-Specific Deliverables do not include PROVIDER's standard Platform modules, generic industry solutions, or any work that PROVIDER intends to use for other customers, which shall remain PROVIDER's property.</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To the extent that any Client-Specific Deliverable incorporates PROVIDER's Pre-Existing IP, PROVIDER hereby grants CLIENT a perpetual, irrevocable, non-exclusive, royalty-free license to use such Pre-Existing IP solely as incorporated in the Client-Specific Deliverable.</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7.4 User Data Ownership</w:t>
      </w:r>
    </w:p>
    <w:p>
      <w:pPr>
        <w:spacing w:before="80" w:after="80" w:line="280"/>
        <w:jc w:val="both"/>
      </w:pPr>
      <w:r>
        <w:rPr>
          <w:rFonts w:ascii="Arial" w:cs="Arial" w:eastAsia="Arial" w:hAnsi="Arial"/>
          <w:b w:val="false"/>
          <w:bCs w:val="false"/>
          <w:i w:val="false"/>
          <w:iCs w:val="false"/>
          <w:color w:val="2C2C2C"/>
          <w:sz w:val="20"/>
          <w:szCs w:val="20"/>
        </w:rPr>
        <w:t xml:space="preserve">CLIENT owns all right, title, and interest in and to User Data. PROVIDER shall have no right to use User Data for any purpose other than: (a) providing the Services to CLIENT; (b) improving the security and performance of the Platform (using aggregated, anonymized data only); and (c) complying with Applicable Law. PROVIDER shall not sell, transfer, disclose, or otherwise use User Data for PROVIDER's own commercial purposes, including without limitation to train artificial intelligence or machine learning models used for purposes other than CLIENT's benefit.</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7.5 License Back</w:t>
      </w:r>
    </w:p>
    <w:p>
      <w:pPr>
        <w:spacing w:before="80" w:after="80" w:line="280"/>
        <w:jc w:val="both"/>
      </w:pPr>
      <w:r>
        <w:rPr>
          <w:rFonts w:ascii="Arial" w:cs="Arial" w:eastAsia="Arial" w:hAnsi="Arial"/>
          <w:b w:val="false"/>
          <w:bCs w:val="false"/>
          <w:i w:val="false"/>
          <w:iCs w:val="false"/>
          <w:color w:val="2C2C2C"/>
          <w:sz w:val="20"/>
          <w:szCs w:val="20"/>
        </w:rPr>
        <w:t xml:space="preserve">CLIENT hereby grants PROVIDER a limited, non-exclusive, non-transferable license to use Client-Specific Deliverables and User Data solely to the extent necessary to provide the Services to CLIENT during the Term of this Agreement. This license shall automatically terminate upon expiration or termination of this Agreement.</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7.6 Third-Party Intellectual Property</w:t>
      </w:r>
    </w:p>
    <w:p>
      <w:pPr>
        <w:spacing w:before="80" w:after="80" w:line="280"/>
        <w:jc w:val="both"/>
      </w:pPr>
      <w:r>
        <w:rPr>
          <w:rFonts w:ascii="Arial" w:cs="Arial" w:eastAsia="Arial" w:hAnsi="Arial"/>
          <w:b w:val="false"/>
          <w:bCs w:val="false"/>
          <w:i w:val="false"/>
          <w:iCs w:val="false"/>
          <w:color w:val="2C2C2C"/>
          <w:sz w:val="20"/>
          <w:szCs w:val="20"/>
        </w:rPr>
        <w:t xml:space="preserve">PROVIDER shall be responsible for obtaining all necessary licenses, consents, and permissions from third parties in connection with any third-party Intellectual Property Rights incorporated into the Platform, Services, or Deliverables. PROVIDER represents and warrants that it has obtained, and shall maintain throughout the Term, all such licenses, consents, and permissions necessary for CLIENT's use of the Platform and Services in accordance with this Agreement.</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7.7 Feedback</w:t>
      </w:r>
    </w:p>
    <w:p>
      <w:pPr>
        <w:spacing w:before="80" w:after="80" w:line="280"/>
        <w:jc w:val="both"/>
      </w:pPr>
      <w:r>
        <w:rPr>
          <w:rFonts w:ascii="Arial" w:cs="Arial" w:eastAsia="Arial" w:hAnsi="Arial"/>
          <w:b w:val="false"/>
          <w:bCs w:val="false"/>
          <w:i w:val="false"/>
          <w:iCs w:val="false"/>
          <w:color w:val="2C2C2C"/>
          <w:sz w:val="20"/>
          <w:szCs w:val="20"/>
        </w:rPr>
        <w:t xml:space="preserve">If CLIENT or any Authorized User provides PROVIDER with suggestions, ideas, enhancement requests, feedback, or other information relating to the Platform or Services ("Feedback"), PROVIDER shall be free to use such Feedback for any purpose without restriction or compensation to CLIENT, provided that PROVIDER does not publicly attribute such Feedback to CLIENT without CLIENT's consent. CLIENT assigns to PROVIDER all Intellectual Property Rights in and to such Feedback.</w:t>
      </w:r>
    </w:p>
    <w:p>
      <w:r>
        <w:br w:type="page"/>
      </w:r>
    </w:p>
    <w:p>
      <w:pPr>
        <w:pStyle w:val="Heading1"/>
        <w:spacing w:before="400" w:after="200"/>
      </w:pPr>
      <w:r>
        <w:rPr>
          <w:rFonts w:ascii="Arial" w:cs="Arial" w:eastAsia="Arial" w:hAnsi="Arial"/>
          <w:b/>
          <w:bCs/>
          <w:color w:val="1F3864"/>
          <w:sz w:val="32"/>
          <w:szCs w:val="32"/>
        </w:rPr>
        <w:t xml:space="preserve">ARTICLE 8: DATA PROTECTION AND PRIVACY</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8.1 Data Processing Roles</w:t>
      </w:r>
    </w:p>
    <w:p>
      <w:pPr>
        <w:spacing w:before="80" w:after="80" w:line="280"/>
        <w:jc w:val="both"/>
      </w:pPr>
      <w:r>
        <w:rPr>
          <w:rFonts w:ascii="Arial" w:cs="Arial" w:eastAsia="Arial" w:hAnsi="Arial"/>
          <w:b w:val="false"/>
          <w:bCs w:val="false"/>
          <w:i w:val="false"/>
          <w:iCs w:val="false"/>
          <w:color w:val="2C2C2C"/>
          <w:sz w:val="20"/>
          <w:szCs w:val="20"/>
        </w:rPr>
        <w:t xml:space="preserve">The Parties agree that in relation to Personal Data processed under this Agreement: (a) CLIENT acts as the Data Controller (as defined under Applicable Law); and (b) PROVIDER acts as the Data Processor (as defined under Applicable Law), processing Personal Data solely on behalf of and under the instruction of CLIENT. The specific terms governing PROVIDER's processing of Personal Data are set forth in the Data Processing Agreement at Schedule D.</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8.2 PROVIDER's Data Processing Obligations</w:t>
      </w:r>
    </w:p>
    <w:p>
      <w:pPr>
        <w:spacing w:before="80" w:after="80" w:line="280"/>
        <w:jc w:val="both"/>
      </w:pPr>
      <w:r>
        <w:rPr>
          <w:rFonts w:ascii="Arial" w:cs="Arial" w:eastAsia="Arial" w:hAnsi="Arial"/>
          <w:b w:val="false"/>
          <w:bCs w:val="false"/>
          <w:i w:val="false"/>
          <w:iCs w:val="false"/>
          <w:color w:val="2C2C2C"/>
          <w:sz w:val="20"/>
          <w:szCs w:val="20"/>
        </w:rPr>
        <w:t xml:space="preserve">In its capacity as Data Processor, PROVIDER shall:</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Process Personal Data only on documented instructions from CLIENT, unless required to do otherwise by Applicable Law;</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Ensure that all PROVIDER personnel authorized to process Personal Data are subject to appropriate confidentiality obligations;</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Implement and maintain appropriate technical and organizational security measures to protect Personal Data against unauthorized or unlawful processing, accidental loss, destruction, or damage;</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Not engage any Sub-processor for the processing of Personal Data without CLIENT's prior written authorization;</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Assist CLIENT in responding to data subjects' exercise of their rights under Applicable Law (including the right of access, rectification, erasure, data portability, and objection);</w:t>
      </w:r>
    </w:p>
    <w:p>
      <w:pPr>
        <w:spacing w:before="60" w:after="60" w:line="260"/>
        <w:ind w:left="720" w:hanging="360"/>
      </w:pPr>
      <w:r>
        <w:rPr>
          <w:rFonts w:ascii="Arial" w:cs="Arial" w:eastAsia="Arial" w:hAnsi="Arial"/>
          <w:b/>
          <w:bCs/>
          <w:color w:val="1F3864"/>
          <w:sz w:val="20"/>
          <w:szCs w:val="20"/>
        </w:rPr>
        <w:t xml:space="preserve">6. </w:t>
      </w:r>
      <w:r>
        <w:rPr>
          <w:rFonts w:ascii="Arial" w:cs="Arial" w:eastAsia="Arial" w:hAnsi="Arial"/>
          <w:color w:val="2C2C2C"/>
          <w:sz w:val="20"/>
          <w:szCs w:val="20"/>
        </w:rPr>
        <w:t xml:space="preserve">Assist CLIENT in ensuring compliance with the data security, data breach notification, data protection impact assessment, and prior consultation obligations under Applicable Law;</w:t>
      </w:r>
    </w:p>
    <w:p>
      <w:pPr>
        <w:spacing w:before="60" w:after="60" w:line="260"/>
        <w:ind w:left="720" w:hanging="360"/>
      </w:pPr>
      <w:r>
        <w:rPr>
          <w:rFonts w:ascii="Arial" w:cs="Arial" w:eastAsia="Arial" w:hAnsi="Arial"/>
          <w:b/>
          <w:bCs/>
          <w:color w:val="1F3864"/>
          <w:sz w:val="20"/>
          <w:szCs w:val="20"/>
        </w:rPr>
        <w:t xml:space="preserve">7. </w:t>
      </w:r>
      <w:r>
        <w:rPr>
          <w:rFonts w:ascii="Arial" w:cs="Arial" w:eastAsia="Arial" w:hAnsi="Arial"/>
          <w:color w:val="2C2C2C"/>
          <w:sz w:val="20"/>
          <w:szCs w:val="20"/>
        </w:rPr>
        <w:t xml:space="preserve">Delete or return all Personal Data to CLIENT upon termination of this Agreement, and certify in writing that all copies have been deleted or returned;</w:t>
      </w:r>
    </w:p>
    <w:p>
      <w:pPr>
        <w:spacing w:before="60" w:after="60" w:line="260"/>
        <w:ind w:left="720" w:hanging="360"/>
      </w:pPr>
      <w:r>
        <w:rPr>
          <w:rFonts w:ascii="Arial" w:cs="Arial" w:eastAsia="Arial" w:hAnsi="Arial"/>
          <w:b/>
          <w:bCs/>
          <w:color w:val="1F3864"/>
          <w:sz w:val="20"/>
          <w:szCs w:val="20"/>
        </w:rPr>
        <w:t xml:space="preserve">8. </w:t>
      </w:r>
      <w:r>
        <w:rPr>
          <w:rFonts w:ascii="Arial" w:cs="Arial" w:eastAsia="Arial" w:hAnsi="Arial"/>
          <w:color w:val="2C2C2C"/>
          <w:sz w:val="20"/>
          <w:szCs w:val="20"/>
        </w:rPr>
        <w:t xml:space="preserve">Make available all information necessary to demonstrate compliance with PROVIDER's data processing obligations, and cooperate with CLIENT's audits and inspections.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8.3 Data Breach Notification</w:t>
      </w:r>
    </w:p>
    <w:p>
      <w:pPr>
        <w:spacing w:before="80" w:after="80" w:line="280"/>
        <w:jc w:val="both"/>
      </w:pPr>
      <w:r>
        <w:rPr>
          <w:rFonts w:ascii="Arial" w:cs="Arial" w:eastAsia="Arial" w:hAnsi="Arial"/>
          <w:b w:val="false"/>
          <w:bCs w:val="false"/>
          <w:i w:val="false"/>
          <w:iCs w:val="false"/>
          <w:color w:val="2C2C2C"/>
          <w:sz w:val="20"/>
          <w:szCs w:val="20"/>
        </w:rPr>
        <w:t xml:space="preserve">PROVIDER shall notify CLIENT of any Security Incident affecting Personal Data without undue delay, and in any event within two (2) hours of PROVIDER becoming aware of the Security Incident. Such notification shall include, to the extent available: the nature of the Security Incident; the categories and approximate numbers of data subjects concerned; the categories and approximate quantities of Personal Data records concerned; the likely consequences of the Security Incident; and the measures PROVIDER has taken or proposes to take to address the Security Incident.</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PROVIDER shall cooperate fully with CLIENT in the investigation of any Security Incident, and shall implement all reasonable measures directed by CLIENT to contain, investigate, and remediate the Security Incident. PROVIDER shall not make any public disclosure regarding a Security Incident affecting CLIENT's Personal Data without CLIENT's prior written approval, except as required by Applicable Law.</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8.4 International Data Transfers</w:t>
      </w:r>
    </w:p>
    <w:p>
      <w:pPr>
        <w:spacing w:before="80" w:after="80" w:line="280"/>
        <w:jc w:val="both"/>
      </w:pPr>
      <w:r>
        <w:rPr>
          <w:rFonts w:ascii="Arial" w:cs="Arial" w:eastAsia="Arial" w:hAnsi="Arial"/>
          <w:b w:val="false"/>
          <w:bCs w:val="false"/>
          <w:i w:val="false"/>
          <w:iCs w:val="false"/>
          <w:color w:val="2C2C2C"/>
          <w:sz w:val="20"/>
          <w:szCs w:val="20"/>
        </w:rPr>
        <w:t xml:space="preserve">PROVIDER shall not transfer Personal Data to any country outside the European Economic Area or any other jurisdiction with heightened data transfer restrictions without CLIENT's prior written consent and the implementation of appropriate safeguards as required by Applicable Law. Where transfer is required, PROVIDER shall implement the European Commission's standard contractual clauses or such other appropriate transfer mechanisms as directed by CLIENT and required by Applicable Law.</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8.5 Data Retention and Deletion</w:t>
      </w:r>
    </w:p>
    <w:p>
      <w:pPr>
        <w:spacing w:before="80" w:after="80" w:line="280"/>
        <w:jc w:val="both"/>
      </w:pPr>
      <w:r>
        <w:rPr>
          <w:rFonts w:ascii="Arial" w:cs="Arial" w:eastAsia="Arial" w:hAnsi="Arial"/>
          <w:b w:val="false"/>
          <w:bCs w:val="false"/>
          <w:i w:val="false"/>
          <w:iCs w:val="false"/>
          <w:color w:val="2C2C2C"/>
          <w:sz w:val="20"/>
          <w:szCs w:val="20"/>
        </w:rPr>
        <w:t xml:space="preserve">PROVIDER shall retain Personal Data for no longer than is necessary for the purposes for which it was collected, as specified in the data retention schedules agreed by the Parties and incorporated into Schedule D. Upon expiration or earlier termination of this Agreement, PROVIDER shall, within thirty (30) days, either return all Personal Data to CLIENT or permanently and securely delete all Personal Data (including all copies and backups), and provide CLIENT with a written certification of such deletion signed by PROVIDER's Data Protection Officer.</w:t>
      </w:r>
    </w:p>
    <w:p>
      <w:r>
        <w:br w:type="page"/>
      </w:r>
    </w:p>
    <w:p>
      <w:pPr>
        <w:pStyle w:val="Heading1"/>
        <w:spacing w:before="400" w:after="200"/>
      </w:pPr>
      <w:r>
        <w:rPr>
          <w:rFonts w:ascii="Arial" w:cs="Arial" w:eastAsia="Arial" w:hAnsi="Arial"/>
          <w:b/>
          <w:bCs/>
          <w:color w:val="1F3864"/>
          <w:sz w:val="32"/>
          <w:szCs w:val="32"/>
        </w:rPr>
        <w:t xml:space="preserve">ARTICLE 9: SECURITY REQUIREMENTS</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9.1 Information Security Program</w:t>
      </w:r>
    </w:p>
    <w:p>
      <w:pPr>
        <w:spacing w:before="80" w:after="80" w:line="280"/>
        <w:jc w:val="both"/>
      </w:pPr>
      <w:r>
        <w:rPr>
          <w:rFonts w:ascii="Arial" w:cs="Arial" w:eastAsia="Arial" w:hAnsi="Arial"/>
          <w:b w:val="false"/>
          <w:bCs w:val="false"/>
          <w:i w:val="false"/>
          <w:iCs w:val="false"/>
          <w:color w:val="2C2C2C"/>
          <w:sz w:val="20"/>
          <w:szCs w:val="20"/>
        </w:rPr>
        <w:t xml:space="preserve">PROVIDER shall maintain a comprehensive Information Security Management System (ISMS) that meets or exceeds the requirements of ISO/IEC 27001:2022 throughout the Term of this Agreement. PROVIDER shall provide CLIENT with copies of its current ISO 27001 certification, SOC 2 Type II report, and any other relevant security certifications upon execution of this Agreement and annually thereafter. PROVIDER shall notify CLIENT within five (5) Business Days of any material adverse change to any such certification status.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9.2 Minimum Security Controls</w:t>
      </w:r>
    </w:p>
    <w:p>
      <w:pPr>
        <w:spacing w:before="80" w:after="80" w:line="280"/>
        <w:jc w:val="both"/>
      </w:pPr>
      <w:r>
        <w:rPr>
          <w:rFonts w:ascii="Arial" w:cs="Arial" w:eastAsia="Arial" w:hAnsi="Arial"/>
          <w:b w:val="false"/>
          <w:bCs w:val="false"/>
          <w:i w:val="false"/>
          <w:iCs w:val="false"/>
          <w:color w:val="2C2C2C"/>
          <w:sz w:val="20"/>
          <w:szCs w:val="20"/>
        </w:rPr>
        <w:t xml:space="preserve">PROVIDER shall implement and maintain, at minimum, the following security controls throughout the Term:</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Control Domain</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Required Controls</w:t>
            </w:r>
          </w:p>
        </w:tc>
      </w:tr>
      <w:tr>
        <w:tc>
          <w:tcPr>
            <w:tcW w:type="dxa" w:w="2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Access Control</w:t>
            </w:r>
          </w:p>
        </w:tc>
        <w:tc>
          <w:tcPr>
            <w:tcW w:type="dxa" w:w="6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Role-based access control (RBAC), principle of least privilege, multi-factor authentication for all privileged access, automated access reviews quarterly, privileged access management (PAM) solution, just-in-time access provisioning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Encryption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AES-256 encryption for data at rest, TLS 1.3 for data in transit, hardware security modules (HSMs) for key management, FIPS 140-2 Level 3 cryptographic modules, automated certificate lifecycle management</w:t>
            </w:r>
          </w:p>
        </w:tc>
      </w:tr>
      <w:tr>
        <w:tc>
          <w:tcPr>
            <w:tcW w:type="dxa" w:w="2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Vulnerability Management</w:t>
            </w:r>
          </w:p>
        </w:tc>
        <w:tc>
          <w:tcPr>
            <w:tcW w:type="dxa" w:w="6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Weekly authenticated vulnerability scans, monthly internal penetration testing, annual third-party penetration testing, critical vulnerability patching within 24 hours, high vulnerability patching within 72 hours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Network Security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Next-generation firewalls, intrusion detection and prevention systems (IDS/IPS), web application firewall (WAF), DDoS protection, network segmentation, zero-trust network architecture</w:t>
            </w:r>
          </w:p>
        </w:tc>
      </w:tr>
      <w:tr>
        <w:tc>
          <w:tcPr>
            <w:tcW w:type="dxa" w:w="2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Security Monitoring</w:t>
            </w:r>
          </w:p>
        </w:tc>
        <w:tc>
          <w:tcPr>
            <w:tcW w:type="dxa" w:w="6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24/7 SOC monitoring, SIEM with 12-month log retention, behavioral analytics, threat intelligence integration, automated incident detection and response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Endpoint Security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Endpoint detection and response (EDR), mobile device management (MDM), application whitelisting, full disk encryption, regular security patching</w:t>
            </w:r>
          </w:p>
        </w:tc>
      </w:tr>
      <w:tr>
        <w:tc>
          <w:tcPr>
            <w:tcW w:type="dxa" w:w="2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Physical Security</w:t>
            </w:r>
          </w:p>
        </w:tc>
        <w:tc>
          <w:tcPr>
            <w:tcW w:type="dxa" w:w="6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Tier 4 equivalent data center, biometric access controls, 24/7 CCTV, visitor management, environmental controls, multi-layer physical perimeter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Business Continuity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Tested disaster recovery plan, RTO of 4 hours, RPO of 15 minutes, geographically distributed infrastructure, annual DR testing with results shared with CLIENT</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9.3 Security Assessments</w:t>
      </w:r>
    </w:p>
    <w:p>
      <w:pPr>
        <w:spacing w:before="80" w:after="80" w:line="280"/>
        <w:jc w:val="both"/>
      </w:pPr>
      <w:r>
        <w:rPr>
          <w:rFonts w:ascii="Arial" w:cs="Arial" w:eastAsia="Arial" w:hAnsi="Arial"/>
          <w:b w:val="false"/>
          <w:bCs w:val="false"/>
          <w:i w:val="false"/>
          <w:iCs w:val="false"/>
          <w:color w:val="2C2C2C"/>
          <w:sz w:val="20"/>
          <w:szCs w:val="20"/>
        </w:rPr>
        <w:t xml:space="preserve">PROVIDER shall conduct or commission the following security assessments during the Term of this Agreement:</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(a) Quarterly vulnerability scans of all systems used to provide the Services, with remediation reports provided to CLIENT;</w:t>
      </w:r>
    </w:p>
    <w:p>
      <w:pPr>
        <w:spacing w:before="80" w:after="80" w:line="280"/>
        <w:jc w:val="both"/>
      </w:pPr>
      <w:r>
        <w:rPr>
          <w:rFonts w:ascii="Arial" w:cs="Arial" w:eastAsia="Arial" w:hAnsi="Arial"/>
          <w:b w:val="false"/>
          <w:bCs w:val="false"/>
          <w:i w:val="false"/>
          <w:iCs w:val="false"/>
          <w:color w:val="2C2C2C"/>
          <w:sz w:val="20"/>
          <w:szCs w:val="20"/>
        </w:rPr>
        <w:t xml:space="preserve">(b) Annual penetration testing conducted by a qualified third-party security firm approved by CLIENT, with full results provided to CLIENT within thirty (30) days of completion;</w:t>
      </w:r>
    </w:p>
    <w:p>
      <w:pPr>
        <w:spacing w:before="80" w:after="80" w:line="280"/>
        <w:jc w:val="both"/>
      </w:pPr>
      <w:r>
        <w:rPr>
          <w:rFonts w:ascii="Arial" w:cs="Arial" w:eastAsia="Arial" w:hAnsi="Arial"/>
          <w:b w:val="false"/>
          <w:bCs w:val="false"/>
          <w:i w:val="false"/>
          <w:iCs w:val="false"/>
          <w:color w:val="2C2C2C"/>
          <w:sz w:val="20"/>
          <w:szCs w:val="20"/>
        </w:rPr>
        <w:t xml:space="preserve">(c) Annual SOC 2 Type II audit, with the audit report provided to CLIENT within thirty (30) days of issuance;</w:t>
      </w:r>
    </w:p>
    <w:p>
      <w:pPr>
        <w:spacing w:before="80" w:after="80" w:line="280"/>
        <w:jc w:val="both"/>
      </w:pPr>
      <w:r>
        <w:rPr>
          <w:rFonts w:ascii="Arial" w:cs="Arial" w:eastAsia="Arial" w:hAnsi="Arial"/>
          <w:b w:val="false"/>
          <w:bCs w:val="false"/>
          <w:i w:val="false"/>
          <w:iCs w:val="false"/>
          <w:color w:val="2C2C2C"/>
          <w:sz w:val="20"/>
          <w:szCs w:val="20"/>
        </w:rPr>
        <w:t xml:space="preserve">(d) Annual cloud security assessment using the Cloud Security Alliance (CSA) STAR methodology;</w:t>
      </w:r>
    </w:p>
    <w:p>
      <w:pPr>
        <w:spacing w:before="80" w:after="80" w:line="280"/>
        <w:jc w:val="both"/>
      </w:pPr>
      <w:r>
        <w:rPr>
          <w:rFonts w:ascii="Arial" w:cs="Arial" w:eastAsia="Arial" w:hAnsi="Arial"/>
          <w:b w:val="false"/>
          <w:bCs w:val="false"/>
          <w:i w:val="false"/>
          <w:iCs w:val="false"/>
          <w:color w:val="2C2C2C"/>
          <w:sz w:val="20"/>
          <w:szCs w:val="20"/>
        </w:rPr>
        <w:t xml:space="preserve">(e) Biennial red team exercises to evaluate the effectiveness of PROVIDER's detection and response capabilities.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9.4 CLIENT's Right to Audit Security</w:t>
      </w:r>
    </w:p>
    <w:p>
      <w:pPr>
        <w:spacing w:before="80" w:after="80" w:line="280"/>
        <w:jc w:val="both"/>
      </w:pPr>
      <w:r>
        <w:rPr>
          <w:rFonts w:ascii="Arial" w:cs="Arial" w:eastAsia="Arial" w:hAnsi="Arial"/>
          <w:b w:val="false"/>
          <w:bCs w:val="false"/>
          <w:i w:val="false"/>
          <w:iCs w:val="false"/>
          <w:color w:val="2C2C2C"/>
          <w:sz w:val="20"/>
          <w:szCs w:val="20"/>
        </w:rPr>
        <w:t xml:space="preserve">CLIENT shall have the right, upon thirty (30) days' prior written notice, to conduct or commission a security assessment of PROVIDER's systems and operations used to provide the Services. Such assessments shall be conducted by CLIENT or by a qualified third-party security assessor approved by PROVIDER (which approval shall not be unreasonably withheld). The cost of such assessments shall be borne by CLIENT, except where the assessment reveals a material security deficiency, in which case the costs shall be shared equally.</w:t>
      </w:r>
    </w:p>
    <w:p>
      <w:r>
        <w:br w:type="page"/>
      </w:r>
    </w:p>
    <w:p>
      <w:pPr>
        <w:pStyle w:val="Heading1"/>
        <w:spacing w:before="400" w:after="200"/>
      </w:pPr>
      <w:r>
        <w:rPr>
          <w:rFonts w:ascii="Arial" w:cs="Arial" w:eastAsia="Arial" w:hAnsi="Arial"/>
          <w:b/>
          <w:bCs/>
          <w:color w:val="1F3864"/>
          <w:sz w:val="32"/>
          <w:szCs w:val="32"/>
        </w:rPr>
        <w:t xml:space="preserve">ARTICLE 10: CONFIDENTIALITY</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10.1 Definition of Confidential Information</w:t>
      </w:r>
    </w:p>
    <w:p>
      <w:pPr>
        <w:spacing w:before="80" w:after="80" w:line="280"/>
        <w:jc w:val="both"/>
      </w:pPr>
      <w:r>
        <w:rPr>
          <w:rFonts w:ascii="Arial" w:cs="Arial" w:eastAsia="Arial" w:hAnsi="Arial"/>
          <w:b w:val="false"/>
          <w:bCs w:val="false"/>
          <w:i w:val="false"/>
          <w:iCs w:val="false"/>
          <w:color w:val="2C2C2C"/>
          <w:sz w:val="20"/>
          <w:szCs w:val="20"/>
        </w:rPr>
        <w:t xml:space="preserve">"Confidential Information" means all non-public information disclosed by the Disclosing Party to the Receiving Party, whether orally, in writing, electronically, or by any other means, that is designated as confidential or that reasonably should be understood to be confidential given the nature of the information and the circumstances of disclosure, including without limitation:</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(a) Business plans, strategies, forecasts, financial information, pricing, and customer data;</w:t>
      </w:r>
    </w:p>
    <w:p>
      <w:pPr>
        <w:spacing w:before="80" w:after="80" w:line="280"/>
        <w:jc w:val="both"/>
      </w:pPr>
      <w:r>
        <w:rPr>
          <w:rFonts w:ascii="Arial" w:cs="Arial" w:eastAsia="Arial" w:hAnsi="Arial"/>
          <w:b w:val="false"/>
          <w:bCs w:val="false"/>
          <w:i w:val="false"/>
          <w:iCs w:val="false"/>
          <w:color w:val="2C2C2C"/>
          <w:sz w:val="20"/>
          <w:szCs w:val="20"/>
        </w:rPr>
        <w:t xml:space="preserve">(b) Technical information, source code, algorithms, system architecture, and security configurations;</w:t>
      </w:r>
    </w:p>
    <w:p>
      <w:pPr>
        <w:spacing w:before="80" w:after="80" w:line="280"/>
        <w:jc w:val="both"/>
      </w:pPr>
      <w:r>
        <w:rPr>
          <w:rFonts w:ascii="Arial" w:cs="Arial" w:eastAsia="Arial" w:hAnsi="Arial"/>
          <w:b w:val="false"/>
          <w:bCs w:val="false"/>
          <w:i w:val="false"/>
          <w:iCs w:val="false"/>
          <w:color w:val="2C2C2C"/>
          <w:sz w:val="20"/>
          <w:szCs w:val="20"/>
        </w:rPr>
        <w:t xml:space="preserve">(c) Personnel information, compensation data, and organizational structures;</w:t>
      </w:r>
    </w:p>
    <w:p>
      <w:pPr>
        <w:spacing w:before="80" w:after="80" w:line="280"/>
        <w:jc w:val="both"/>
      </w:pPr>
      <w:r>
        <w:rPr>
          <w:rFonts w:ascii="Arial" w:cs="Arial" w:eastAsia="Arial" w:hAnsi="Arial"/>
          <w:b w:val="false"/>
          <w:bCs w:val="false"/>
          <w:i w:val="false"/>
          <w:iCs w:val="false"/>
          <w:color w:val="2C2C2C"/>
          <w:sz w:val="20"/>
          <w:szCs w:val="20"/>
        </w:rPr>
        <w:t xml:space="preserve">(d) The terms and conditions of this Agreement;</w:t>
      </w:r>
    </w:p>
    <w:p>
      <w:pPr>
        <w:spacing w:before="80" w:after="80" w:line="280"/>
        <w:jc w:val="both"/>
      </w:pPr>
      <w:r>
        <w:rPr>
          <w:rFonts w:ascii="Arial" w:cs="Arial" w:eastAsia="Arial" w:hAnsi="Arial"/>
          <w:b w:val="false"/>
          <w:bCs w:val="false"/>
          <w:i w:val="false"/>
          <w:iCs w:val="false"/>
          <w:color w:val="2C2C2C"/>
          <w:sz w:val="20"/>
          <w:szCs w:val="20"/>
        </w:rPr>
        <w:t xml:space="preserve">(e) Trade secrets and proprietary business processes;</w:t>
      </w:r>
    </w:p>
    <w:p>
      <w:pPr>
        <w:spacing w:before="80" w:after="80" w:line="280"/>
        <w:jc w:val="both"/>
      </w:pPr>
      <w:r>
        <w:rPr>
          <w:rFonts w:ascii="Arial" w:cs="Arial" w:eastAsia="Arial" w:hAnsi="Arial"/>
          <w:b w:val="false"/>
          <w:bCs w:val="false"/>
          <w:i w:val="false"/>
          <w:iCs w:val="false"/>
          <w:color w:val="2C2C2C"/>
          <w:sz w:val="20"/>
          <w:szCs w:val="20"/>
        </w:rPr>
        <w:t xml:space="preserve">(f) Competitive intelligence, market research, and strategic analysis.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10.2 Confidentiality Obligations</w:t>
      </w:r>
    </w:p>
    <w:p>
      <w:pPr>
        <w:spacing w:before="80" w:after="80" w:line="280"/>
        <w:jc w:val="both"/>
      </w:pPr>
      <w:r>
        <w:rPr>
          <w:rFonts w:ascii="Arial" w:cs="Arial" w:eastAsia="Arial" w:hAnsi="Arial"/>
          <w:b w:val="false"/>
          <w:bCs w:val="false"/>
          <w:i w:val="false"/>
          <w:iCs w:val="false"/>
          <w:color w:val="2C2C2C"/>
          <w:sz w:val="20"/>
          <w:szCs w:val="20"/>
        </w:rPr>
        <w:t xml:space="preserve">Each Party, as Receiving Party, agrees to: (a) hold the Disclosing Party's Confidential Information in strict confidence using at least the same degree of care it uses to protect its own most sensitive confidential information, but in no event less than reasonable care; (b) not disclose the Disclosing Party's Confidential Information to any person except its employees, contractors, and advisors who have a legitimate need to know for purposes of this Agreement and who are bound by confidentiality obligations at least as protective as those in this Article 10; and (c) not use the Disclosing Party's Confidential Information for any purpose other than performing its obligations or exercising its rights under this Agreement.</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10.3 Exceptions</w:t>
      </w:r>
    </w:p>
    <w:p>
      <w:pPr>
        <w:spacing w:before="80" w:after="80" w:line="280"/>
        <w:jc w:val="both"/>
      </w:pPr>
      <w:r>
        <w:rPr>
          <w:rFonts w:ascii="Arial" w:cs="Arial" w:eastAsia="Arial" w:hAnsi="Arial"/>
          <w:b w:val="false"/>
          <w:bCs w:val="false"/>
          <w:i w:val="false"/>
          <w:iCs w:val="false"/>
          <w:color w:val="2C2C2C"/>
          <w:sz w:val="20"/>
          <w:szCs w:val="20"/>
        </w:rPr>
        <w:t xml:space="preserve">The confidentiality obligations in this Article 10 shall not apply to information that: (a) is or becomes publicly available through no breach by the Receiving Party; (b) was rightfully known by the Receiving Party before receiving it from the Disclosing Party; (c) is received from a third party who is not under any obligation of confidentiality with respect to such information; or (d) is independently developed by the Receiving Party without reference to the Disclosing Party's Confidential Information. The Receiving Party shall bear the burden of proving the applicability of any such exception.</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10.4 Compelled Disclosure</w:t>
      </w:r>
    </w:p>
    <w:p>
      <w:pPr>
        <w:spacing w:before="80" w:after="80" w:line="280"/>
        <w:jc w:val="both"/>
      </w:pPr>
      <w:r>
        <w:rPr>
          <w:rFonts w:ascii="Arial" w:cs="Arial" w:eastAsia="Arial" w:hAnsi="Arial"/>
          <w:b w:val="false"/>
          <w:bCs w:val="false"/>
          <w:i w:val="false"/>
          <w:iCs w:val="false"/>
          <w:color w:val="2C2C2C"/>
          <w:sz w:val="20"/>
          <w:szCs w:val="20"/>
        </w:rPr>
        <w:t xml:space="preserve">If the Receiving Party is legally compelled to disclose any of the Disclosing Party's Confidential Information pursuant to a court order, subpoena, government investigation, or similar legal process, the Receiving Party shall: (a) provide the Disclosing Party with prompt written notice of such requirement (unless prohibited by law); (b) cooperate with the Disclosing Party in seeking a protective order or other appropriate relief; and (c) disclose only that portion of the Confidential Information that is legally required to be disclosed.</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10.5 Confidentiality Term</w:t>
      </w:r>
    </w:p>
    <w:p>
      <w:pPr>
        <w:spacing w:before="80" w:after="80" w:line="280"/>
        <w:jc w:val="both"/>
      </w:pPr>
      <w:r>
        <w:rPr>
          <w:rFonts w:ascii="Arial" w:cs="Arial" w:eastAsia="Arial" w:hAnsi="Arial"/>
          <w:b w:val="false"/>
          <w:bCs w:val="false"/>
          <w:i w:val="false"/>
          <w:iCs w:val="false"/>
          <w:color w:val="2C2C2C"/>
          <w:sz w:val="20"/>
          <w:szCs w:val="20"/>
        </w:rPr>
        <w:t xml:space="preserve">The confidentiality obligations under this Article 10 shall survive for five (5) years after the expiration or termination of this Agreement; provided, however, that with respect to trade secrets, the confidentiality obligations shall continue for as long as such information constitutes a trade secret under Applicable Law.</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10.6 Return of Confidential Information</w:t>
      </w:r>
    </w:p>
    <w:p>
      <w:pPr>
        <w:spacing w:before="80" w:after="80" w:line="280"/>
        <w:jc w:val="both"/>
      </w:pPr>
      <w:r>
        <w:rPr>
          <w:rFonts w:ascii="Arial" w:cs="Arial" w:eastAsia="Arial" w:hAnsi="Arial"/>
          <w:b w:val="false"/>
          <w:bCs w:val="false"/>
          <w:i w:val="false"/>
          <w:iCs w:val="false"/>
          <w:color w:val="2C2C2C"/>
          <w:sz w:val="20"/>
          <w:szCs w:val="20"/>
        </w:rPr>
        <w:t xml:space="preserve">Upon request by the Disclosing Party at any time, and automatically upon termination or expiration of this Agreement, the Receiving Party shall promptly return or certifiably destroy all tangible materials containing the Disclosing Party's Confidential Information (including all copies thereof) and purge all electronic copies from its systems, except to the extent retention is required by Applicable Law.</w:t>
      </w:r>
    </w:p>
    <w:p>
      <w:r>
        <w:br w:type="page"/>
      </w:r>
    </w:p>
    <w:p>
      <w:pPr>
        <w:pStyle w:val="Heading1"/>
        <w:spacing w:before="400" w:after="200"/>
      </w:pPr>
      <w:r>
        <w:rPr>
          <w:rFonts w:ascii="Arial" w:cs="Arial" w:eastAsia="Arial" w:hAnsi="Arial"/>
          <w:b/>
          <w:bCs/>
          <w:color w:val="1F3864"/>
          <w:sz w:val="32"/>
          <w:szCs w:val="32"/>
        </w:rPr>
        <w:t xml:space="preserve">ARTICLE 11: REPRESENTATIONS AND WARRANTIES</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11.1 Mutual Representations and Warranties</w:t>
      </w:r>
    </w:p>
    <w:p>
      <w:pPr>
        <w:spacing w:before="80" w:after="80" w:line="280"/>
        <w:jc w:val="both"/>
      </w:pPr>
      <w:r>
        <w:rPr>
          <w:rFonts w:ascii="Arial" w:cs="Arial" w:eastAsia="Arial" w:hAnsi="Arial"/>
          <w:b w:val="false"/>
          <w:bCs w:val="false"/>
          <w:i w:val="false"/>
          <w:iCs w:val="false"/>
          <w:color w:val="2C2C2C"/>
          <w:sz w:val="20"/>
          <w:szCs w:val="20"/>
        </w:rPr>
        <w:t xml:space="preserve">Each Party represents and warrants to the other Party, as of the Effective Date and throughout the Term, that:</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it is duly organized, validly existing, and in good standing under the laws of its jurisdiction of organization;</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it has the legal authority and capacity to enter into this Agreement and to perform its obligations hereunder;</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this Agreement has been duly authorized by all necessary organizational action and constitutes a legal, valid, and binding obligation of such Party, enforceable against it in accordance with its terms;</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the execution, delivery, and performance of this Agreement do not violate any Applicable Law or any other agreement to which such Party is a party;</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there are no pending or threatened legal proceedings that would materially affect such Party's ability to perform its obligations under this Agreement.</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11.2 PROVIDER's Additional Representations and Warranties</w:t>
      </w:r>
    </w:p>
    <w:p>
      <w:pPr>
        <w:spacing w:before="80" w:after="80" w:line="280"/>
        <w:jc w:val="both"/>
      </w:pPr>
      <w:r>
        <w:rPr>
          <w:rFonts w:ascii="Arial" w:cs="Arial" w:eastAsia="Arial" w:hAnsi="Arial"/>
          <w:b w:val="false"/>
          <w:bCs w:val="false"/>
          <w:i w:val="false"/>
          <w:iCs w:val="false"/>
          <w:color w:val="2C2C2C"/>
          <w:sz w:val="20"/>
          <w:szCs w:val="20"/>
        </w:rPr>
        <w:t xml:space="preserve">PROVIDER additionally represents and warrants to CLIENT that:</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the Platform and Services, when used in accordance with the Documentation, will perform substantially in accordance with their specifications;</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PROVIDER has the right to grant the licenses set forth in Article 3 and the provision of the Services will not infringe the Intellectual Property Rights of any third party;</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the Platform does not contain any undisclosed malicious code, backdoors, time bombs, or other disabling mechanisms;</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PROVIDER has implemented and maintains adequate security controls to protect CLIENT's data as required by this Agreement;</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PROVIDER complies with all Applicable Law in the provision of the Services;</w:t>
      </w:r>
    </w:p>
    <w:p>
      <w:pPr>
        <w:spacing w:before="60" w:after="60" w:line="260"/>
        <w:ind w:left="720" w:hanging="360"/>
      </w:pPr>
      <w:r>
        <w:rPr>
          <w:rFonts w:ascii="Arial" w:cs="Arial" w:eastAsia="Arial" w:hAnsi="Arial"/>
          <w:b/>
          <w:bCs/>
          <w:color w:val="1F3864"/>
          <w:sz w:val="20"/>
          <w:szCs w:val="20"/>
        </w:rPr>
        <w:t xml:space="preserve">6. </w:t>
      </w:r>
      <w:r>
        <w:rPr>
          <w:rFonts w:ascii="Arial" w:cs="Arial" w:eastAsia="Arial" w:hAnsi="Arial"/>
          <w:color w:val="2C2C2C"/>
          <w:sz w:val="20"/>
          <w:szCs w:val="20"/>
        </w:rPr>
        <w:t xml:space="preserve">all personnel performing Services have the qualifications, skills, and training required for their roles;</w:t>
      </w:r>
    </w:p>
    <w:p>
      <w:pPr>
        <w:spacing w:before="60" w:after="60" w:line="260"/>
        <w:ind w:left="720" w:hanging="360"/>
      </w:pPr>
      <w:r>
        <w:rPr>
          <w:rFonts w:ascii="Arial" w:cs="Arial" w:eastAsia="Arial" w:hAnsi="Arial"/>
          <w:b/>
          <w:bCs/>
          <w:color w:val="1F3864"/>
          <w:sz w:val="20"/>
          <w:szCs w:val="20"/>
        </w:rPr>
        <w:t xml:space="preserve">7. </w:t>
      </w:r>
      <w:r>
        <w:rPr>
          <w:rFonts w:ascii="Arial" w:cs="Arial" w:eastAsia="Arial" w:hAnsi="Arial"/>
          <w:color w:val="2C2C2C"/>
          <w:sz w:val="20"/>
          <w:szCs w:val="20"/>
        </w:rPr>
        <w:t xml:space="preserve">PROVIDER's financial condition is sound and it has the financial resources to perform its obligations throughout the Term;</w:t>
      </w:r>
    </w:p>
    <w:p>
      <w:pPr>
        <w:spacing w:before="60" w:after="60" w:line="260"/>
        <w:ind w:left="720" w:hanging="360"/>
      </w:pPr>
      <w:r>
        <w:rPr>
          <w:rFonts w:ascii="Arial" w:cs="Arial" w:eastAsia="Arial" w:hAnsi="Arial"/>
          <w:b/>
          <w:bCs/>
          <w:color w:val="1F3864"/>
          <w:sz w:val="20"/>
          <w:szCs w:val="20"/>
        </w:rPr>
        <w:t xml:space="preserve">8. </w:t>
      </w:r>
      <w:r>
        <w:rPr>
          <w:rFonts w:ascii="Arial" w:cs="Arial" w:eastAsia="Arial" w:hAnsi="Arial"/>
          <w:color w:val="2C2C2C"/>
          <w:sz w:val="20"/>
          <w:szCs w:val="20"/>
        </w:rPr>
        <w:t xml:space="preserve">PROVIDER has obtained and maintains all permits, licenses, certifications, and approvals required for the provision of the Services.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11.3 Warranty Disclaimers</w:t>
      </w:r>
    </w:p>
    <w:p>
      <w:pPr>
        <w:spacing w:before="80" w:after="80" w:line="280"/>
        <w:jc w:val="both"/>
      </w:pPr>
      <w:r>
        <w:rPr>
          <w:rFonts w:ascii="Arial" w:cs="Arial" w:eastAsia="Arial" w:hAnsi="Arial"/>
          <w:b w:val="false"/>
          <w:bCs w:val="false"/>
          <w:i w:val="false"/>
          <w:iCs w:val="false"/>
          <w:color w:val="2C2C2C"/>
          <w:sz w:val="20"/>
          <w:szCs w:val="20"/>
        </w:rPr>
        <w:t xml:space="preserve">EXCEPT AS EXPRESSLY SET FORTH IN THIS ARTICLE 11, NEITHER PARTY MAKES ANY ADDITIONAL WARRANTIES, EXPRESS OR IMPLIED, WITH RESPECT TO THE SERVICES, PLATFORM, OR ANY DELIVERABLES. PROVIDER SPECIFICALLY DISCLAIMS ANY IMPLIED WARRANTIES OF FITNESS FOR A PARTICULAR PURPOSE, NON-INFRINGEMENT, OR ARISING FROM COURSE OF DEALING OR PERFORMANCE. THE WARRANTIES SET FORTH IN THIS ARTICLE 11 ARE THE EXCLUSIVE WARRANTIES PROVIDED BY PROVIDER.</w:t>
      </w:r>
    </w:p>
    <w:p>
      <w:r>
        <w:br w:type="page"/>
      </w:r>
    </w:p>
    <w:p>
      <w:pPr>
        <w:pStyle w:val="Heading1"/>
        <w:spacing w:before="400" w:after="200"/>
      </w:pPr>
      <w:r>
        <w:rPr>
          <w:rFonts w:ascii="Arial" w:cs="Arial" w:eastAsia="Arial" w:hAnsi="Arial"/>
          <w:b/>
          <w:bCs/>
          <w:color w:val="1F3864"/>
          <w:sz w:val="32"/>
          <w:szCs w:val="32"/>
        </w:rPr>
        <w:t xml:space="preserve">ARTICLE 12: INDEMNIFICATION</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12.1 PROVIDER's Indemnification Obligations</w:t>
      </w:r>
    </w:p>
    <w:p>
      <w:pPr>
        <w:spacing w:before="80" w:after="80" w:line="280"/>
        <w:jc w:val="both"/>
      </w:pPr>
      <w:r>
        <w:rPr>
          <w:rFonts w:ascii="Arial" w:cs="Arial" w:eastAsia="Arial" w:hAnsi="Arial"/>
          <w:b w:val="false"/>
          <w:bCs w:val="false"/>
          <w:i w:val="false"/>
          <w:iCs w:val="false"/>
          <w:color w:val="2C2C2C"/>
          <w:sz w:val="20"/>
          <w:szCs w:val="20"/>
        </w:rPr>
        <w:t xml:space="preserve">PROVIDER shall defend, indemnify, and hold harmless CLIENT and its Affiliates and their respective directors, officers, employees, and agents (collectively, "CLIENT Indemnitees") from and against any and all third-party claims, actions, proceedings, losses, damages, costs, and expenses (including reasonable attorneys' fees) ("Losses") arising out of or relating to:</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any claim that the Platform, Services, or Deliverables infringe or misappropriate any third party's Intellectual Property Rights;</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PROVIDER's breach of any representation, warranty, covenant, or obligation under this Agreement;</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any Security Incident attributable to PROVIDER's failure to maintain adequate security controls as required by this Agreement;</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PROVIDER's violation of any Applicable Law in connection with its performance under this Agreement;</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the gross negligence or willful misconduct of PROVIDER or any of PROVIDER's personnel or subcontractors;</w:t>
      </w:r>
    </w:p>
    <w:p>
      <w:pPr>
        <w:spacing w:before="60" w:after="60" w:line="260"/>
        <w:ind w:left="720" w:hanging="360"/>
      </w:pPr>
      <w:r>
        <w:rPr>
          <w:rFonts w:ascii="Arial" w:cs="Arial" w:eastAsia="Arial" w:hAnsi="Arial"/>
          <w:b/>
          <w:bCs/>
          <w:color w:val="1F3864"/>
          <w:sz w:val="20"/>
          <w:szCs w:val="20"/>
        </w:rPr>
        <w:t xml:space="preserve">6. </w:t>
      </w:r>
      <w:r>
        <w:rPr>
          <w:rFonts w:ascii="Arial" w:cs="Arial" w:eastAsia="Arial" w:hAnsi="Arial"/>
          <w:color w:val="2C2C2C"/>
          <w:sz w:val="20"/>
          <w:szCs w:val="20"/>
        </w:rPr>
        <w:t xml:space="preserve">PROVIDER's failure to pay any amounts owed to PROVIDER's personnel, subcontractors, or suppliers in connection with the Services.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12.2 CLIENT's Indemnification Obligations</w:t>
      </w:r>
    </w:p>
    <w:p>
      <w:pPr>
        <w:spacing w:before="80" w:after="80" w:line="280"/>
        <w:jc w:val="both"/>
      </w:pPr>
      <w:r>
        <w:rPr>
          <w:rFonts w:ascii="Arial" w:cs="Arial" w:eastAsia="Arial" w:hAnsi="Arial"/>
          <w:b w:val="false"/>
          <w:bCs w:val="false"/>
          <w:i w:val="false"/>
          <w:iCs w:val="false"/>
          <w:color w:val="2C2C2C"/>
          <w:sz w:val="20"/>
          <w:szCs w:val="20"/>
        </w:rPr>
        <w:t xml:space="preserve">CLIENT shall defend, indemnify, and hold harmless PROVIDER and its Affiliates and their respective directors, officers, employees, and agents from and against any Losses arising out of or relating to:</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CLIENT's use of the Platform or Services in violation of this Agreement or Applicable Law;</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any claim that User Data infringes any third party's Intellectual Property Rights or violates any third party's privacy rights;</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CLIENT's breach of any representation, warranty, covenant, or obligation under this Agreement;</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the gross negligence or willful misconduct of CLIENT or CLIENT's personnel.</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12.3 Indemnification Procedures</w:t>
      </w:r>
    </w:p>
    <w:p>
      <w:pPr>
        <w:spacing w:before="80" w:after="80" w:line="280"/>
        <w:jc w:val="both"/>
      </w:pPr>
      <w:r>
        <w:rPr>
          <w:rFonts w:ascii="Arial" w:cs="Arial" w:eastAsia="Arial" w:hAnsi="Arial"/>
          <w:b w:val="false"/>
          <w:bCs w:val="false"/>
          <w:i w:val="false"/>
          <w:iCs w:val="false"/>
          <w:color w:val="2C2C2C"/>
          <w:sz w:val="20"/>
          <w:szCs w:val="20"/>
        </w:rPr>
        <w:t xml:space="preserve">The indemnified party shall: (a) promptly notify the indemnifying party in writing upon becoming aware of any claim subject to indemnification; (b) provide the indemnifying party with reasonable cooperation and assistance in the defense of such claim; and (c) allow the indemnifying party to control the defense and settlement of such claim, provided that the indemnifying party shall not settle any claim in a manner that imposes liability or restriction on the indemnified party without its prior written consent.</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12.4 IP Indemnification Specific Remedies</w:t>
      </w:r>
    </w:p>
    <w:p>
      <w:pPr>
        <w:spacing w:before="80" w:after="80" w:line="280"/>
        <w:jc w:val="both"/>
      </w:pPr>
      <w:r>
        <w:rPr>
          <w:rFonts w:ascii="Arial" w:cs="Arial" w:eastAsia="Arial" w:hAnsi="Arial"/>
          <w:b w:val="false"/>
          <w:bCs w:val="false"/>
          <w:i w:val="false"/>
          <w:iCs w:val="false"/>
          <w:color w:val="2C2C2C"/>
          <w:sz w:val="20"/>
          <w:szCs w:val="20"/>
        </w:rPr>
        <w:t xml:space="preserve">If any infringement claim covered by Section 12.1(a) arises, PROVIDER shall, in addition to its indemnification obligations, use commercially reasonable efforts to: (a) procure for CLIENT the right to continue using the infringing item; (b) modify the infringing item to make it non-infringing while maintaining substantially equivalent functionality; or (c) replace the infringing item with a non-infringing substitute with substantially equivalent functionality. If none of the foregoing options is commercially reasonable, PROVIDER shall refund all pre-paid Fees attributable to the infringing item.</w:t>
      </w:r>
    </w:p>
    <w:p>
      <w:r>
        <w:br w:type="page"/>
      </w:r>
    </w:p>
    <w:p>
      <w:pPr>
        <w:pStyle w:val="Heading1"/>
        <w:spacing w:before="400" w:after="200"/>
      </w:pPr>
      <w:r>
        <w:rPr>
          <w:rFonts w:ascii="Arial" w:cs="Arial" w:eastAsia="Arial" w:hAnsi="Arial"/>
          <w:b/>
          <w:bCs/>
          <w:color w:val="1F3864"/>
          <w:sz w:val="32"/>
          <w:szCs w:val="32"/>
        </w:rPr>
        <w:t xml:space="preserve">ARTICLE 13: LIMITATION OF LIABILITY</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13.1 Mutual Limitation</w:t>
      </w:r>
    </w:p>
    <w:p>
      <w:pPr>
        <w:spacing w:before="80" w:after="80" w:line="280"/>
        <w:jc w:val="both"/>
      </w:pPr>
      <w:r>
        <w:rPr>
          <w:rFonts w:ascii="Arial" w:cs="Arial" w:eastAsia="Arial" w:hAnsi="Arial"/>
          <w:b w:val="false"/>
          <w:bCs w:val="false"/>
          <w:i w:val="false"/>
          <w:iCs w:val="false"/>
          <w:color w:val="2C2C2C"/>
          <w:sz w:val="20"/>
          <w:szCs w:val="20"/>
        </w:rPr>
        <w:t xml:space="preserve">SUBJECT TO SECTION 13.3, IN NO EVENT SHALL EITHER PARTY BE LIABLE TO THE OTHER PARTY FOR ANY INDIRECT, INCIDENTAL, SPECIAL, EXEMPLARY, CONSEQUENTIAL, OR PUNITIVE DAMAGES, INCLUDING WITHOUT LIMITATION LOSS OF REVENUE, LOSS OF PROFITS, LOSS OF BUSINESS, LOSS OF DATA (EXCEPT AS PROVIDED IN SECTION 13.3), LOSS OF GOODWILL, OR COST OF PROCUREMENT OF SUBSTITUTE GOODS OR SERVICES, HOWEVER CAUSED AND WHETHER ARISING IN CONTRACT, TORT (INCLUDING NEGLIGENCE), STRICT LIABILITY, OR ANY OTHER THEORY, EVEN IF SUCH PARTY HAS BEEN ADVISED OF THE POSSIBILITY OF SUCH DAMAGES.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13.2 Aggregate Liability Cap</w:t>
      </w:r>
    </w:p>
    <w:p>
      <w:pPr>
        <w:spacing w:before="80" w:after="80" w:line="280"/>
        <w:jc w:val="both"/>
      </w:pPr>
      <w:r>
        <w:rPr>
          <w:rFonts w:ascii="Arial" w:cs="Arial" w:eastAsia="Arial" w:hAnsi="Arial"/>
          <w:b w:val="false"/>
          <w:bCs w:val="false"/>
          <w:i w:val="false"/>
          <w:iCs w:val="false"/>
          <w:color w:val="2C2C2C"/>
          <w:sz w:val="20"/>
          <w:szCs w:val="20"/>
        </w:rPr>
        <w:t xml:space="preserve">SUBJECT TO SECTION 13.3, EACH PARTY'S TOTAL CUMULATIVE LIABILITY TO THE OTHER PARTY ARISING OUT OF OR RELATED TO THIS AGREEMENT, REGARDLESS OF THE FORM OR NATURE OF THE CLAIM AND WHETHER IN CONTRACT, TORT, OR OTHERWISE, SHALL NOT EXCEED THE GREATER OF: (A) THE TOTAL FEES PAID OR PAYABLE BY CLIENT TO PROVIDER DURING THE TWELVE (12) MONTH PERIOD IMMEDIATELY PRECEDING THE EVENT GIVING RISE TO THE CLAIM; OR (B) USD $5,000,000 (FIVE MILLION DOLLARS).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13.3 Exclusions from Limitations</w:t>
      </w:r>
    </w:p>
    <w:p>
      <w:pPr>
        <w:spacing w:before="80" w:after="80" w:line="280"/>
        <w:jc w:val="both"/>
      </w:pPr>
      <w:r>
        <w:rPr>
          <w:rFonts w:ascii="Arial" w:cs="Arial" w:eastAsia="Arial" w:hAnsi="Arial"/>
          <w:b w:val="false"/>
          <w:bCs w:val="false"/>
          <w:i w:val="false"/>
          <w:iCs w:val="false"/>
          <w:color w:val="2C2C2C"/>
          <w:sz w:val="20"/>
          <w:szCs w:val="20"/>
        </w:rPr>
        <w:t xml:space="preserve">The limitations set forth in Sections 13.1 and 13.2 shall not apply to: (a) either Party's indemnification obligations under Article 12; (b) either Party's liability for death or personal injury caused by its negligence; (c) PROVIDER's liability for Security Incidents caused by PROVIDER's failure to maintain required security controls; (d) either Party's liability for fraud or willful misconduct; (e) CLIENT's payment obligations under Article 5; or (f) either Party's breach of confidentiality obligations under Article 10.</w:t>
      </w:r>
    </w:p>
    <w:p>
      <w:r>
        <w:br w:type="page"/>
      </w:r>
    </w:p>
    <w:p>
      <w:pPr>
        <w:pStyle w:val="Heading1"/>
        <w:spacing w:before="400" w:after="200"/>
      </w:pPr>
      <w:r>
        <w:rPr>
          <w:rFonts w:ascii="Arial" w:cs="Arial" w:eastAsia="Arial" w:hAnsi="Arial"/>
          <w:b/>
          <w:bCs/>
          <w:color w:val="1F3864"/>
          <w:sz w:val="32"/>
          <w:szCs w:val="32"/>
        </w:rPr>
        <w:t xml:space="preserve">ARTICLE 14: INSURANCE REQUIREMENTS</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14.1 PROVIDER's Insurance Obligations</w:t>
      </w:r>
    </w:p>
    <w:p>
      <w:pPr>
        <w:spacing w:before="80" w:after="80" w:line="280"/>
        <w:jc w:val="both"/>
      </w:pPr>
      <w:r>
        <w:rPr>
          <w:rFonts w:ascii="Arial" w:cs="Arial" w:eastAsia="Arial" w:hAnsi="Arial"/>
          <w:b w:val="false"/>
          <w:bCs w:val="false"/>
          <w:i w:val="false"/>
          <w:iCs w:val="false"/>
          <w:color w:val="2C2C2C"/>
          <w:sz w:val="20"/>
          <w:szCs w:val="20"/>
        </w:rPr>
        <w:t xml:space="preserve">Throughout the Term and for a period of three (3) years thereafter, PROVIDER shall procure and maintain, at its own expense, the following minimum insurance coverage: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Insurance Type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Minimum Coverage</w:t>
            </w:r>
          </w:p>
        </w:tc>
        <w:tc>
          <w:tcPr>
            <w:tcW w:type="dxa" w:w="4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Requirements</w:t>
            </w:r>
          </w:p>
        </w:tc>
      </w:tr>
      <w:tr>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Commercial General Liability</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$10,000,000 per occurrence / $20,000,000 aggregate</w:t>
            </w:r>
          </w:p>
        </w:tc>
        <w:tc>
          <w:tcPr>
            <w:tcW w:type="dxa" w:w="43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Occurrence form, CLIENT named as additional insured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Professional Liability (E&amp;O)</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$10,000,000 per claim / $20,000,000 aggregate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Covering technology services, cyber liability, and professional errors</w:t>
            </w:r>
          </w:p>
        </w:tc>
      </w:tr>
      <w:tr>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Cyber Liability</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$20,000,000 per occurrence</w:t>
            </w:r>
          </w:p>
        </w:tc>
        <w:tc>
          <w:tcPr>
            <w:tcW w:type="dxa" w:w="43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First and third party coverage, breach response, regulatory defense, PCI DSS fines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Workers' Compensation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Statutory limits per applicable law</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Employer's liability: $1,000,000 per occurrence</w:t>
            </w:r>
          </w:p>
        </w:tc>
      </w:tr>
      <w:tr>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Employer's Liability</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$1,000,000 per occurrence</w:t>
            </w:r>
          </w:p>
        </w:tc>
        <w:tc>
          <w:tcPr>
            <w:tcW w:type="dxa" w:w="43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Coverage for all PROVIDER employees performing Services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Commercial Auto Liability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$2,000,000 per occurrence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Covering owned, non-owned, and hired vehicles</w:t>
            </w:r>
          </w:p>
        </w:tc>
      </w:tr>
      <w:tr>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Umbrella / Excess Liability</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$25,000,000 per occurrence / aggregate</w:t>
            </w:r>
          </w:p>
        </w:tc>
        <w:tc>
          <w:tcPr>
            <w:tcW w:type="dxa" w:w="43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Following form over primary CGL and auto policies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Crime / Fidelity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$5,000,000 per occurrence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Employee dishonesty, computer fraud, funds transfer fraud</w:t>
            </w:r>
          </w:p>
        </w:tc>
      </w:tr>
    </w:tbl>
    <w:p>
      <w:pPr>
        <w:spacing w:before="2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All insurance policies shall be maintained with insurers rated at least A- VII by A.M. Best. PROVIDER shall provide CLIENT with certificates of insurance evidencing the required coverage within five (5) Business Days of the Effective Date and upon renewal of each policy. PROVIDER shall provide CLIENT with at least thirty (30) days' prior written notice of any cancellation or material reduction in coverage.</w:t>
      </w:r>
    </w:p>
    <w:p>
      <w:r>
        <w:br w:type="page"/>
      </w:r>
    </w:p>
    <w:p>
      <w:pPr>
        <w:pStyle w:val="Heading1"/>
        <w:spacing w:before="400" w:after="200"/>
      </w:pPr>
      <w:r>
        <w:rPr>
          <w:rFonts w:ascii="Arial" w:cs="Arial" w:eastAsia="Arial" w:hAnsi="Arial"/>
          <w:b/>
          <w:bCs/>
          <w:color w:val="1F3864"/>
          <w:sz w:val="32"/>
          <w:szCs w:val="32"/>
        </w:rPr>
        <w:t xml:space="preserve">ARTICLE 15: TERM AND TERMINATION</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15.1 Initial Term and Renewal</w:t>
      </w:r>
    </w:p>
    <w:p>
      <w:pPr>
        <w:spacing w:before="80" w:after="80" w:line="280"/>
        <w:jc w:val="both"/>
      </w:pPr>
      <w:r>
        <w:rPr>
          <w:rFonts w:ascii="Arial" w:cs="Arial" w:eastAsia="Arial" w:hAnsi="Arial"/>
          <w:b w:val="false"/>
          <w:bCs w:val="false"/>
          <w:i w:val="false"/>
          <w:iCs w:val="false"/>
          <w:color w:val="2C2C2C"/>
          <w:sz w:val="20"/>
          <w:szCs w:val="20"/>
        </w:rPr>
        <w:t xml:space="preserve">This Agreement shall commence on the Effective Date and, unless earlier terminated in accordance with this Article 15, shall continue in full force and effect for the initial Term of five (5) years, expiring on March 31, 2029. Following the initial Term, this Agreement may be renewed for successive one-year periods by mutual written agreement of the Parties, executed no later than one hundred and eighty (180) days prior to the expiration of the then-current Term.</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15.2 Termination for Cause</w:t>
      </w:r>
    </w:p>
    <w:p>
      <w:pPr>
        <w:spacing w:before="80" w:after="80" w:line="280"/>
        <w:jc w:val="both"/>
      </w:pPr>
      <w:r>
        <w:rPr>
          <w:rFonts w:ascii="Arial" w:cs="Arial" w:eastAsia="Arial" w:hAnsi="Arial"/>
          <w:b w:val="false"/>
          <w:bCs w:val="false"/>
          <w:i w:val="false"/>
          <w:iCs w:val="false"/>
          <w:color w:val="2C2C2C"/>
          <w:sz w:val="20"/>
          <w:szCs w:val="20"/>
        </w:rPr>
        <w:t xml:space="preserve">Either Party may terminate this Agreement for cause upon the occurrence of any of the following events:</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the other Party commits a material breach of this Agreement and fails to cure such breach within thirty (30) days of receiving written notice thereof (or such longer cure period as the non-breaching party may specify in writing);</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the other Party becomes insolvent, is adjudicated bankrupt, makes a general assignment for the benefit of creditors, has a receiver appointed for substantially all of its assets, or commences or has commenced against it proceedings under any bankruptcy, insolvency, or reorganization law;</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the other Party commits fraud in connection with this Agreement or engages in willful misconduct that causes or is likely to cause material harm to the terminating Party;</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PROVIDER fails to maintain the required security certifications or fails to remediate a Critical or High security vulnerability within the timeframes specified in this Agreement.</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15.3 Termination for Convenience</w:t>
      </w:r>
    </w:p>
    <w:p>
      <w:pPr>
        <w:spacing w:before="80" w:after="80" w:line="280"/>
        <w:jc w:val="both"/>
      </w:pPr>
      <w:r>
        <w:rPr>
          <w:rFonts w:ascii="Arial" w:cs="Arial" w:eastAsia="Arial" w:hAnsi="Arial"/>
          <w:b w:val="false"/>
          <w:bCs w:val="false"/>
          <w:i w:val="false"/>
          <w:iCs w:val="false"/>
          <w:color w:val="2C2C2C"/>
          <w:sz w:val="20"/>
          <w:szCs w:val="20"/>
        </w:rPr>
        <w:t xml:space="preserve">CLIENT may terminate this Agreement for convenience, without cause, upon one hundred and eighty (180) days' prior written notice to PROVIDER. In the event of termination for convenience, CLIENT shall pay PROVIDER all Fees accrued through the termination date, plus a termination fee equal to: (a) during Year 1, twelve (12) months of annualized Managed Services Fees and License Fees; (b) during Year 2, nine (9) months; (c) during Year 3, six (6) months; (d) during Years 4-5, three (3) months.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15.4 Effect of Termination</w:t>
      </w:r>
    </w:p>
    <w:p>
      <w:pPr>
        <w:spacing w:before="80" w:after="80" w:line="280"/>
        <w:jc w:val="both"/>
      </w:pPr>
      <w:r>
        <w:rPr>
          <w:rFonts w:ascii="Arial" w:cs="Arial" w:eastAsia="Arial" w:hAnsi="Arial"/>
          <w:b w:val="false"/>
          <w:bCs w:val="false"/>
          <w:i w:val="false"/>
          <w:iCs w:val="false"/>
          <w:color w:val="2C2C2C"/>
          <w:sz w:val="20"/>
          <w:szCs w:val="20"/>
        </w:rPr>
        <w:t xml:space="preserve">Upon expiration or termination of this Agreement for any reason:</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all rights and licenses granted under this Agreement shall immediately terminate;</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each Party shall promptly return or certifiably destroy the other Party's Confidential Information;</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PROVIDER shall cooperate fully with CLIENT's transition to a new service provider as described in Article 16;</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CLIENT shall pay all outstanding undisputed Fees within thirty (30) days of the termination date;</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all provisions of this Agreement that by their nature should survive termination shall survive, including without limitation Articles 7, 8, 10, 12, 13, and 20.</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15.5 Termination Assistance</w:t>
      </w:r>
    </w:p>
    <w:p>
      <w:pPr>
        <w:spacing w:before="80" w:after="80" w:line="280"/>
        <w:jc w:val="both"/>
      </w:pPr>
      <w:r>
        <w:rPr>
          <w:rFonts w:ascii="Arial" w:cs="Arial" w:eastAsia="Arial" w:hAnsi="Arial"/>
          <w:b w:val="false"/>
          <w:bCs w:val="false"/>
          <w:i w:val="false"/>
          <w:iCs w:val="false"/>
          <w:color w:val="2C2C2C"/>
          <w:sz w:val="20"/>
          <w:szCs w:val="20"/>
        </w:rPr>
        <w:t xml:space="preserve">During any notice period and for up to twelve (12) months following the termination or expiration of this Agreement, PROVIDER shall provide CLIENT with reasonable transition assistance as described in Article 16, which shall be compensated at the professional services rates set forth in Schedule B.</w:t>
      </w:r>
    </w:p>
    <w:p>
      <w:r>
        <w:br w:type="page"/>
      </w:r>
    </w:p>
    <w:p>
      <w:pPr>
        <w:pStyle w:val="Heading1"/>
        <w:spacing w:before="400" w:after="200"/>
      </w:pPr>
      <w:r>
        <w:rPr>
          <w:rFonts w:ascii="Arial" w:cs="Arial" w:eastAsia="Arial" w:hAnsi="Arial"/>
          <w:b/>
          <w:bCs/>
          <w:color w:val="1F3864"/>
          <w:sz w:val="32"/>
          <w:szCs w:val="32"/>
        </w:rPr>
        <w:t xml:space="preserve">ARTICLE 16: TRANSITION SERVICES</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16.1 Transition Planning</w:t>
      </w:r>
    </w:p>
    <w:p>
      <w:pPr>
        <w:spacing w:before="80" w:after="80" w:line="280"/>
        <w:jc w:val="both"/>
      </w:pPr>
      <w:r>
        <w:rPr>
          <w:rFonts w:ascii="Arial" w:cs="Arial" w:eastAsia="Arial" w:hAnsi="Arial"/>
          <w:b w:val="false"/>
          <w:bCs w:val="false"/>
          <w:i w:val="false"/>
          <w:iCs w:val="false"/>
          <w:color w:val="2C2C2C"/>
          <w:sz w:val="20"/>
          <w:szCs w:val="20"/>
        </w:rPr>
        <w:t xml:space="preserve">Beginning no later than twelve (12) months prior to the scheduled expiration of the Term, or immediately upon notice of termination or non-renewal, the Parties shall collaborate in good faith to develop and execute a comprehensive transition plan. The transition plan shall ensure the orderly transfer of all Services, data, systems, and knowledge to CLIENT or CLIENT's designated replacement service provider, with minimal disruption to CLIENT's business operations.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16.2 Transition Services</w:t>
      </w:r>
    </w:p>
    <w:p>
      <w:pPr>
        <w:spacing w:before="80" w:after="80" w:line="280"/>
        <w:jc w:val="both"/>
      </w:pPr>
      <w:r>
        <w:rPr>
          <w:rFonts w:ascii="Arial" w:cs="Arial" w:eastAsia="Arial" w:hAnsi="Arial"/>
          <w:b w:val="false"/>
          <w:bCs w:val="false"/>
          <w:i w:val="false"/>
          <w:iCs w:val="false"/>
          <w:color w:val="2C2C2C"/>
          <w:sz w:val="20"/>
          <w:szCs w:val="20"/>
        </w:rPr>
        <w:t xml:space="preserve">During the Transition Period, PROVIDER shall provide the following transition services:</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Continue to provide all Services at the service level standards specified in this Agreement throughout the Transition Period;</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Prepare and deliver comprehensive technical documentation covering all system configurations, integration specifications, data schemas, operational runbooks, and knowledge base content;</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Conduct structured knowledge transfer sessions with CLIENT's technical team and designated replacement provider;</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Extract and deliver all User Data in CLIENT's preferred formats, free of charge for the first extraction, within thirty (30) days of termination;</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Provide reasonable cooperation with the replacement provider's implementation activities, including participation in technical workshops and architecture reviews;</w:t>
      </w:r>
    </w:p>
    <w:p>
      <w:pPr>
        <w:spacing w:before="60" w:after="60" w:line="260"/>
        <w:ind w:left="720" w:hanging="360"/>
      </w:pPr>
      <w:r>
        <w:rPr>
          <w:rFonts w:ascii="Arial" w:cs="Arial" w:eastAsia="Arial" w:hAnsi="Arial"/>
          <w:b/>
          <w:bCs/>
          <w:color w:val="1F3864"/>
          <w:sz w:val="20"/>
          <w:szCs w:val="20"/>
        </w:rPr>
        <w:t xml:space="preserve">6. </w:t>
      </w:r>
      <w:r>
        <w:rPr>
          <w:rFonts w:ascii="Arial" w:cs="Arial" w:eastAsia="Arial" w:hAnsi="Arial"/>
          <w:color w:val="2C2C2C"/>
          <w:sz w:val="20"/>
          <w:szCs w:val="20"/>
        </w:rPr>
        <w:t xml:space="preserve">Maintain all software and infrastructure in a stable, secure, and fully operational state throughout the Transition Period;</w:t>
      </w:r>
    </w:p>
    <w:p>
      <w:pPr>
        <w:spacing w:before="60" w:after="60" w:line="260"/>
        <w:ind w:left="720" w:hanging="360"/>
      </w:pPr>
      <w:r>
        <w:rPr>
          <w:rFonts w:ascii="Arial" w:cs="Arial" w:eastAsia="Arial" w:hAnsi="Arial"/>
          <w:b/>
          <w:bCs/>
          <w:color w:val="1F3864"/>
          <w:sz w:val="20"/>
          <w:szCs w:val="20"/>
        </w:rPr>
        <w:t xml:space="preserve">7. </w:t>
      </w:r>
      <w:r>
        <w:rPr>
          <w:rFonts w:ascii="Arial" w:cs="Arial" w:eastAsia="Arial" w:hAnsi="Arial"/>
          <w:color w:val="2C2C2C"/>
          <w:sz w:val="20"/>
          <w:szCs w:val="20"/>
        </w:rPr>
        <w:t xml:space="preserve">Provide CLIENT with sufficient advance notice of any planned changes to systems or configurations during the Transition Period.</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16.3 Data Portability</w:t>
      </w:r>
    </w:p>
    <w:p>
      <w:pPr>
        <w:spacing w:before="80" w:after="80" w:line="280"/>
        <w:jc w:val="both"/>
      </w:pPr>
      <w:r>
        <w:rPr>
          <w:rFonts w:ascii="Arial" w:cs="Arial" w:eastAsia="Arial" w:hAnsi="Arial"/>
          <w:b w:val="false"/>
          <w:bCs w:val="false"/>
          <w:i w:val="false"/>
          <w:iCs w:val="false"/>
          <w:color w:val="2C2C2C"/>
          <w:sz w:val="20"/>
          <w:szCs w:val="20"/>
        </w:rPr>
        <w:t xml:space="preserve">PROVIDER shall ensure that all User Data is exportable in industry-standard formats throughout the Term and during the Transition Period. PROVIDER shall maintain the ability to export data in at least the following formats: JSON, CSV, XML, and SQL database dumps. PROVIDER shall provide CLIENT with a data dictionary and schema documentation sufficient to enable CLIENT or a third party to import and use the exported data.</w:t>
      </w:r>
    </w:p>
    <w:p>
      <w:r>
        <w:br w:type="page"/>
      </w:r>
    </w:p>
    <w:p>
      <w:pPr>
        <w:pStyle w:val="Heading1"/>
        <w:spacing w:before="400" w:after="200"/>
      </w:pPr>
      <w:r>
        <w:rPr>
          <w:rFonts w:ascii="Arial" w:cs="Arial" w:eastAsia="Arial" w:hAnsi="Arial"/>
          <w:b/>
          <w:bCs/>
          <w:color w:val="1F3864"/>
          <w:sz w:val="32"/>
          <w:szCs w:val="32"/>
        </w:rPr>
        <w:t xml:space="preserve">ARTICLE 17: COMPLIANCE AND REGULATORY REQUIREMENTS</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17.1 General Compliance</w:t>
      </w:r>
    </w:p>
    <w:p>
      <w:pPr>
        <w:spacing w:before="80" w:after="80" w:line="280"/>
        <w:jc w:val="both"/>
      </w:pPr>
      <w:r>
        <w:rPr>
          <w:rFonts w:ascii="Arial" w:cs="Arial" w:eastAsia="Arial" w:hAnsi="Arial"/>
          <w:b w:val="false"/>
          <w:bCs w:val="false"/>
          <w:i w:val="false"/>
          <w:iCs w:val="false"/>
          <w:color w:val="2C2C2C"/>
          <w:sz w:val="20"/>
          <w:szCs w:val="20"/>
        </w:rPr>
        <w:t xml:space="preserve">Each Party shall be responsible for its own compliance with all Applicable Law in connection with this Agreement. PROVIDER shall maintain, throughout the Term, all permits, licenses, certifications, and approvals required to provide the Services, and shall immediately notify CLIENT of any actual or threatened loss, suspension, or material change to any such permit, license, certification, or approval.</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17.2 Industry-Specific Regulatory Compliance</w:t>
      </w:r>
    </w:p>
    <w:p>
      <w:pPr>
        <w:spacing w:before="80" w:after="80" w:line="280"/>
        <w:jc w:val="both"/>
      </w:pPr>
      <w:r>
        <w:rPr>
          <w:rFonts w:ascii="Arial" w:cs="Arial" w:eastAsia="Arial" w:hAnsi="Arial"/>
          <w:b w:val="false"/>
          <w:bCs w:val="false"/>
          <w:i w:val="false"/>
          <w:iCs w:val="false"/>
          <w:color w:val="2C2C2C"/>
          <w:sz w:val="20"/>
          <w:szCs w:val="20"/>
        </w:rPr>
        <w:t xml:space="preserve">Given the nature of CLIENT's business, PROVIDER acknowledges that the Services may be subject to the following regulatory frameworks, and PROVIDER shall ensure that the Platform and Services comply with all applicable requirements of each:</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34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Regulation/Standard</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Jurisdiction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Applicability</w:t>
            </w:r>
          </w:p>
        </w:tc>
        <w:tc>
          <w:tcPr>
            <w:tcW w:type="dxa" w:w="3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PROVIDER's Obligations</w:t>
            </w:r>
          </w:p>
        </w:tc>
      </w:tr>
      <w:tr>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GDPR</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European Union</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Processing of EU personal data</w:t>
            </w:r>
          </w:p>
        </w:tc>
        <w:tc>
          <w:tcPr>
            <w:tcW w:type="dxa" w:w="34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DPA compliance, data protection by design, breach notification, data subject rights support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CCPA/CPRA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California, USA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Processing of California consumer data</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Privacy policy, opt-out mechanisms, data deletion, service provider agreement</w:t>
            </w:r>
          </w:p>
        </w:tc>
      </w:tr>
      <w:tr>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SOX</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USA</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Financial reporting systems</w:t>
            </w:r>
          </w:p>
        </w:tc>
        <w:tc>
          <w:tcPr>
            <w:tcW w:type="dxa" w:w="34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Audit trails, access controls, change management, data integrity controls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HIPAA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USA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Healthcare data (if applicable)</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BAA execution, PHI safeguards, audit logging, minimum necessary access</w:t>
            </w:r>
          </w:p>
        </w:tc>
      </w:tr>
      <w:tr>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PCI DSS Level 1</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Global</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Payment card data</w:t>
            </w:r>
          </w:p>
        </w:tc>
        <w:tc>
          <w:tcPr>
            <w:tcW w:type="dxa" w:w="34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Annual QSA assessment, SAQ completion, network security, encryption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ISO 27001:2022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Global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Information security management</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Certification maintenance, annual audits, continuous improvement</w:t>
            </w:r>
          </w:p>
        </w:tc>
      </w:tr>
      <w:tr>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SOC 2 Type II</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USA</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Trust services criteria</w:t>
            </w:r>
          </w:p>
        </w:tc>
        <w:tc>
          <w:tcPr>
            <w:tcW w:type="dxa" w:w="34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Annual audit, security, availability, confidentiality controls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FedRAMP (Moderate)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USA Federal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Federal agency data</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Authorization maintenance, continuous monitoring, incident reporting</w:t>
            </w:r>
          </w:p>
        </w:tc>
      </w:tr>
      <w:tr>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NIST CSF 2.0</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USA</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Cybersecurity framework</w:t>
            </w:r>
          </w:p>
        </w:tc>
        <w:tc>
          <w:tcPr>
            <w:tcW w:type="dxa" w:w="34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Framework alignment, risk assessment, continuous monitoring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ISO 22301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Global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Business continuity</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BCMS certification, tested recovery procedures, resilience requirements</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17.3 Export Controls</w:t>
      </w:r>
    </w:p>
    <w:p>
      <w:pPr>
        <w:spacing w:before="80" w:after="80" w:line="280"/>
        <w:jc w:val="both"/>
      </w:pPr>
      <w:r>
        <w:rPr>
          <w:rFonts w:ascii="Arial" w:cs="Arial" w:eastAsia="Arial" w:hAnsi="Arial"/>
          <w:b w:val="false"/>
          <w:bCs w:val="false"/>
          <w:i w:val="false"/>
          <w:iCs w:val="false"/>
          <w:color w:val="2C2C2C"/>
          <w:sz w:val="20"/>
          <w:szCs w:val="20"/>
        </w:rPr>
        <w:t xml:space="preserve">PROVIDER represents and warrants that it and its personnel comply with all applicable export control laws and regulations, including without limitation the U.S. Export Administration Regulations (EAR), the International Traffic in Arms Regulations (ITAR), and applicable sanctions programs administered by the Office of Foreign Assets Control (OFAC). PROVIDER shall not export, re-export, or transfer any controlled technology, software, or technical data provided by CLIENT in violation of any export control law.</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17.4 Anti-Money Laundering</w:t>
      </w:r>
    </w:p>
    <w:p>
      <w:pPr>
        <w:spacing w:before="80" w:after="80" w:line="280"/>
        <w:jc w:val="both"/>
      </w:pPr>
      <w:r>
        <w:rPr>
          <w:rFonts w:ascii="Arial" w:cs="Arial" w:eastAsia="Arial" w:hAnsi="Arial"/>
          <w:b w:val="false"/>
          <w:bCs w:val="false"/>
          <w:i w:val="false"/>
          <w:iCs w:val="false"/>
          <w:color w:val="2C2C2C"/>
          <w:sz w:val="20"/>
          <w:szCs w:val="20"/>
        </w:rPr>
        <w:t xml:space="preserve">PROVIDER represents and warrants that it maintains adequate controls to prevent money laundering and financing of terrorism in connection with its business operations, in compliance with the Bank Secrecy Act, the USA PATRIOT Act, and other applicable anti-money laundering laws. PROVIDER shall promptly notify CLIENT if it becomes aware of any transaction related to this Agreement that may constitute money laundering or terrorist financing.</w:t>
      </w:r>
    </w:p>
    <w:p>
      <w:r>
        <w:br w:type="page"/>
      </w:r>
    </w:p>
    <w:p>
      <w:pPr>
        <w:pStyle w:val="Heading1"/>
        <w:spacing w:before="400" w:after="200"/>
      </w:pPr>
      <w:r>
        <w:rPr>
          <w:rFonts w:ascii="Arial" w:cs="Arial" w:eastAsia="Arial" w:hAnsi="Arial"/>
          <w:b/>
          <w:bCs/>
          <w:color w:val="1F3864"/>
          <w:sz w:val="32"/>
          <w:szCs w:val="32"/>
        </w:rPr>
        <w:t xml:space="preserve">ARTICLE 18: AUDIT RIGHTS</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18.1 Financial Audit Rights</w:t>
      </w:r>
    </w:p>
    <w:p>
      <w:pPr>
        <w:spacing w:before="80" w:after="80" w:line="280"/>
        <w:jc w:val="both"/>
      </w:pPr>
      <w:r>
        <w:rPr>
          <w:rFonts w:ascii="Arial" w:cs="Arial" w:eastAsia="Arial" w:hAnsi="Arial"/>
          <w:b w:val="false"/>
          <w:bCs w:val="false"/>
          <w:i w:val="false"/>
          <w:iCs w:val="false"/>
          <w:color w:val="2C2C2C"/>
          <w:sz w:val="20"/>
          <w:szCs w:val="20"/>
        </w:rPr>
        <w:t xml:space="preserve">CLIENT shall have the right, upon thirty (30) days' prior written notice, to audit PROVIDER's financial records, invoices, timesheets, and other supporting documentation related to the Fees charged under this Agreement, for the purpose of verifying the accuracy of PROVIDER's billing. Such audits shall be conducted by CLIENT or a qualified third-party auditor, no more than once per year during normal business hours, and shall not unreasonably disrupt PROVIDER's operations.</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If an audit reveals that PROVIDER has overcharged CLIENT by more than three percent (3%) in any twelve-month period, PROVIDER shall: (a) promptly refund the overcharged amount with interest; and (b) bear the reasonable costs of the audit. If PROVIDER has undercharged CLIENT, CLIENT shall promptly pay the underpayment without interest.</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18.2 Operational and Compliance Audit Rights</w:t>
      </w:r>
    </w:p>
    <w:p>
      <w:pPr>
        <w:spacing w:before="80" w:after="80" w:line="280"/>
        <w:jc w:val="both"/>
      </w:pPr>
      <w:r>
        <w:rPr>
          <w:rFonts w:ascii="Arial" w:cs="Arial" w:eastAsia="Arial" w:hAnsi="Arial"/>
          <w:b w:val="false"/>
          <w:bCs w:val="false"/>
          <w:i w:val="false"/>
          <w:iCs w:val="false"/>
          <w:color w:val="2C2C2C"/>
          <w:sz w:val="20"/>
          <w:szCs w:val="20"/>
        </w:rPr>
        <w:t xml:space="preserve">CLIENT shall additionally have the right to conduct or commission audits of PROVIDER's operations to verify PROVIDER's compliance with the terms of this Agreement, including without limitation compliance with Service Level commitments, data protection requirements, security standards, and regulatory compliance obligations. Such audits may be conducted annually during normal business hours upon thirty (30) days' prior written notice, or more frequently in the event of a material compliance concern.</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18.3 Regulatory Audits</w:t>
      </w:r>
    </w:p>
    <w:p>
      <w:pPr>
        <w:spacing w:before="80" w:after="80" w:line="280"/>
        <w:jc w:val="both"/>
      </w:pPr>
      <w:r>
        <w:rPr>
          <w:rFonts w:ascii="Arial" w:cs="Arial" w:eastAsia="Arial" w:hAnsi="Arial"/>
          <w:b w:val="false"/>
          <w:bCs w:val="false"/>
          <w:i w:val="false"/>
          <w:iCs w:val="false"/>
          <w:color w:val="2C2C2C"/>
          <w:sz w:val="20"/>
          <w:szCs w:val="20"/>
        </w:rPr>
        <w:t xml:space="preserve">PROVIDER shall cooperate fully with any regulatory authority having jurisdiction over CLIENT's business in connection with any audit, inspection, or investigation relating to the Services. PROVIDER shall promptly notify CLIENT of any regulatory inquiry or investigation relating to the Services or the data processed thereunder, to the extent permitted by Applicable Law.</w:t>
      </w:r>
    </w:p>
    <w:p>
      <w:r>
        <w:br w:type="page"/>
      </w:r>
    </w:p>
    <w:p>
      <w:pPr>
        <w:pStyle w:val="Heading1"/>
        <w:spacing w:before="400" w:after="200"/>
      </w:pPr>
      <w:r>
        <w:rPr>
          <w:rFonts w:ascii="Arial" w:cs="Arial" w:eastAsia="Arial" w:hAnsi="Arial"/>
          <w:b/>
          <w:bCs/>
          <w:color w:val="1F3864"/>
          <w:sz w:val="32"/>
          <w:szCs w:val="32"/>
        </w:rPr>
        <w:t xml:space="preserve">ARTICLE 19: CHANGE MANAGEMENT</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19.1 Change Request Process</w:t>
      </w:r>
    </w:p>
    <w:p>
      <w:pPr>
        <w:spacing w:before="80" w:after="80" w:line="280"/>
        <w:jc w:val="both"/>
      </w:pPr>
      <w:r>
        <w:rPr>
          <w:rFonts w:ascii="Arial" w:cs="Arial" w:eastAsia="Arial" w:hAnsi="Arial"/>
          <w:b w:val="false"/>
          <w:bCs w:val="false"/>
          <w:i w:val="false"/>
          <w:iCs w:val="false"/>
          <w:color w:val="2C2C2C"/>
          <w:sz w:val="20"/>
          <w:szCs w:val="20"/>
        </w:rPr>
        <w:t xml:space="preserve">Either Party may request changes to the scope, timeline, resources, or fees applicable to the Services through the change management process described in this Article 19 and in Schedule H. No change to the Services shall be implemented until a Change Order has been signed by authorized representatives of both Parties, except in cases of emergency where immediate action is required to prevent serious harm, in which case the Parties shall document the change and execute a Change Order within five (5) Business Days.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19.2 Change Order Procedure</w:t>
      </w:r>
    </w:p>
    <w:p>
      <w:pPr>
        <w:spacing w:before="80" w:after="80" w:line="280"/>
        <w:jc w:val="both"/>
      </w:pPr>
      <w:r>
        <w:rPr>
          <w:rFonts w:ascii="Arial" w:cs="Arial" w:eastAsia="Arial" w:hAnsi="Arial"/>
          <w:b w:val="false"/>
          <w:bCs w:val="false"/>
          <w:i w:val="false"/>
          <w:iCs w:val="false"/>
          <w:color w:val="2C2C2C"/>
          <w:sz w:val="20"/>
          <w:szCs w:val="20"/>
        </w:rPr>
        <w:t xml:space="preserve">The following procedure shall govern the processing of all change requests:</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The requesting Party shall submit a written Change Request to the other Party's Project Manager, describing the proposed change and its business justification;</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PROVIDER shall assess the impact of the proposed change on scope, schedule, resources, and Fees, and shall provide CLIENT with a written Change Impact Assessment within ten (10) Business Days;</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The Parties' Project Managers shall meet to discuss the Change Impact Assessment and negotiate the terms of the Change Order;</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Once agreed, both Parties' authorized representatives shall execute a Change Order incorporating the agreed terms;</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PROVIDER shall implement the approved change in accordance with the Change Order terms.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19.3 Scope Creep Prevention</w:t>
      </w:r>
    </w:p>
    <w:p>
      <w:pPr>
        <w:spacing w:before="80" w:after="80" w:line="280"/>
        <w:jc w:val="both"/>
      </w:pPr>
      <w:r>
        <w:rPr>
          <w:rFonts w:ascii="Arial" w:cs="Arial" w:eastAsia="Arial" w:hAnsi="Arial"/>
          <w:b w:val="false"/>
          <w:bCs w:val="false"/>
          <w:i w:val="false"/>
          <w:iCs w:val="false"/>
          <w:color w:val="2C2C2C"/>
          <w:sz w:val="20"/>
          <w:szCs w:val="20"/>
        </w:rPr>
        <w:t xml:space="preserve">The Parties acknowledge the risk of scope creep and agree to actively manage this risk throughout the Term. PROVIDER shall not perform, and shall not be compensated for, work that is beyond the scope of an executed Statement of Work or Change Order without CLIENT's prior written authorization. PROVIDER shall proactively notify CLIENT whenever it identifies activities that may exceed the agreed scope.</w:t>
      </w:r>
    </w:p>
    <w:p>
      <w:r>
        <w:br w:type="page"/>
      </w:r>
    </w:p>
    <w:p>
      <w:pPr>
        <w:pStyle w:val="Heading1"/>
        <w:spacing w:before="400" w:after="200"/>
      </w:pPr>
      <w:r>
        <w:rPr>
          <w:rFonts w:ascii="Arial" w:cs="Arial" w:eastAsia="Arial" w:hAnsi="Arial"/>
          <w:b/>
          <w:bCs/>
          <w:color w:val="1F3864"/>
          <w:sz w:val="32"/>
          <w:szCs w:val="32"/>
        </w:rPr>
        <w:t xml:space="preserve">ARTICLE 20: DISPUTE RESOLUTION</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20.1 Good Faith Negotiation</w:t>
      </w:r>
    </w:p>
    <w:p>
      <w:pPr>
        <w:spacing w:before="80" w:after="80" w:line="280"/>
        <w:jc w:val="both"/>
      </w:pPr>
      <w:r>
        <w:rPr>
          <w:rFonts w:ascii="Arial" w:cs="Arial" w:eastAsia="Arial" w:hAnsi="Arial"/>
          <w:b w:val="false"/>
          <w:bCs w:val="false"/>
          <w:i w:val="false"/>
          <w:iCs w:val="false"/>
          <w:color w:val="2C2C2C"/>
          <w:sz w:val="20"/>
          <w:szCs w:val="20"/>
        </w:rPr>
        <w:t xml:space="preserve">In the event of any dispute, controversy, or claim arising out of or relating to this Agreement or its breach, termination, or validity (a "Dispute"), the Parties shall first attempt to resolve such Dispute through good faith negotiation between their respective senior representatives. Either Party may initiate the good faith negotiation process by providing written notice to the other Party's Project Manager, specifying the nature of the Dispute in reasonable detail.</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The Parties' Project Managers shall meet (in person, by telephone, or by video conference) within ten (10) Business Days of such notice to attempt to resolve the Dispute. If the Project Managers are unable to resolve the Dispute within twenty (20) Business Days of the initial notice, either Party may escalate the Dispute to senior executive level negotiation.</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20.2 Executive Escalation</w:t>
      </w:r>
    </w:p>
    <w:p>
      <w:pPr>
        <w:spacing w:before="80" w:after="80" w:line="280"/>
        <w:jc w:val="both"/>
      </w:pPr>
      <w:r>
        <w:rPr>
          <w:rFonts w:ascii="Arial" w:cs="Arial" w:eastAsia="Arial" w:hAnsi="Arial"/>
          <w:b w:val="false"/>
          <w:bCs w:val="false"/>
          <w:i w:val="false"/>
          <w:iCs w:val="false"/>
          <w:color w:val="2C2C2C"/>
          <w:sz w:val="20"/>
          <w:szCs w:val="20"/>
        </w:rPr>
        <w:t xml:space="preserve">If the Parties' Project Managers are unable to resolve a Dispute within the timeframe specified above, senior executives of each Party (of at least VP level or above) shall meet within ten (10) Business Days to attempt to resolve the Dispute in good faith. If the senior executives are unable to resolve the Dispute within twenty (20) Business Days of their initial meeting, either Party may proceed to binding arbitration as described in Section 20.3.</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20.3 Binding Arbitration</w:t>
      </w:r>
    </w:p>
    <w:p>
      <w:pPr>
        <w:spacing w:before="80" w:after="80" w:line="280"/>
        <w:jc w:val="both"/>
      </w:pPr>
      <w:r>
        <w:rPr>
          <w:rFonts w:ascii="Arial" w:cs="Arial" w:eastAsia="Arial" w:hAnsi="Arial"/>
          <w:b w:val="false"/>
          <w:bCs w:val="false"/>
          <w:i w:val="false"/>
          <w:iCs w:val="false"/>
          <w:color w:val="2C2C2C"/>
          <w:sz w:val="20"/>
          <w:szCs w:val="20"/>
        </w:rPr>
        <w:t xml:space="preserve">Any Dispute not resolved through the negotiation and escalation processes set forth above shall be submitted to binding arbitration administered by the International Chamber of Commerce (ICC) in accordance with its Rules of Arbitration in effect at the time of the arbitration. The arbitration shall be conducted by a panel of three (3) arbitrators selected in accordance with the ICC Rules. The seat of the arbitration shall be New York, New York. The language of the arbitration shall be English. The Parties agree that the ICC award shall be final and binding and may be enforced by any court of competent jurisdiction.</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20.4 Interim Relief</w:t>
      </w:r>
    </w:p>
    <w:p>
      <w:pPr>
        <w:spacing w:before="80" w:after="80" w:line="280"/>
        <w:jc w:val="both"/>
      </w:pPr>
      <w:r>
        <w:rPr>
          <w:rFonts w:ascii="Arial" w:cs="Arial" w:eastAsia="Arial" w:hAnsi="Arial"/>
          <w:b w:val="false"/>
          <w:bCs w:val="false"/>
          <w:i w:val="false"/>
          <w:iCs w:val="false"/>
          <w:color w:val="2C2C2C"/>
          <w:sz w:val="20"/>
          <w:szCs w:val="20"/>
        </w:rPr>
        <w:t xml:space="preserve">Notwithstanding the foregoing, either Party may seek emergency interim or preliminary relief from any court of competent jurisdiction where necessary to prevent irreparable harm pending the outcome of arbitration. The seeking of such relief shall not be deemed a waiver of the Parties' agreement to arbitrate.</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20.5 Governing Law</w:t>
      </w:r>
    </w:p>
    <w:p>
      <w:pPr>
        <w:spacing w:before="80" w:after="80" w:line="280"/>
        <w:jc w:val="both"/>
      </w:pPr>
      <w:r>
        <w:rPr>
          <w:rFonts w:ascii="Arial" w:cs="Arial" w:eastAsia="Arial" w:hAnsi="Arial"/>
          <w:b w:val="false"/>
          <w:bCs w:val="false"/>
          <w:i w:val="false"/>
          <w:iCs w:val="false"/>
          <w:color w:val="2C2C2C"/>
          <w:sz w:val="20"/>
          <w:szCs w:val="20"/>
        </w:rPr>
        <w:t xml:space="preserve">This Agreement shall be governed by and construed in accordance with the laws of the State of Delaware, without regard to its conflict of laws provisions. The United Nations Convention on Contracts for the International Sale of Goods (CISG) shall not apply to this Agreement.</w:t>
      </w:r>
    </w:p>
    <w:p>
      <w:r>
        <w:br w:type="page"/>
      </w:r>
    </w:p>
    <w:p>
      <w:pPr>
        <w:pStyle w:val="Heading1"/>
        <w:spacing w:before="400" w:after="200"/>
      </w:pPr>
      <w:r>
        <w:rPr>
          <w:rFonts w:ascii="Arial" w:cs="Arial" w:eastAsia="Arial" w:hAnsi="Arial"/>
          <w:b/>
          <w:bCs/>
          <w:color w:val="1F3864"/>
          <w:sz w:val="32"/>
          <w:szCs w:val="32"/>
        </w:rPr>
        <w:t xml:space="preserve">ARTICLE 21: FORCE MAJEURE</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21.1 Force Majeure Events</w:t>
      </w:r>
    </w:p>
    <w:p>
      <w:pPr>
        <w:spacing w:before="80" w:after="80" w:line="280"/>
        <w:jc w:val="both"/>
      </w:pPr>
      <w:r>
        <w:rPr>
          <w:rFonts w:ascii="Arial" w:cs="Arial" w:eastAsia="Arial" w:hAnsi="Arial"/>
          <w:b w:val="false"/>
          <w:bCs w:val="false"/>
          <w:i w:val="false"/>
          <w:iCs w:val="false"/>
          <w:color w:val="2C2C2C"/>
          <w:sz w:val="20"/>
          <w:szCs w:val="20"/>
        </w:rPr>
        <w:t xml:space="preserve">Neither Party shall be liable for any failure or delay in performing its obligations under this Agreement (other than payment obligations) to the extent that such failure or delay is caused by a Force Majeure Event. A "Force Majeure Event" means any event, circumstance, or occurrence beyond the reasonable control of the affected Party that was not reasonably foreseeable at the time of executing this Agreement, including without limitation:</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(a) Acts of God, natural disasters, floods, earthquakes, storms, lightning, or other severe weather events;</w:t>
      </w:r>
    </w:p>
    <w:p>
      <w:pPr>
        <w:spacing w:before="80" w:after="80" w:line="280"/>
        <w:jc w:val="both"/>
      </w:pPr>
      <w:r>
        <w:rPr>
          <w:rFonts w:ascii="Arial" w:cs="Arial" w:eastAsia="Arial" w:hAnsi="Arial"/>
          <w:b w:val="false"/>
          <w:bCs w:val="false"/>
          <w:i w:val="false"/>
          <w:iCs w:val="false"/>
          <w:color w:val="2C2C2C"/>
          <w:sz w:val="20"/>
          <w:szCs w:val="20"/>
        </w:rPr>
        <w:t xml:space="preserve">(b) War, terrorism, civil unrest, riots, national emergencies, or acts of foreign enemies;</w:t>
      </w:r>
    </w:p>
    <w:p>
      <w:pPr>
        <w:spacing w:before="80" w:after="80" w:line="280"/>
        <w:jc w:val="both"/>
      </w:pPr>
      <w:r>
        <w:rPr>
          <w:rFonts w:ascii="Arial" w:cs="Arial" w:eastAsia="Arial" w:hAnsi="Arial"/>
          <w:b w:val="false"/>
          <w:bCs w:val="false"/>
          <w:i w:val="false"/>
          <w:iCs w:val="false"/>
          <w:color w:val="2C2C2C"/>
          <w:sz w:val="20"/>
          <w:szCs w:val="20"/>
        </w:rPr>
        <w:t xml:space="preserve">(c) Government actions, embargoes, trade sanctions, or changes in Applicable Law that directly prevent performance;</w:t>
      </w:r>
    </w:p>
    <w:p>
      <w:pPr>
        <w:spacing w:before="80" w:after="80" w:line="280"/>
        <w:jc w:val="both"/>
      </w:pPr>
      <w:r>
        <w:rPr>
          <w:rFonts w:ascii="Arial" w:cs="Arial" w:eastAsia="Arial" w:hAnsi="Arial"/>
          <w:b w:val="false"/>
          <w:bCs w:val="false"/>
          <w:i w:val="false"/>
          <w:iCs w:val="false"/>
          <w:color w:val="2C2C2C"/>
          <w:sz w:val="20"/>
          <w:szCs w:val="20"/>
        </w:rPr>
        <w:t xml:space="preserve">(d) Widespread power failures, telecommunications failures, or internet backbone failures not attributable to the affected Party;</w:t>
      </w:r>
    </w:p>
    <w:p>
      <w:pPr>
        <w:spacing w:before="80" w:after="80" w:line="280"/>
        <w:jc w:val="both"/>
      </w:pPr>
      <w:r>
        <w:rPr>
          <w:rFonts w:ascii="Arial" w:cs="Arial" w:eastAsia="Arial" w:hAnsi="Arial"/>
          <w:b w:val="false"/>
          <w:bCs w:val="false"/>
          <w:i w:val="false"/>
          <w:iCs w:val="false"/>
          <w:color w:val="2C2C2C"/>
          <w:sz w:val="20"/>
          <w:szCs w:val="20"/>
        </w:rPr>
        <w:t xml:space="preserve">(e) Epidemics or pandemics declared by the World Health Organization as Public Health Emergencies of International Concern;</w:t>
      </w:r>
    </w:p>
    <w:p>
      <w:pPr>
        <w:spacing w:before="80" w:after="80" w:line="280"/>
        <w:jc w:val="both"/>
      </w:pPr>
      <w:r>
        <w:rPr>
          <w:rFonts w:ascii="Arial" w:cs="Arial" w:eastAsia="Arial" w:hAnsi="Arial"/>
          <w:b w:val="false"/>
          <w:bCs w:val="false"/>
          <w:i w:val="false"/>
          <w:iCs w:val="false"/>
          <w:color w:val="2C2C2C"/>
          <w:sz w:val="20"/>
          <w:szCs w:val="20"/>
        </w:rPr>
        <w:t xml:space="preserve">(f) Labor strikes or work stoppages affecting an entire industry or geographic region (but not a strike affecting only PROVIDER's workforce).</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For the avoidance of doubt, Force Majeure Events shall not include: (i) financial difficulties or insolvency of the affected Party; (ii) failures of PROVIDER's infrastructure, systems, or personnel that a reasonably prudent service provider would have mitigated through adequate business continuity planning; or (iii) any event that PROVIDER's Business Continuity Plan was designed to address.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21.2 Notice and Mitigation</w:t>
      </w:r>
    </w:p>
    <w:p>
      <w:pPr>
        <w:spacing w:before="80" w:after="80" w:line="280"/>
        <w:jc w:val="both"/>
      </w:pPr>
      <w:r>
        <w:rPr>
          <w:rFonts w:ascii="Arial" w:cs="Arial" w:eastAsia="Arial" w:hAnsi="Arial"/>
          <w:b w:val="false"/>
          <w:bCs w:val="false"/>
          <w:i w:val="false"/>
          <w:iCs w:val="false"/>
          <w:color w:val="2C2C2C"/>
          <w:sz w:val="20"/>
          <w:szCs w:val="20"/>
        </w:rPr>
        <w:t xml:space="preserve">The Party claiming a Force Majeure Event shall provide the other Party with written notice as soon as reasonably practicable after the occurrence of the Force Majeure Event, describing the event in reasonable detail, its expected duration, and the obligations affected. The affected Party shall use all reasonable efforts to mitigate the effects of the Force Majeure Event and to resume performance as quickly as practicable.</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21.3 Prolonged Force Majeure</w:t>
      </w:r>
    </w:p>
    <w:p>
      <w:pPr>
        <w:spacing w:before="80" w:after="80" w:line="280"/>
        <w:jc w:val="both"/>
      </w:pPr>
      <w:r>
        <w:rPr>
          <w:rFonts w:ascii="Arial" w:cs="Arial" w:eastAsia="Arial" w:hAnsi="Arial"/>
          <w:b w:val="false"/>
          <w:bCs w:val="false"/>
          <w:i w:val="false"/>
          <w:iCs w:val="false"/>
          <w:color w:val="2C2C2C"/>
          <w:sz w:val="20"/>
          <w:szCs w:val="20"/>
        </w:rPr>
        <w:t xml:space="preserve">If a Force Majeure Event continues for more than sixty (60) consecutive days, either Party may terminate this Agreement by providing thirty (30) days' written notice to the other Party. In such case, CLIENT shall pay PROVIDER for all Services performed up to the date of termination, and PROVIDER shall refund all pre-paid Fees attributable to Services not yet performed. No termination fee or penalty shall be payable by either Party in connection with such termination.</w:t>
      </w:r>
    </w:p>
    <w:p>
      <w:r>
        <w:br w:type="page"/>
      </w:r>
    </w:p>
    <w:p>
      <w:pPr>
        <w:pStyle w:val="Heading1"/>
        <w:spacing w:before="400" w:after="200"/>
      </w:pPr>
      <w:r>
        <w:rPr>
          <w:rFonts w:ascii="Arial" w:cs="Arial" w:eastAsia="Arial" w:hAnsi="Arial"/>
          <w:b/>
          <w:bCs/>
          <w:color w:val="1F3864"/>
          <w:sz w:val="32"/>
          <w:szCs w:val="32"/>
        </w:rPr>
        <w:t xml:space="preserve">ARTICLE 22: ANTI-CORRUPTION AND ETHICAL STANDARDS</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22.1 Anti-Corruption Compliance</w:t>
      </w:r>
    </w:p>
    <w:p>
      <w:pPr>
        <w:spacing w:before="80" w:after="80" w:line="280"/>
        <w:jc w:val="both"/>
      </w:pPr>
      <w:r>
        <w:rPr>
          <w:rFonts w:ascii="Arial" w:cs="Arial" w:eastAsia="Arial" w:hAnsi="Arial"/>
          <w:b w:val="false"/>
          <w:bCs w:val="false"/>
          <w:i w:val="false"/>
          <w:iCs w:val="false"/>
          <w:color w:val="2C2C2C"/>
          <w:sz w:val="20"/>
          <w:szCs w:val="20"/>
        </w:rPr>
        <w:t xml:space="preserve">Both Parties shall comply with all applicable anti-corruption and anti-bribery laws, including without limitation the U.S. Foreign Corrupt Practices Act (FCPA), the UK Bribery Act 2010, and all equivalent laws in jurisdictions where either Party operates. Neither Party shall offer, promise, pay, or authorize the payment of any money, gift, or other thing of value to any government official, political party, or any other person for the purpose of obtaining or retaining business or any other improper advantage.</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22.2 Code of Conduct</w:t>
      </w:r>
    </w:p>
    <w:p>
      <w:pPr>
        <w:spacing w:before="80" w:after="80" w:line="280"/>
        <w:jc w:val="both"/>
      </w:pPr>
      <w:r>
        <w:rPr>
          <w:rFonts w:ascii="Arial" w:cs="Arial" w:eastAsia="Arial" w:hAnsi="Arial"/>
          <w:b w:val="false"/>
          <w:bCs w:val="false"/>
          <w:i w:val="false"/>
          <w:iCs w:val="false"/>
          <w:color w:val="2C2C2C"/>
          <w:sz w:val="20"/>
          <w:szCs w:val="20"/>
        </w:rPr>
        <w:t xml:space="preserve">PROVIDER represents and warrants that it has adopted and maintains a comprehensive code of business ethics and conduct that prohibits bribery, corruption, conflicts of interest, and other unethical business practices, and that all PROVIDER personnel and subcontractors performing Services under this Agreement are required to comply with such code.</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22.3 Labor and Human Rights</w:t>
      </w:r>
    </w:p>
    <w:p>
      <w:pPr>
        <w:spacing w:before="80" w:after="80" w:line="280"/>
        <w:jc w:val="both"/>
      </w:pPr>
      <w:r>
        <w:rPr>
          <w:rFonts w:ascii="Arial" w:cs="Arial" w:eastAsia="Arial" w:hAnsi="Arial"/>
          <w:b w:val="false"/>
          <w:bCs w:val="false"/>
          <w:i w:val="false"/>
          <w:iCs w:val="false"/>
          <w:color w:val="2C2C2C"/>
          <w:sz w:val="20"/>
          <w:szCs w:val="20"/>
        </w:rPr>
        <w:t xml:space="preserve">PROVIDER represents and warrants that it complies with all applicable laws relating to labor rights, human rights, and modern slavery, and that it does not employ or engage individuals through forced labor, child labor, or any form of human trafficking. PROVIDER shall maintain a supply chain management program sufficient to ensure that its subcontractors and suppliers also comply with these requirements.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22.4 Environmental Responsibility</w:t>
      </w:r>
    </w:p>
    <w:p>
      <w:pPr>
        <w:spacing w:before="80" w:after="80" w:line="280"/>
        <w:jc w:val="both"/>
      </w:pPr>
      <w:r>
        <w:rPr>
          <w:rFonts w:ascii="Arial" w:cs="Arial" w:eastAsia="Arial" w:hAnsi="Arial"/>
          <w:b w:val="false"/>
          <w:bCs w:val="false"/>
          <w:i w:val="false"/>
          <w:iCs w:val="false"/>
          <w:color w:val="2C2C2C"/>
          <w:sz w:val="20"/>
          <w:szCs w:val="20"/>
        </w:rPr>
        <w:t xml:space="preserve">PROVIDER shall operate its business in an environmentally responsible manner, comply with all applicable environmental laws and regulations, and work toward reducing the environmental footprint of the Services. Upon CLIENT's request, PROVIDER shall provide data on the carbon emissions associated with the provision of the Services, and shall cooperate with CLIENT in developing and implementing carbon reduction initiatives.</w:t>
      </w:r>
    </w:p>
    <w:p>
      <w:r>
        <w:br w:type="page"/>
      </w:r>
    </w:p>
    <w:p>
      <w:pPr>
        <w:pStyle w:val="Heading1"/>
        <w:spacing w:before="400" w:after="200"/>
      </w:pPr>
      <w:r>
        <w:rPr>
          <w:rFonts w:ascii="Arial" w:cs="Arial" w:eastAsia="Arial" w:hAnsi="Arial"/>
          <w:b/>
          <w:bCs/>
          <w:color w:val="1F3864"/>
          <w:sz w:val="32"/>
          <w:szCs w:val="32"/>
        </w:rPr>
        <w:t xml:space="preserve">ARTICLE 23: SUBCONTRACTING</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23.1 Approved Subcontractors</w:t>
      </w:r>
    </w:p>
    <w:p>
      <w:pPr>
        <w:spacing w:before="80" w:after="80" w:line="280"/>
        <w:jc w:val="both"/>
      </w:pPr>
      <w:r>
        <w:rPr>
          <w:rFonts w:ascii="Arial" w:cs="Arial" w:eastAsia="Arial" w:hAnsi="Arial"/>
          <w:b w:val="false"/>
          <w:bCs w:val="false"/>
          <w:i w:val="false"/>
          <w:iCs w:val="false"/>
          <w:color w:val="2C2C2C"/>
          <w:sz w:val="20"/>
          <w:szCs w:val="20"/>
        </w:rPr>
        <w:t xml:space="preserve">PROVIDER may engage the subcontractors listed in Schedule G to assist in the performance of Services under this Agreement. PROVIDER shall not engage any additional subcontractors for material Services without CLIENT's prior written approval, which shall not be unreasonably withheld or delayed. For the purposes of this Article, "material Services" means any services that involve access to CLIENT's data, systems, or facilities, or that constitute a critical component of the Services.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23.2 PROVIDER's Responsibility for Subcontractors</w:t>
      </w:r>
    </w:p>
    <w:p>
      <w:pPr>
        <w:spacing w:before="80" w:after="80" w:line="280"/>
        <w:jc w:val="both"/>
      </w:pPr>
      <w:r>
        <w:rPr>
          <w:rFonts w:ascii="Arial" w:cs="Arial" w:eastAsia="Arial" w:hAnsi="Arial"/>
          <w:b w:val="false"/>
          <w:bCs w:val="false"/>
          <w:i w:val="false"/>
          <w:iCs w:val="false"/>
          <w:color w:val="2C2C2C"/>
          <w:sz w:val="20"/>
          <w:szCs w:val="20"/>
        </w:rPr>
        <w:t xml:space="preserve">PROVIDER shall remain fully responsible for the performance of all subcontractors engaged in connection with this Agreement as if PROVIDER had performed such work itself. PROVIDER shall ensure that all subcontractors are bound by written agreements that impose obligations at least as protective of CLIENT's interests as those imposed on PROVIDER under this Agreement, including without limitation obligations relating to confidentiality, data protection, security, intellectual property, and compliance.</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23.3 Subcontractor Personnel</w:t>
      </w:r>
    </w:p>
    <w:p>
      <w:pPr>
        <w:spacing w:before="80" w:after="80" w:line="280"/>
        <w:jc w:val="both"/>
      </w:pPr>
      <w:r>
        <w:rPr>
          <w:rFonts w:ascii="Arial" w:cs="Arial" w:eastAsia="Arial" w:hAnsi="Arial"/>
          <w:b w:val="false"/>
          <w:bCs w:val="false"/>
          <w:i w:val="false"/>
          <w:iCs w:val="false"/>
          <w:color w:val="2C2C2C"/>
          <w:sz w:val="20"/>
          <w:szCs w:val="20"/>
        </w:rPr>
        <w:t xml:space="preserve">PROVIDER shall ensure that all subcontractor personnel performing Services undergo background screening, drug testing (where permitted by Applicable Law), and security awareness training equivalent to that required of PROVIDER's own employees. CLIENT reserves the right to reject any subcontractor personnel it reasonably determines pose a security or compliance risk.</w:t>
      </w:r>
    </w:p>
    <w:p>
      <w:r>
        <w:br w:type="page"/>
      </w:r>
    </w:p>
    <w:p>
      <w:pPr>
        <w:pStyle w:val="Heading1"/>
        <w:spacing w:before="400" w:after="200"/>
      </w:pPr>
      <w:r>
        <w:rPr>
          <w:rFonts w:ascii="Arial" w:cs="Arial" w:eastAsia="Arial" w:hAnsi="Arial"/>
          <w:b/>
          <w:bCs/>
          <w:color w:val="1F3864"/>
          <w:sz w:val="32"/>
          <w:szCs w:val="32"/>
        </w:rPr>
        <w:t xml:space="preserve">ARTICLE 24: GENERAL PROVISIONS</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24.1 Entire Agreement</w:t>
      </w:r>
    </w:p>
    <w:p>
      <w:pPr>
        <w:spacing w:before="80" w:after="80" w:line="280"/>
        <w:jc w:val="both"/>
      </w:pPr>
      <w:r>
        <w:rPr>
          <w:rFonts w:ascii="Arial" w:cs="Arial" w:eastAsia="Arial" w:hAnsi="Arial"/>
          <w:b w:val="false"/>
          <w:bCs w:val="false"/>
          <w:i w:val="false"/>
          <w:iCs w:val="false"/>
          <w:color w:val="2C2C2C"/>
          <w:sz w:val="20"/>
          <w:szCs w:val="20"/>
        </w:rPr>
        <w:t xml:space="preserve">This Agreement, together with all Schedules, Exhibits, and executed Statements of Work, constitutes the entire agreement between the Parties with respect to the subject matter hereof and supersedes all prior and contemporaneous agreements, representations, warranties, and understandings of the Parties, whether written or oral, relating to such subject matter.</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24.2 Amendment</w:t>
      </w:r>
    </w:p>
    <w:p>
      <w:pPr>
        <w:spacing w:before="80" w:after="80" w:line="280"/>
        <w:jc w:val="both"/>
      </w:pPr>
      <w:r>
        <w:rPr>
          <w:rFonts w:ascii="Arial" w:cs="Arial" w:eastAsia="Arial" w:hAnsi="Arial"/>
          <w:b w:val="false"/>
          <w:bCs w:val="false"/>
          <w:i w:val="false"/>
          <w:iCs w:val="false"/>
          <w:color w:val="2C2C2C"/>
          <w:sz w:val="20"/>
          <w:szCs w:val="20"/>
        </w:rPr>
        <w:t xml:space="preserve">This Agreement may not be amended, modified, or supplemented except by a written instrument signed by authorized representatives of both Parties. No amendment shall be effective unless it specifically identifies the provision(s) being amended and is signed by the relevant authorized representatives.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24.3 Waiver</w:t>
      </w:r>
    </w:p>
    <w:p>
      <w:pPr>
        <w:spacing w:before="80" w:after="80" w:line="280"/>
        <w:jc w:val="both"/>
      </w:pPr>
      <w:r>
        <w:rPr>
          <w:rFonts w:ascii="Arial" w:cs="Arial" w:eastAsia="Arial" w:hAnsi="Arial"/>
          <w:b w:val="false"/>
          <w:bCs w:val="false"/>
          <w:i w:val="false"/>
          <w:iCs w:val="false"/>
          <w:color w:val="2C2C2C"/>
          <w:sz w:val="20"/>
          <w:szCs w:val="20"/>
        </w:rPr>
        <w:t xml:space="preserve">No waiver by either Party of any breach of this Agreement shall be construed as a waiver of any subsequent breach or default. No failure or delay by either Party in exercising any right, power, or remedy shall operate as a waiver thereof. Any waiver must be in writing and signed by the waiving Party's authorized representative.</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24.4 Severability</w:t>
      </w:r>
    </w:p>
    <w:p>
      <w:pPr>
        <w:spacing w:before="80" w:after="80" w:line="280"/>
        <w:jc w:val="both"/>
      </w:pPr>
      <w:r>
        <w:rPr>
          <w:rFonts w:ascii="Arial" w:cs="Arial" w:eastAsia="Arial" w:hAnsi="Arial"/>
          <w:b w:val="false"/>
          <w:bCs w:val="false"/>
          <w:i w:val="false"/>
          <w:iCs w:val="false"/>
          <w:color w:val="2C2C2C"/>
          <w:sz w:val="20"/>
          <w:szCs w:val="20"/>
        </w:rPr>
        <w:t xml:space="preserve">If any provision of this Agreement is found to be invalid, illegal, or unenforceable under Applicable Law, such provision shall be modified to the minimum extent necessary to make it valid, legal, and enforceable, and the validity, legality, and enforceability of the remaining provisions shall not in any way be affected or impaired.</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24.5 Assignment</w:t>
      </w:r>
    </w:p>
    <w:p>
      <w:pPr>
        <w:spacing w:before="80" w:after="80" w:line="280"/>
        <w:jc w:val="both"/>
      </w:pPr>
      <w:r>
        <w:rPr>
          <w:rFonts w:ascii="Arial" w:cs="Arial" w:eastAsia="Arial" w:hAnsi="Arial"/>
          <w:b w:val="false"/>
          <w:bCs w:val="false"/>
          <w:i w:val="false"/>
          <w:iCs w:val="false"/>
          <w:color w:val="2C2C2C"/>
          <w:sz w:val="20"/>
          <w:szCs w:val="20"/>
        </w:rPr>
        <w:t xml:space="preserve">Neither Party may assign, transfer, or delegate any of its rights or obligations under this Agreement without the prior written consent of the other Party, which consent shall not be unreasonably withheld. Notwithstanding the foregoing: (a) either Party may assign this Agreement to an Affiliate without consent, provided that the assigning Party remains jointly and severally liable; and (b) either Party may assign this Agreement to a successor entity in connection with a merger, acquisition, or sale of all or substantially all of its assets, provided that the assigning Party provides at least sixty (60) days' prior written notice.</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24.6 Notices</w:t>
      </w:r>
    </w:p>
    <w:p>
      <w:pPr>
        <w:spacing w:before="80" w:after="80" w:line="280"/>
        <w:jc w:val="both"/>
      </w:pPr>
      <w:r>
        <w:rPr>
          <w:rFonts w:ascii="Arial" w:cs="Arial" w:eastAsia="Arial" w:hAnsi="Arial"/>
          <w:b w:val="false"/>
          <w:bCs w:val="false"/>
          <w:i w:val="false"/>
          <w:iCs w:val="false"/>
          <w:color w:val="2C2C2C"/>
          <w:sz w:val="20"/>
          <w:szCs w:val="20"/>
        </w:rPr>
        <w:t xml:space="preserve">All notices, requests, demands, and other communications under this Agreement shall be in writing and shall be deemed given when: (a) delivered personally; (b) sent by nationally recognized overnight courier; (c) sent by certified mail, return receipt requested; or (d) sent by email with confirmation of receipt from the receiving Party's authorized representative. Notices shall be addressed to the Parties at their respective addresses set forth on the cover page, or such other address as a Party may specify by notice.</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24.7 Relationship of the Parties</w:t>
      </w:r>
    </w:p>
    <w:p>
      <w:pPr>
        <w:spacing w:before="80" w:after="80" w:line="280"/>
        <w:jc w:val="both"/>
      </w:pPr>
      <w:r>
        <w:rPr>
          <w:rFonts w:ascii="Arial" w:cs="Arial" w:eastAsia="Arial" w:hAnsi="Arial"/>
          <w:b w:val="false"/>
          <w:bCs w:val="false"/>
          <w:i w:val="false"/>
          <w:iCs w:val="false"/>
          <w:color w:val="2C2C2C"/>
          <w:sz w:val="20"/>
          <w:szCs w:val="20"/>
        </w:rPr>
        <w:t xml:space="preserve">The Parties are independent contractors. Nothing in this Agreement shall be deemed to create a partnership, joint venture, agency, employment, or fiduciary relationship between the Parties. Neither Party shall have authority to bind the other Party contractually or otherwise without the other Party's express prior written consent.</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24.8 Third-Party Beneficiaries</w:t>
      </w:r>
    </w:p>
    <w:p>
      <w:pPr>
        <w:spacing w:before="80" w:after="80" w:line="280"/>
        <w:jc w:val="both"/>
      </w:pPr>
      <w:r>
        <w:rPr>
          <w:rFonts w:ascii="Arial" w:cs="Arial" w:eastAsia="Arial" w:hAnsi="Arial"/>
          <w:b w:val="false"/>
          <w:bCs w:val="false"/>
          <w:i w:val="false"/>
          <w:iCs w:val="false"/>
          <w:color w:val="2C2C2C"/>
          <w:sz w:val="20"/>
          <w:szCs w:val="20"/>
        </w:rPr>
        <w:t xml:space="preserve">This Agreement is for the sole benefit of the Parties and their respective permitted successors and assigns. Nothing in this Agreement shall create or be deemed to create any rights in any third party, including any employees, customers, or subcontractors of either Party.</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24.9 Counterparts and Electronic Signatures</w:t>
      </w:r>
    </w:p>
    <w:p>
      <w:pPr>
        <w:spacing w:before="80" w:after="80" w:line="280"/>
        <w:jc w:val="both"/>
      </w:pPr>
      <w:r>
        <w:rPr>
          <w:rFonts w:ascii="Arial" w:cs="Arial" w:eastAsia="Arial" w:hAnsi="Arial"/>
          <w:b w:val="false"/>
          <w:bCs w:val="false"/>
          <w:i w:val="false"/>
          <w:iCs w:val="false"/>
          <w:color w:val="2C2C2C"/>
          <w:sz w:val="20"/>
          <w:szCs w:val="20"/>
        </w:rPr>
        <w:t xml:space="preserve">This Agreement may be executed in one or more counterparts, each of which shall be deemed an original and all of which together shall constitute one and the same instrument. Electronic signatures transmitted by PDF, DocuSign, Adobe Sign, or other recognized electronic signature platform shall be deemed valid and binding with the same legal effect as handwritten signatures.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24.10 Further Assurances</w:t>
      </w:r>
    </w:p>
    <w:p>
      <w:pPr>
        <w:spacing w:before="80" w:after="80" w:line="280"/>
        <w:jc w:val="both"/>
      </w:pPr>
      <w:r>
        <w:rPr>
          <w:rFonts w:ascii="Arial" w:cs="Arial" w:eastAsia="Arial" w:hAnsi="Arial"/>
          <w:b w:val="false"/>
          <w:bCs w:val="false"/>
          <w:i w:val="false"/>
          <w:iCs w:val="false"/>
          <w:color w:val="2C2C2C"/>
          <w:sz w:val="20"/>
          <w:szCs w:val="20"/>
        </w:rPr>
        <w:t xml:space="preserve">Each Party agrees to execute and deliver such additional documents and instruments and to take such further actions as may be reasonably necessary or appropriate to carry out the purposes and intent of this Agreement, including without limitation executing required data processing agreements, consent forms, and other compliance documentation required by Applicable Law.</w:t>
      </w:r>
    </w:p>
    <w:p>
      <w:r>
        <w:br w:type="page"/>
      </w:r>
    </w:p>
    <w:p>
      <w:pPr>
        <w:pStyle w:val="Heading1"/>
        <w:spacing w:before="400" w:after="200"/>
      </w:pPr>
      <w:r>
        <w:rPr>
          <w:rFonts w:ascii="Arial" w:cs="Arial" w:eastAsia="Arial" w:hAnsi="Arial"/>
          <w:b/>
          <w:bCs/>
          <w:color w:val="1F3864"/>
          <w:sz w:val="32"/>
          <w:szCs w:val="32"/>
        </w:rPr>
        <w:t xml:space="preserve">SIGNATURE PAGE</w:t>
      </w:r>
    </w:p>
    <w:p>
      <w:pPr>
        <w:pBdr>
          <w:bottom w:val="single" w:color="1F3864" w:sz="6" w:space="4"/>
        </w:pBdr>
        <w:spacing w:before="200" w:after="20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IN WITNESS WHEREOF, the Parties have executed this Master Enterprise Services Agreement and Comprehensive Technology Platform Contract as of the date first written above, intending to be legally bound.</w:t>
      </w:r>
    </w:p>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3864"/>
                <w:sz w:val="20"/>
                <w:szCs w:val="20"/>
              </w:rPr>
              <w:t xml:space="preserve">NEXOVATE GLOBAL SOLUTIONS, INC.</w:t>
            </w:r>
          </w:p>
          <w:p>
            <w:pPr>
              <w:spacing w:before="200" w:after="0"/>
            </w:pPr>
            <w:r>
              <w:t xml:space="preserve"/>
            </w:r>
          </w:p>
          <w:p>
            <w:pPr>
              <w:pBdr>
                <w:bottom w:val="single" w:color="2C2C2C" w:sz="4"/>
              </w:pBdr>
              <w:spacing w:before="300" w:after="60"/>
            </w:pPr>
            <w:r>
              <w:t xml:space="preserve"/>
            </w:r>
          </w:p>
          <w:p>
            <w:r>
              <w:rPr>
                <w:rFonts w:ascii="Arial" w:cs="Arial" w:eastAsia="Arial" w:hAnsi="Arial"/>
                <w:i/>
                <w:iCs/>
                <w:color w:val="555555"/>
                <w:sz w:val="18"/>
                <w:szCs w:val="18"/>
              </w:rPr>
              <w:t xml:space="preserve">Authorized Signature</w:t>
            </w:r>
          </w:p>
          <w:p>
            <w:pPr>
              <w:spacing w:before="100" w:after="0"/>
            </w:pPr>
            <w:r>
              <w:t xml:space="preserve"/>
            </w:r>
          </w:p>
          <w:p>
            <w:r>
              <w:rPr>
                <w:rFonts w:ascii="Arial" w:cs="Arial" w:eastAsia="Arial" w:hAnsi="Arial"/>
                <w:b/>
                <w:bCs/>
                <w:sz w:val="20"/>
                <w:szCs w:val="20"/>
              </w:rPr>
              <w:t xml:space="preserve">Alexandra M. Harrington</w:t>
            </w:r>
          </w:p>
          <w:p>
            <w:r>
              <w:rPr>
                <w:rFonts w:ascii="Arial" w:cs="Arial" w:eastAsia="Arial" w:hAnsi="Arial"/>
                <w:color w:val="555555"/>
                <w:sz w:val="18"/>
                <w:szCs w:val="18"/>
              </w:rPr>
              <w:t xml:space="preserve">Chief Executive Officer</w:t>
            </w:r>
          </w:p>
          <w:p>
            <w:pPr>
              <w:spacing w:before="100" w:after="0"/>
            </w:pPr>
            <w:r>
              <w:t xml:space="preserve"/>
            </w:r>
          </w:p>
          <w:p>
            <w:pPr>
              <w:pBdr>
                <w:bottom w:val="single" w:color="2C2C2C" w:sz="4"/>
              </w:pBdr>
              <w:spacing w:before="180" w:after="60"/>
            </w:pPr>
            <w:r>
              <w:t xml:space="preserve"/>
            </w:r>
          </w:p>
          <w:p>
            <w:r>
              <w:rPr>
                <w:rFonts w:ascii="Arial" w:cs="Arial" w:eastAsia="Arial" w:hAnsi="Arial"/>
                <w:i/>
                <w:iCs/>
                <w:color w:val="555555"/>
                <w:sz w:val="18"/>
                <w:szCs w:val="18"/>
              </w:rPr>
              <w:t xml:space="preserve">Date</w:t>
            </w:r>
          </w:p>
        </w:tc>
        <w:tc>
          <w:tcPr>
            <w:tcW w:type="dxa" w:w="960"/>
            <w:tcBorders>
              <w:top w:val="none" w:color="FFFFFF" w:sz="0"/>
              <w:left w:val="none" w:color="FFFFFF" w:sz="0"/>
              <w:bottom w:val="none" w:color="FFFFFF" w:sz="0"/>
              <w:right w:val="none" w:color="FFFFFF" w:sz="0"/>
            </w:tcBorders>
          </w:tcPr>
          <w:p>
            <w:pPr>
              <w:spacing w:before="100" w:after="0"/>
            </w:pPr>
            <w:r>
              <w:t xml:space="preserve"/>
            </w:r>
          </w:p>
        </w:tc>
        <w:tc>
          <w:tcPr>
            <w:tcW w:type="dxa" w:w="4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3864"/>
                <w:sz w:val="20"/>
                <w:szCs w:val="20"/>
              </w:rPr>
              <w:t xml:space="preserve">TECHSPHERE INNOVATIONS, LLC</w:t>
            </w:r>
          </w:p>
          <w:p>
            <w:pPr>
              <w:spacing w:before="200" w:after="0"/>
            </w:pPr>
            <w:r>
              <w:t xml:space="preserve"/>
            </w:r>
          </w:p>
          <w:p>
            <w:pPr>
              <w:pBdr>
                <w:bottom w:val="single" w:color="2C2C2C" w:sz="4"/>
              </w:pBdr>
              <w:spacing w:before="300" w:after="60"/>
            </w:pPr>
            <w:r>
              <w:t xml:space="preserve"/>
            </w:r>
          </w:p>
          <w:p>
            <w:r>
              <w:rPr>
                <w:rFonts w:ascii="Arial" w:cs="Arial" w:eastAsia="Arial" w:hAnsi="Arial"/>
                <w:i/>
                <w:iCs/>
                <w:color w:val="555555"/>
                <w:sz w:val="18"/>
                <w:szCs w:val="18"/>
              </w:rPr>
              <w:t xml:space="preserve">Authorized Signature</w:t>
            </w:r>
          </w:p>
          <w:p>
            <w:pPr>
              <w:spacing w:before="100" w:after="0"/>
            </w:pPr>
            <w:r>
              <w:t xml:space="preserve"/>
            </w:r>
          </w:p>
          <w:p>
            <w:r>
              <w:rPr>
                <w:rFonts w:ascii="Arial" w:cs="Arial" w:eastAsia="Arial" w:hAnsi="Arial"/>
                <w:b/>
                <w:bCs/>
                <w:sz w:val="20"/>
                <w:szCs w:val="20"/>
              </w:rPr>
              <w:t xml:space="preserve">Dr. Rajesh Kumar Venkataraman</w:t>
            </w:r>
          </w:p>
          <w:p>
            <w:r>
              <w:rPr>
                <w:rFonts w:ascii="Arial" w:cs="Arial" w:eastAsia="Arial" w:hAnsi="Arial"/>
                <w:color w:val="555555"/>
                <w:sz w:val="18"/>
                <w:szCs w:val="18"/>
              </w:rPr>
              <w:t xml:space="preserve">Chief Executive Officer</w:t>
            </w:r>
          </w:p>
          <w:p>
            <w:pPr>
              <w:spacing w:before="100" w:after="0"/>
            </w:pPr>
            <w:r>
              <w:t xml:space="preserve"/>
            </w:r>
          </w:p>
          <w:p>
            <w:pPr>
              <w:pBdr>
                <w:bottom w:val="single" w:color="2C2C2C" w:sz="4"/>
              </w:pBdr>
              <w:spacing w:before="180" w:after="60"/>
            </w:pPr>
            <w:r>
              <w:t xml:space="preserve"/>
            </w:r>
          </w:p>
          <w:p>
            <w:r>
              <w:rPr>
                <w:rFonts w:ascii="Arial" w:cs="Arial" w:eastAsia="Arial" w:hAnsi="Arial"/>
                <w:i/>
                <w:iCs/>
                <w:color w:val="555555"/>
                <w:sz w:val="18"/>
                <w:szCs w:val="18"/>
              </w:rPr>
              <w:t xml:space="preserve">Date</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r>
              <w:rPr>
                <w:rFonts w:ascii="Arial" w:cs="Arial" w:eastAsia="Arial" w:hAnsi="Arial"/>
                <w:b/>
                <w:bCs/>
                <w:color w:val="1F3864"/>
                <w:sz w:val="20"/>
                <w:szCs w:val="20"/>
              </w:rPr>
              <w:t xml:space="preserve">Witnessed By (CLIENT):</w:t>
            </w:r>
          </w:p>
          <w:p>
            <w:pPr>
              <w:spacing w:before="200" w:after="0"/>
            </w:pPr>
            <w:r>
              <w:t xml:space="preserve"/>
            </w:r>
          </w:p>
          <w:p>
            <w:pPr>
              <w:pBdr>
                <w:bottom w:val="single" w:color="2C2C2C" w:sz="4"/>
              </w:pBdr>
              <w:spacing w:before="300" w:after="60"/>
            </w:pPr>
            <w:r>
              <w:t xml:space="preserve"/>
            </w:r>
          </w:p>
          <w:p>
            <w:r>
              <w:rPr>
                <w:rFonts w:ascii="Arial" w:cs="Arial" w:eastAsia="Arial" w:hAnsi="Arial"/>
                <w:color w:val="555555"/>
                <w:sz w:val="18"/>
                <w:szCs w:val="18"/>
              </w:rPr>
              <w:t xml:space="preserve">Marcus T. Wellington, General Counsel</w:t>
            </w:r>
          </w:p>
        </w:tc>
        <w:tc>
          <w:tcPr>
            <w:tcW w:type="dxa" w:w="960"/>
            <w:tcBorders>
              <w:top w:val="none" w:color="FFFFFF" w:sz="0"/>
              <w:left w:val="none" w:color="FFFFFF" w:sz="0"/>
              <w:bottom w:val="none" w:color="FFFFFF" w:sz="0"/>
              <w:right w:val="none" w:color="FFFFFF" w:sz="0"/>
            </w:tcBorders>
          </w:tcPr>
          <w:p>
            <w:pPr>
              <w:spacing w:before="100" w:after="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b/>
                <w:bCs/>
                <w:color w:val="7D3C98"/>
                <w:sz w:val="20"/>
                <w:szCs w:val="20"/>
              </w:rPr>
              <w:t xml:space="preserve">Witnessed By (PROVIDER):</w:t>
            </w:r>
          </w:p>
          <w:p>
            <w:pPr>
              <w:spacing w:before="200" w:after="0"/>
            </w:pPr>
            <w:r>
              <w:t xml:space="preserve"/>
            </w:r>
          </w:p>
          <w:p>
            <w:pPr>
              <w:pBdr>
                <w:bottom w:val="single" w:color="2C2C2C" w:sz="4"/>
              </w:pBdr>
              <w:spacing w:before="300" w:after="60"/>
            </w:pPr>
            <w:r>
              <w:t xml:space="preserve"/>
            </w:r>
          </w:p>
          <w:p>
            <w:r>
              <w:rPr>
                <w:rFonts w:ascii="Arial" w:cs="Arial" w:eastAsia="Arial" w:hAnsi="Arial"/>
                <w:color w:val="555555"/>
                <w:sz w:val="18"/>
                <w:szCs w:val="18"/>
              </w:rPr>
              <w:t xml:space="preserve">Priya S. Nair, Chief Legal Officer</w:t>
            </w:r>
          </w:p>
        </w:tc>
      </w:tr>
    </w:tbl>
    <w:p>
      <w:r>
        <w:br w:type="page"/>
      </w:r>
    </w:p>
    <w:p>
      <w:pPr>
        <w:pStyle w:val="Heading1"/>
        <w:spacing w:before="400" w:after="200"/>
      </w:pPr>
      <w:r>
        <w:rPr>
          <w:rFonts w:ascii="Arial" w:cs="Arial" w:eastAsia="Arial" w:hAnsi="Arial"/>
          <w:b/>
          <w:bCs/>
          <w:color w:val="1F3864"/>
          <w:sz w:val="32"/>
          <w:szCs w:val="32"/>
        </w:rPr>
        <w:t xml:space="preserve">SCHEDULE A: SERVICES DESCRIPTION AND SPECIFICATIONS</w:t>
      </w:r>
    </w:p>
    <w:p>
      <w:pPr>
        <w:pBdr>
          <w:bottom w:val="single" w:color="1F3864" w:sz="6" w:space="4"/>
        </w:pBdr>
        <w:spacing w:before="200" w:after="20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This Schedule A provides a detailed description of the Services to be provided by PROVIDER under the Agreement. Capitalized terms used herein have the meanings ascribed to them in the Agreement.</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A.1 TechSphere Enterprise Suite – Platform Overview</w:t>
      </w:r>
    </w:p>
    <w:p>
      <w:pPr>
        <w:spacing w:before="80" w:after="80" w:line="280"/>
        <w:jc w:val="both"/>
      </w:pPr>
      <w:r>
        <w:rPr>
          <w:rFonts w:ascii="Arial" w:cs="Arial" w:eastAsia="Arial" w:hAnsi="Arial"/>
          <w:b w:val="false"/>
          <w:bCs w:val="false"/>
          <w:i w:val="false"/>
          <w:iCs w:val="false"/>
          <w:color w:val="2C2C2C"/>
          <w:sz w:val="20"/>
          <w:szCs w:val="20"/>
        </w:rPr>
        <w:t xml:space="preserve">The TechSphere Enterprise Suite ("TES") is PROVIDER's flagship enterprise technology platform, comprising an integrated suite of modules designed to address the full range of CLIENT's digital transformation requirements. The Platform is built on a microservices architecture with containerized deployment, API-first design principles, and AI-native capabilities embedded throughout.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4200"/>
        <w:gridCol w:w="1560"/>
      </w:tblGrid>
      <w:t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Functionality</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Deployment Model</w:t>
            </w:r>
          </w:p>
        </w:tc>
      </w:tr>
      <w:tr>
        <w:tc>
          <w:tcPr>
            <w:tcW w:type="dxa" w:w="2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TES-Core ERP Integration Hub</w:t>
            </w:r>
          </w:p>
        </w:tc>
        <w:tc>
          <w:tcPr>
            <w:tcW w:type="dxa" w:w="1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8.4.2</w:t>
            </w:r>
          </w:p>
        </w:tc>
        <w:tc>
          <w:tcPr>
            <w:tcW w:type="dxa" w:w="4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Bi-directional integration with SAP S/4HANA, Oracle ERP Cloud, Microsoft Dynamics 365; real-time data synchronization; transaction orchestration; master data management</w:t>
            </w:r>
          </w:p>
        </w:tc>
        <w:tc>
          <w:tcPr>
            <w:tcW w:type="dxa" w:w="1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SaaS / Hosted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TES-Analytics AI Engine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8.4.1</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Predictive analytics, ML model training and inference, NLP-based insights, automated reporting, 200+ pre-built dashboards, custom visualization builder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SaaS / Hosted</w:t>
            </w:r>
          </w:p>
        </w:tc>
      </w:tr>
      <w:tr>
        <w:tc>
          <w:tcPr>
            <w:tcW w:type="dxa" w:w="2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TES-Security Operations Center</w:t>
            </w:r>
          </w:p>
        </w:tc>
        <w:tc>
          <w:tcPr>
            <w:tcW w:type="dxa" w:w="1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8.4.0</w:t>
            </w:r>
          </w:p>
        </w:tc>
        <w:tc>
          <w:tcPr>
            <w:tcW w:type="dxa" w:w="4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24/7 automated threat detection, SIEM integration, vulnerability scanning, compliance monitoring, incident response automation, threat intelligence feeds</w:t>
            </w:r>
          </w:p>
        </w:tc>
        <w:tc>
          <w:tcPr>
            <w:tcW w:type="dxa" w:w="1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SaaS / Hosted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TES-Customer Experience Platform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8.3.5</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Omnichannel customer engagement, AI-powered chatbots, customer journey orchestration, real-time personalization, CRM integration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SaaS / Hybrid</w:t>
            </w:r>
          </w:p>
        </w:tc>
      </w:tr>
      <w:tr>
        <w:tc>
          <w:tcPr>
            <w:tcW w:type="dxa" w:w="2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TES-Supply Chain Optimizer</w:t>
            </w:r>
          </w:p>
        </w:tc>
        <w:tc>
          <w:tcPr>
            <w:tcW w:type="dxa" w:w="1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8.4.2</w:t>
            </w:r>
          </w:p>
        </w:tc>
        <w:tc>
          <w:tcPr>
            <w:tcW w:type="dxa" w:w="4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End-to-end supply chain visibility, demand forecasting, inventory optimization, supplier collaboration portal, logistics tracking</w:t>
            </w:r>
          </w:p>
        </w:tc>
        <w:tc>
          <w:tcPr>
            <w:tcW w:type="dxa" w:w="1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SaaS / Hosted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TES-HR Workforce Platform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8.4.0</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Global HR management, payroll integration, talent acquisition, performance management, learning management, workforce analytics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SaaS / Hosted</w:t>
            </w:r>
          </w:p>
        </w:tc>
      </w:tr>
      <w:tr>
        <w:tc>
          <w:tcPr>
            <w:tcW w:type="dxa" w:w="2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TES-Financial Operations Suite</w:t>
            </w:r>
          </w:p>
        </w:tc>
        <w:tc>
          <w:tcPr>
            <w:tcW w:type="dxa" w:w="1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8.4.1</w:t>
            </w:r>
          </w:p>
        </w:tc>
        <w:tc>
          <w:tcPr>
            <w:tcW w:type="dxa" w:w="4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Accounts payable/receivable automation, financial close management, treasury management, financial planning and analysis, regulatory reporting</w:t>
            </w:r>
          </w:p>
        </w:tc>
        <w:tc>
          <w:tcPr>
            <w:tcW w:type="dxa" w:w="1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SaaS / Hosted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TES-Document Intelligence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8.3.8</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AI-powered document processing, OCR, contract analysis, automated data extraction, document lifecycle management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SaaS / Hosted</w:t>
            </w:r>
          </w:p>
        </w:tc>
      </w:tr>
      <w:tr>
        <w:tc>
          <w:tcPr>
            <w:tcW w:type="dxa" w:w="2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TES-Mobile Workplace</w:t>
            </w:r>
          </w:p>
        </w:tc>
        <w:tc>
          <w:tcPr>
            <w:tcW w:type="dxa" w:w="1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8.4.2</w:t>
            </w:r>
          </w:p>
        </w:tc>
        <w:tc>
          <w:tcPr>
            <w:tcW w:type="dxa" w:w="4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Native iOS and Android applications, offline capability, push notifications, biometric authentication, mobile device management integration</w:t>
            </w:r>
          </w:p>
        </w:tc>
        <w:tc>
          <w:tcPr>
            <w:tcW w:type="dxa" w:w="1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Mobile / SaaS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TES-Developer Platform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8.4.0</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Low-code/no-code application builder, API management, integration development environment, SDK for custom extensions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SaaS / Hosted</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A.2 Implementation Methodology</w:t>
      </w:r>
    </w:p>
    <w:p>
      <w:pPr>
        <w:spacing w:before="80" w:after="80" w:line="280"/>
        <w:jc w:val="both"/>
      </w:pPr>
      <w:r>
        <w:rPr>
          <w:rFonts w:ascii="Arial" w:cs="Arial" w:eastAsia="Arial" w:hAnsi="Arial"/>
          <w:b w:val="false"/>
          <w:bCs w:val="false"/>
          <w:i w:val="false"/>
          <w:iCs w:val="false"/>
          <w:color w:val="2C2C2C"/>
          <w:sz w:val="20"/>
          <w:szCs w:val="20"/>
        </w:rPr>
        <w:t xml:space="preserve">PROVIDER shall implement the TechSphere Enterprise Suite using its proprietary LAUNCH™ methodology (Large-scale Agile Unified New-technology Continuous Handoff), which combines the flexibility of Agile delivery with the rigor of enterprise-grade program management. The LAUNCH methodology consists of five phases:</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DISCOVER (Weeks 1-8): Requirements gathering, current state assessment, gap analysis, architecture design, and detailed implementation planning;</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ARCHITECT (Weeks 9-16): Technical architecture finalization, security design review, integration design, and environment provisioning;</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BUILD (Weeks 17-40): Platform configuration, custom development, integration development, data migration preparation, and unit testing;</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VALIDATE (Weeks 41-52): System integration testing, performance testing, security testing, user acceptance testing, and training delivery;</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LAUNCH (Weeks 53-56): Production deployment, go-live support, hypercare period, and knowledge transfer.</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A.3 Technical Architecture Specifications</w:t>
      </w:r>
    </w:p>
    <w:p>
      <w:pPr>
        <w:spacing w:before="80" w:after="80" w:line="280"/>
        <w:jc w:val="both"/>
      </w:pPr>
      <w:r>
        <w:rPr>
          <w:rFonts w:ascii="Arial" w:cs="Arial" w:eastAsia="Arial" w:hAnsi="Arial"/>
          <w:b w:val="false"/>
          <w:bCs w:val="false"/>
          <w:i w:val="false"/>
          <w:iCs w:val="false"/>
          <w:color w:val="2C2C2C"/>
          <w:sz w:val="20"/>
          <w:szCs w:val="20"/>
        </w:rPr>
        <w:t xml:space="preserve">The TechSphere Enterprise Suite shall be deployed on the following technical architecture: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Primary Cloud Provider</w:t>
            </w:r>
          </w:p>
        </w:tc>
        <w:tc>
          <w:tcPr>
            <w:tcW w:type="dxa" w:w="6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Amazon Web Services (AWS) – US-East-1 and US-West-2 regions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Secondary Cloud Provider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Microsoft Azure – EU-West and EU-North regions</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Compute</w:t>
            </w:r>
          </w:p>
        </w:tc>
        <w:tc>
          <w:tcPr>
            <w:tcW w:type="dxa" w:w="6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Auto-scaling container clusters (AWS EKS / Azure AKS), minimum 500 vCPU baseline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Database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Amazon Aurora PostgreSQL (primary), Redis Enterprise (caching), Elasticsearch (search)</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Storage</w:t>
            </w:r>
          </w:p>
        </w:tc>
        <w:tc>
          <w:tcPr>
            <w:tcW w:type="dxa" w:w="6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Amazon S3 (object), Amazon EFS (file), minimum 500TB initial allocation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CDN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Amazon CloudFront (global distribution across 450+ edge locations)</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API Gateway</w:t>
            </w:r>
          </w:p>
        </w:tc>
        <w:tc>
          <w:tcPr>
            <w:tcW w:type="dxa" w:w="6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AWS API Gateway + Kong Enterprise for API management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Message Broker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Apache Kafka (MSK) for real-time event streaming</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Identity Provider</w:t>
            </w:r>
          </w:p>
        </w:tc>
        <w:tc>
          <w:tcPr>
            <w:tcW w:type="dxa" w:w="6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Okta Workforce Identity + PROVIDER's IAM overlay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Monitoring</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Datadog APM, custom CloudWatch dashboards, PagerDuty alerting</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Backup</w:t>
            </w:r>
          </w:p>
        </w:tc>
        <w:tc>
          <w:tcPr>
            <w:tcW w:type="dxa" w:w="6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AWS Backup + cross-region replication, 7-year retention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Disaster Recovery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Active-passive with automated failover, RTO 4 hours, RPO 15 minutes</w:t>
            </w:r>
          </w:p>
        </w:tc>
      </w:tr>
    </w:tbl>
    <w:p>
      <w:r>
        <w:br w:type="page"/>
      </w:r>
    </w:p>
    <w:p>
      <w:pPr>
        <w:pStyle w:val="Heading1"/>
        <w:spacing w:before="400" w:after="200"/>
      </w:pPr>
      <w:r>
        <w:rPr>
          <w:rFonts w:ascii="Arial" w:cs="Arial" w:eastAsia="Arial" w:hAnsi="Arial"/>
          <w:b/>
          <w:bCs/>
          <w:color w:val="1F3864"/>
          <w:sz w:val="32"/>
          <w:szCs w:val="32"/>
        </w:rPr>
        <w:t xml:space="preserve">SCHEDULE B: PRICING AND PAYMENT SCHEDULE</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B.1 Platform License Fees</w:t>
      </w:r>
    </w:p>
    <w:p>
      <w:pPr>
        <w:spacing w:before="80" w:after="80" w:line="280"/>
        <w:jc w:val="both"/>
      </w:pPr>
      <w:r>
        <w:rPr>
          <w:rFonts w:ascii="Arial" w:cs="Arial" w:eastAsia="Arial" w:hAnsi="Arial"/>
          <w:b w:val="false"/>
          <w:bCs w:val="false"/>
          <w:i w:val="false"/>
          <w:iCs w:val="false"/>
          <w:color w:val="2C2C2C"/>
          <w:sz w:val="20"/>
          <w:szCs w:val="20"/>
        </w:rPr>
        <w:t xml:space="preserve">The following Platform License Fees shall be payable annually in advance, as specified in Section 5.2(a) of the Agreement: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Licensed Users</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Year 1 Annual Fee</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Annual Escalation</w:t>
            </w:r>
          </w:p>
        </w:tc>
      </w:tr>
      <w:tr>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TES-Core ERP Integration Hub</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Unlimited API calls</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$480,000</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10% per year from Year 3</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TES-Analytics AI Engine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1,000 named users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$360,000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 per year from Year 3</w:t>
            </w:r>
          </w:p>
        </w:tc>
      </w:tr>
      <w:tr>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TES-Security Operations Center</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Enterprise-wide</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$288,000</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10% per year from Year 3</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TES-Customer Experience Platform</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500 agent seats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$240,000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 per year from Year 3</w:t>
            </w:r>
          </w:p>
        </w:tc>
      </w:tr>
      <w:tr>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TES-Supply Chain Optimizer</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250 named users</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$192,000</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10% per year from Year 3</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TES-HR Workforce Platform</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Unlimited employees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$240,000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 per year from Year 3</w:t>
            </w:r>
          </w:p>
        </w:tc>
      </w:tr>
      <w:tr>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TES-Financial Operations Suite</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200 named users</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$216,000</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10% per year from Year 3</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TES-Document Intelligence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500,000 pages/month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$144,000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 per year from Year 3</w:t>
            </w:r>
          </w:p>
        </w:tc>
      </w:tr>
      <w:tr>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TES-Mobile Workplace</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5,000 devices</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$120,000</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10% per year from Year 3</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TES-Developer Platform</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50 developers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$120,000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 per year from Year 3</w:t>
            </w:r>
          </w:p>
        </w:tc>
      </w:tr>
      <w:tr>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TOTAL ANNUAL LICENSE FEES</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$2,400,000</w:t>
            </w:r>
          </w:p>
        </w:tc>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B.2 Professional Services Rates</w:t>
      </w:r>
    </w:p>
    <w:p>
      <w:pPr>
        <w:spacing w:before="80" w:after="80" w:line="280"/>
        <w:jc w:val="both"/>
      </w:pPr>
      <w:r>
        <w:rPr>
          <w:rFonts w:ascii="Arial" w:cs="Arial" w:eastAsia="Arial" w:hAnsi="Arial"/>
          <w:b w:val="false"/>
          <w:bCs w:val="false"/>
          <w:i w:val="false"/>
          <w:iCs w:val="false"/>
          <w:color w:val="2C2C2C"/>
          <w:sz w:val="20"/>
          <w:szCs w:val="20"/>
        </w:rPr>
        <w:t xml:space="preserve">Professional Services provided on a time and materials basis shall be billed at the following rates (USD per hour):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Standard Rate ($/hr)</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Overtime Rate ($/hr)</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Weekend/Holiday ($/hr)</w:t>
            </w:r>
          </w:p>
        </w:tc>
      </w:tr>
      <w:tr>
        <w:tc>
          <w:tcPr>
            <w:tcW w:type="dxa" w:w="3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Principal Architect / Managing Director</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$375</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$562</w:t>
            </w:r>
          </w:p>
        </w:tc>
        <w:tc>
          <w:tcPr>
            <w:tcW w:type="dxa" w:w="18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$562</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Senior Solution Architect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$325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$487</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$487</w:t>
            </w:r>
          </w:p>
        </w:tc>
      </w:tr>
      <w:tr>
        <w:tc>
          <w:tcPr>
            <w:tcW w:type="dxa" w:w="3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Solution Architect</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$285</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$427</w:t>
            </w:r>
          </w:p>
        </w:tc>
        <w:tc>
          <w:tcPr>
            <w:tcW w:type="dxa" w:w="18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$427</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Senior Project Manager (PMP)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$265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$397</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$397</w:t>
            </w:r>
          </w:p>
        </w:tc>
      </w:tr>
      <w:tr>
        <w:tc>
          <w:tcPr>
            <w:tcW w:type="dxa" w:w="3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Project Manager</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$225</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$337</w:t>
            </w:r>
          </w:p>
        </w:tc>
        <w:tc>
          <w:tcPr>
            <w:tcW w:type="dxa" w:w="18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$337</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Senior Business Analyst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$235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$352</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$352</w:t>
            </w:r>
          </w:p>
        </w:tc>
      </w:tr>
      <w:tr>
        <w:tc>
          <w:tcPr>
            <w:tcW w:type="dxa" w:w="3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Business Analyst</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$195</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$292</w:t>
            </w:r>
          </w:p>
        </w:tc>
        <w:tc>
          <w:tcPr>
            <w:tcW w:type="dxa" w:w="18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$292</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Senior Software Developer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$245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$367</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$367</w:t>
            </w:r>
          </w:p>
        </w:tc>
      </w:tr>
      <w:tr>
        <w:tc>
          <w:tcPr>
            <w:tcW w:type="dxa" w:w="3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Software Developer</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$210</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$315</w:t>
            </w:r>
          </w:p>
        </w:tc>
        <w:tc>
          <w:tcPr>
            <w:tcW w:type="dxa" w:w="18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$315</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Junior Software Developer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$175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$262</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$262</w:t>
            </w:r>
          </w:p>
        </w:tc>
      </w:tr>
      <w:tr>
        <w:tc>
          <w:tcPr>
            <w:tcW w:type="dxa" w:w="3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Senior QA Engineer</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$215</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$322</w:t>
            </w:r>
          </w:p>
        </w:tc>
        <w:tc>
          <w:tcPr>
            <w:tcW w:type="dxa" w:w="18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$322</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QA Engineer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$180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$270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$270</w:t>
            </w:r>
          </w:p>
        </w:tc>
      </w:tr>
      <w:tr>
        <w:tc>
          <w:tcPr>
            <w:tcW w:type="dxa" w:w="3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Senior Integration Engineer</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$235</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$352</w:t>
            </w:r>
          </w:p>
        </w:tc>
        <w:tc>
          <w:tcPr>
            <w:tcW w:type="dxa" w:w="18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$352</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Integration Engineer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$300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$300</w:t>
            </w:r>
          </w:p>
        </w:tc>
      </w:tr>
      <w:tr>
        <w:tc>
          <w:tcPr>
            <w:tcW w:type="dxa" w:w="3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Security Architect</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$345</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$517</w:t>
            </w:r>
          </w:p>
        </w:tc>
        <w:tc>
          <w:tcPr>
            <w:tcW w:type="dxa" w:w="18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$517</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Senior Security Engineer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$295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$442</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$442</w:t>
            </w:r>
          </w:p>
        </w:tc>
      </w:tr>
      <w:tr>
        <w:tc>
          <w:tcPr>
            <w:tcW w:type="dxa" w:w="3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Data Architect</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$315</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$472</w:t>
            </w:r>
          </w:p>
        </w:tc>
        <w:tc>
          <w:tcPr>
            <w:tcW w:type="dxa" w:w="18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$472</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Senior Data Engineer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$265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$397</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$397</w:t>
            </w:r>
          </w:p>
        </w:tc>
      </w:tr>
      <w:tr>
        <w:tc>
          <w:tcPr>
            <w:tcW w:type="dxa" w:w="3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Training Specialist</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$175</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$262</w:t>
            </w:r>
          </w:p>
        </w:tc>
        <w:tc>
          <w:tcPr>
            <w:tcW w:type="dxa" w:w="18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$262</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Change Management Consultant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$225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$337</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$337</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B.3 Managed Services Monthly Fees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Monthly Fee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Annual Fee</w:t>
            </w:r>
          </w:p>
        </w:tc>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Coverage</w:t>
            </w:r>
          </w:p>
        </w:tc>
      </w:tr>
      <w:tr>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Managed Cloud Operations</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$60,000</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$720,000</w:t>
            </w:r>
          </w:p>
        </w:tc>
        <w:tc>
          <w:tcPr>
            <w:tcW w:type="dxa" w:w="27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24/7 infrastructure management, monitoring, optimization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Managed Security Services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$40,000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$480,000</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SOC monitoring, threat response, compliance management</w:t>
            </w:r>
          </w:p>
        </w:tc>
      </w:tr>
      <w:tr>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Service Desk (Tiers 1-3)</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$35,000</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$420,000</w:t>
            </w:r>
          </w:p>
        </w:tc>
        <w:tc>
          <w:tcPr>
            <w:tcW w:type="dxa" w:w="27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24/7 support, multi-channel, 50 languages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Application Management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$30,000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$360,000</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Platform administration, configuration management</w:t>
            </w:r>
          </w:p>
        </w:tc>
      </w:tr>
      <w:tr>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Database Administration</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$15,000</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$180,000</w:t>
            </w:r>
          </w:p>
        </w:tc>
        <w:tc>
          <w:tcPr>
            <w:tcW w:type="dxa" w:w="27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Performance tuning, backup management, patching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Network Management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$12,500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$150,000</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Network monitoring, optimization, security</w:t>
            </w:r>
          </w:p>
        </w:tc>
      </w:tr>
      <w:tr>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TOTAL MONTHLY MANAGED SERVICES</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$192,500</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$2,310,000</w:t>
            </w:r>
          </w:p>
        </w:tc>
        <w:tc>
          <w:tcPr>
            <w:tcW w:type="dxa" w:w="27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
            </w:r>
          </w:p>
        </w:tc>
      </w:tr>
    </w:tbl>
    <w:p>
      <w:r>
        <w:br w:type="page"/>
      </w:r>
    </w:p>
    <w:p>
      <w:pPr>
        <w:pStyle w:val="Heading1"/>
        <w:spacing w:before="400" w:after="200"/>
      </w:pPr>
      <w:r>
        <w:rPr>
          <w:rFonts w:ascii="Arial" w:cs="Arial" w:eastAsia="Arial" w:hAnsi="Arial"/>
          <w:b/>
          <w:bCs/>
          <w:color w:val="1F3864"/>
          <w:sz w:val="32"/>
          <w:szCs w:val="32"/>
        </w:rPr>
        <w:t xml:space="preserve">SCHEDULE C: SERVICE LEVEL METRICS</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C.1 Platform Availability Measurement</w:t>
      </w:r>
    </w:p>
    <w:p>
      <w:pPr>
        <w:spacing w:before="80" w:after="80" w:line="280"/>
        <w:jc w:val="both"/>
      </w:pPr>
      <w:r>
        <w:rPr>
          <w:rFonts w:ascii="Arial" w:cs="Arial" w:eastAsia="Arial" w:hAnsi="Arial"/>
          <w:b w:val="false"/>
          <w:bCs w:val="false"/>
          <w:i w:val="false"/>
          <w:iCs w:val="false"/>
          <w:color w:val="2C2C2C"/>
          <w:sz w:val="20"/>
          <w:szCs w:val="20"/>
        </w:rPr>
        <w:t xml:space="preserve">Platform Availability shall be measured as follows:</w:t>
      </w:r>
    </w:p>
    <w:p>
      <w:pPr>
        <w:spacing w:before="100" w:after="0"/>
      </w:pPr>
      <w:r>
        <w:t xml:space="preserve"/>
      </w:r>
    </w:p>
    <w:p>
      <w:pPr>
        <w:spacing w:before="80" w:after="80" w:line="280"/>
        <w:jc w:val="left"/>
      </w:pPr>
      <w:r>
        <w:rPr>
          <w:rFonts w:ascii="Arial" w:cs="Arial" w:eastAsia="Arial" w:hAnsi="Arial"/>
          <w:b/>
          <w:bCs/>
          <w:i w:val="false"/>
          <w:iCs w:val="false"/>
          <w:color w:val="1F3864"/>
          <w:sz w:val="20"/>
          <w:szCs w:val="20"/>
        </w:rPr>
        <w:t xml:space="preserve">Availability % = ((Total Minutes in Month – Unplanned Downtime Minutes) / Total Minutes in Month) × 100</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"Unplanned Downtime" means any period during which the Platform is inaccessible or materially degraded due to causes attributable to PROVIDER, excluding: (a) planned Maintenance Windows; (b) Force Majeure Events; (c) outages caused by CLIENT's actions or omissions; (d) third-party internet service failures outside PROVIDER's reasonable control; and (e) outages caused by CLIENT's custom integrations or configurations.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C.2 Service Credit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200"/>
        <w:gridCol w:w="29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Service Level Metric</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Credit Threshold</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Credit Amount</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Monthly Platform Availability</w:t>
            </w:r>
          </w:p>
        </w:tc>
        <w:tc>
          <w:tcPr>
            <w:tcW w:type="dxa" w:w="1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99.95%</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99.90% – 99.94%</w:t>
            </w:r>
          </w:p>
        </w:tc>
        <w:tc>
          <w:tcPr>
            <w:tcW w:type="dxa" w:w="2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5% of monthly License and Managed Services Fees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Monthly Platform Availability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99.95%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99.50% – 99.89%</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 of monthly License and Managed Services Fees</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Monthly Platform Availability</w:t>
            </w:r>
          </w:p>
        </w:tc>
        <w:tc>
          <w:tcPr>
            <w:tcW w:type="dxa" w:w="1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99.95%</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99.00% – 99.49%</w:t>
            </w:r>
          </w:p>
        </w:tc>
        <w:tc>
          <w:tcPr>
            <w:tcW w:type="dxa" w:w="2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15% of monthly License and Managed Services Fees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Monthly Platform Availability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99.95%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Below 99.00%</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25% of monthly License and Managed Services Fees</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Critical Defect Response</w:t>
            </w:r>
          </w:p>
        </w:tc>
        <w:tc>
          <w:tcPr>
            <w:tcW w:type="dxa" w:w="1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15 minutes</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16-30 minutes</w:t>
            </w:r>
          </w:p>
        </w:tc>
        <w:tc>
          <w:tcPr>
            <w:tcW w:type="dxa" w:w="2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 of monthly Fees per incident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Critical Defect Response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15 minutes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31-60 minutes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 of monthly Fees per incident</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Critical Defect Response</w:t>
            </w:r>
          </w:p>
        </w:tc>
        <w:tc>
          <w:tcPr>
            <w:tcW w:type="dxa" w:w="1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15 minutes</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Over 60 minutes</w:t>
            </w:r>
          </w:p>
        </w:tc>
        <w:tc>
          <w:tcPr>
            <w:tcW w:type="dxa" w:w="2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10% of monthly Fees per incident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Critical Defect Resolution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 hours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4-8 hours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 of monthly Fees per incident</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Critical Defect Resolution</w:t>
            </w:r>
          </w:p>
        </w:tc>
        <w:tc>
          <w:tcPr>
            <w:tcW w:type="dxa" w:w="1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4 hours</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Over 8 hours</w:t>
            </w:r>
          </w:p>
        </w:tc>
        <w:tc>
          <w:tcPr>
            <w:tcW w:type="dxa" w:w="2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8% of monthly Fees per incident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Monthly Reporting Delivery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5th BD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6th-8th BD</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 of monthly Fees</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Security Incident Notification</w:t>
            </w:r>
          </w:p>
        </w:tc>
        <w:tc>
          <w:tcPr>
            <w:tcW w:type="dxa" w:w="1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 hours</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2-4 hours</w:t>
            </w:r>
          </w:p>
        </w:tc>
        <w:tc>
          <w:tcPr>
            <w:tcW w:type="dxa" w:w="2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3% of monthly Fees per incident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Security Incident Notification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 hours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Over 4 hours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 of monthly Fees per incident</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C.3 Persistent Failure – Material Breach</w:t>
      </w:r>
    </w:p>
    <w:p>
      <w:pPr>
        <w:spacing w:before="80" w:after="80" w:line="280"/>
        <w:jc w:val="both"/>
      </w:pPr>
      <w:r>
        <w:rPr>
          <w:rFonts w:ascii="Arial" w:cs="Arial" w:eastAsia="Arial" w:hAnsi="Arial"/>
          <w:b w:val="false"/>
          <w:bCs w:val="false"/>
          <w:i w:val="false"/>
          <w:iCs w:val="false"/>
          <w:color w:val="2C2C2C"/>
          <w:sz w:val="20"/>
          <w:szCs w:val="20"/>
        </w:rPr>
        <w:t xml:space="preserve">The following constitute material breaches of this Agreement for which CLIENT may terminate for cause in accordance with Section 15.2:</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PROVIDER fails to achieve the Platform Availability target in any three (3) consecutive calendar months;</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PROVIDER fails to achieve the Platform Availability target in any five (5) calendar months within any rolling twelve (12) month period;</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PROVIDER fails to resolve a Critical Defect within twenty-four (24) hours on two (2) or more occasions within any rolling ninety (90) day period;</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Maximum Service Credits are earned in any three (3) consecutive calendar months.</w:t>
      </w:r>
    </w:p>
    <w:p>
      <w:r>
        <w:br w:type="page"/>
      </w:r>
    </w:p>
    <w:p>
      <w:pPr>
        <w:pStyle w:val="Heading1"/>
        <w:spacing w:before="400" w:after="200"/>
      </w:pPr>
      <w:r>
        <w:rPr>
          <w:rFonts w:ascii="Arial" w:cs="Arial" w:eastAsia="Arial" w:hAnsi="Arial"/>
          <w:b/>
          <w:bCs/>
          <w:color w:val="1F3864"/>
          <w:sz w:val="32"/>
          <w:szCs w:val="32"/>
        </w:rPr>
        <w:t xml:space="preserve">SCHEDULE D: DATA PROCESSING AGREEMENT</w:t>
      </w:r>
    </w:p>
    <w:p>
      <w:pPr>
        <w:pBdr>
          <w:bottom w:val="single" w:color="1F3864" w:sz="6" w:space="4"/>
        </w:pBdr>
        <w:spacing w:before="200" w:after="20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This Data Processing Agreement ("DPA") is entered into between CLIENT and PROVIDER as of the Effective Date and forms an integral part of the Agreement. This DPA governs PROVIDER's processing of Personal Data on behalf of CLIENT.</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D.1 Definitions</w:t>
      </w:r>
    </w:p>
    <w:p>
      <w:pPr>
        <w:spacing w:before="80" w:after="80" w:line="280"/>
        <w:jc w:val="both"/>
      </w:pPr>
      <w:r>
        <w:rPr>
          <w:rFonts w:ascii="Arial" w:cs="Arial" w:eastAsia="Arial" w:hAnsi="Arial"/>
          <w:b w:val="false"/>
          <w:bCs w:val="false"/>
          <w:i w:val="false"/>
          <w:iCs w:val="false"/>
          <w:color w:val="2C2C2C"/>
          <w:sz w:val="20"/>
          <w:szCs w:val="20"/>
        </w:rPr>
        <w:t xml:space="preserve">For purposes of this DPA, in addition to the definitions in the Agreement:</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"Controller" means the entity that determines the purposes and means of the processing of Personal Data.</w:t>
      </w:r>
    </w:p>
    <w:p>
      <w:pPr>
        <w:spacing w:before="80" w:after="80" w:line="280"/>
        <w:jc w:val="both"/>
      </w:pPr>
      <w:r>
        <w:rPr>
          <w:rFonts w:ascii="Arial" w:cs="Arial" w:eastAsia="Arial" w:hAnsi="Arial"/>
          <w:b w:val="false"/>
          <w:bCs w:val="false"/>
          <w:i w:val="false"/>
          <w:iCs w:val="false"/>
          <w:color w:val="2C2C2C"/>
          <w:sz w:val="20"/>
          <w:szCs w:val="20"/>
        </w:rPr>
        <w:t xml:space="preserve">"Processor" means the entity that processes Personal Data on behalf of the Controller.</w:t>
      </w:r>
    </w:p>
    <w:p>
      <w:pPr>
        <w:spacing w:before="80" w:after="80" w:line="280"/>
        <w:jc w:val="both"/>
      </w:pPr>
      <w:r>
        <w:rPr>
          <w:rFonts w:ascii="Arial" w:cs="Arial" w:eastAsia="Arial" w:hAnsi="Arial"/>
          <w:b w:val="false"/>
          <w:bCs w:val="false"/>
          <w:i w:val="false"/>
          <w:iCs w:val="false"/>
          <w:color w:val="2C2C2C"/>
          <w:sz w:val="20"/>
          <w:szCs w:val="20"/>
        </w:rPr>
        <w:t xml:space="preserve">"Data Subject" means the identified or identifiable natural person to whom the Personal Data relates.</w:t>
      </w:r>
    </w:p>
    <w:p>
      <w:pPr>
        <w:spacing w:before="80" w:after="80" w:line="280"/>
        <w:jc w:val="both"/>
      </w:pPr>
      <w:r>
        <w:rPr>
          <w:rFonts w:ascii="Arial" w:cs="Arial" w:eastAsia="Arial" w:hAnsi="Arial"/>
          <w:b w:val="false"/>
          <w:bCs w:val="false"/>
          <w:i w:val="false"/>
          <w:iCs w:val="false"/>
          <w:color w:val="2C2C2C"/>
          <w:sz w:val="20"/>
          <w:szCs w:val="20"/>
        </w:rPr>
        <w:t xml:space="preserve">"Processing" means any operation or set of operations performed on Personal Data.</w:t>
      </w:r>
    </w:p>
    <w:p>
      <w:pPr>
        <w:spacing w:before="80" w:after="80" w:line="280"/>
        <w:jc w:val="both"/>
      </w:pPr>
      <w:r>
        <w:rPr>
          <w:rFonts w:ascii="Arial" w:cs="Arial" w:eastAsia="Arial" w:hAnsi="Arial"/>
          <w:b w:val="false"/>
          <w:bCs w:val="false"/>
          <w:i w:val="false"/>
          <w:iCs w:val="false"/>
          <w:color w:val="2C2C2C"/>
          <w:sz w:val="20"/>
          <w:szCs w:val="20"/>
        </w:rPr>
        <w:t xml:space="preserve">"Sub-processor" means any third party engaged by PROVIDER to process Personal Data under this DPA.</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D.2 Categories of Personal Data</w:t>
      </w:r>
    </w:p>
    <w:p>
      <w:pPr>
        <w:spacing w:before="80" w:after="80" w:line="280"/>
        <w:jc w:val="both"/>
      </w:pPr>
      <w:r>
        <w:rPr>
          <w:rFonts w:ascii="Arial" w:cs="Arial" w:eastAsia="Arial" w:hAnsi="Arial"/>
          <w:b w:val="false"/>
          <w:bCs w:val="false"/>
          <w:i w:val="false"/>
          <w:iCs w:val="false"/>
          <w:color w:val="2C2C2C"/>
          <w:sz w:val="20"/>
          <w:szCs w:val="20"/>
        </w:rPr>
        <w:t xml:space="preserve">PROVIDER may process the following categories of Personal Data under this DPA:</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3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Data Types</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Data Subjects</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Employee Data</w:t>
            </w:r>
          </w:p>
        </w:tc>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Name, contact details, employment records, payroll data, performance data, biometric data (where applicable)</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CLIENT's employees worldwide</w:t>
            </w:r>
          </w:p>
        </w:tc>
        <w:tc>
          <w:tcPr>
            <w:tcW w:type="dxa" w:w="23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HR management, payroll, workforce analytics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Customer Data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Name, contact details, purchase history, account information, communication history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CLIENT's customers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CRM, customer service, analytics</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Business Contact Data</w:t>
            </w:r>
          </w:p>
        </w:tc>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Name, business contact information, communication preferences</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Business partners and contacts</w:t>
            </w:r>
          </w:p>
        </w:tc>
        <w:tc>
          <w:tcPr>
            <w:tcW w:type="dxa" w:w="23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B2B communication, contract management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Financial Data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Transaction records, payment information, financial account details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Employees, customers, vendors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Financial operations, reporting</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Operational Data</w:t>
            </w:r>
          </w:p>
        </w:tc>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System usage logs, access records, operational metrics</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Authorized Users</w:t>
            </w:r>
          </w:p>
        </w:tc>
        <w:tc>
          <w:tcPr>
            <w:tcW w:type="dxa" w:w="23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Platform operation, security, compliance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Sensitive Categories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Health data (limited), religious beliefs (limited), criminal records (background checks)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Employees (limited circumstances)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Compliance, background screening</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D.3 Security Measures for Personal Data</w:t>
      </w:r>
    </w:p>
    <w:p>
      <w:pPr>
        <w:spacing w:before="80" w:after="80" w:line="280"/>
        <w:jc w:val="both"/>
      </w:pPr>
      <w:r>
        <w:rPr>
          <w:rFonts w:ascii="Arial" w:cs="Arial" w:eastAsia="Arial" w:hAnsi="Arial"/>
          <w:b w:val="false"/>
          <w:bCs w:val="false"/>
          <w:i w:val="false"/>
          <w:iCs w:val="false"/>
          <w:color w:val="2C2C2C"/>
          <w:sz w:val="20"/>
          <w:szCs w:val="20"/>
        </w:rPr>
        <w:t xml:space="preserve">In addition to the security requirements in Article 9 of the Agreement, PROVIDER shall implement the following specific measures for the protection of Personal Data:</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Pseudonymization and encryption of Personal Data at rest and in transit;</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Ongoing confidentiality, integrity, availability, and resilience of processing systems;</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Ability to restore availability and access to Personal Data in a timely manner in the event of a physical or technical incident;</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Regular testing, assessing, and evaluating of the effectiveness of technical and organizational measures.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D.4 Approved Sub-processors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00"/>
        <w:gridCol w:w="31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Sub-processor</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Country</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Processing Activity</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Safeguards</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Amazon Web Services (AWS)</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USA / EU</w:t>
            </w:r>
          </w:p>
        </w:tc>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Cloud infrastructure hosting, data storage</w:t>
            </w:r>
          </w:p>
        </w:tc>
        <w:tc>
          <w:tcPr>
            <w:tcW w:type="dxa" w:w="3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AWS DPA, SCCs, ISO 27001, SOC 2</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Microsoft Azure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USA / EU</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Secondary cloud infrastructure</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Microsoft DPA, SCCs, ISO 27001, SOC 2</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Okta, Inc.</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USA</w:t>
            </w:r>
          </w:p>
        </w:tc>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Identity and access management</w:t>
            </w:r>
          </w:p>
        </w:tc>
        <w:tc>
          <w:tcPr>
            <w:tcW w:type="dxa" w:w="3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Okta DPA, SCCs, SOC 2 Type II</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Datadog, Inc.</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USA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Application monitoring and logging</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Datadog DPA, SCCs, SOC 2 Type II</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Twilio Inc.</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USA</w:t>
            </w:r>
          </w:p>
        </w:tc>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SMS and email communications</w:t>
            </w:r>
          </w:p>
        </w:tc>
        <w:tc>
          <w:tcPr>
            <w:tcW w:type="dxa" w:w="3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Twilio DPA, SCCs, ISO 27001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Stripe, Inc.</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USA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Payment processing (if applicable)</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Stripe DPA, PCI DSS Level 1, SOC 2</w:t>
            </w:r>
          </w:p>
        </w:tc>
      </w:tr>
    </w:tbl>
    <w:p>
      <w:r>
        <w:br w:type="page"/>
      </w:r>
    </w:p>
    <w:p>
      <w:pPr>
        <w:pStyle w:val="Heading1"/>
        <w:spacing w:before="400" w:after="200"/>
      </w:pPr>
      <w:r>
        <w:rPr>
          <w:rFonts w:ascii="Arial" w:cs="Arial" w:eastAsia="Arial" w:hAnsi="Arial"/>
          <w:b/>
          <w:bCs/>
          <w:color w:val="1F3864"/>
          <w:sz w:val="32"/>
          <w:szCs w:val="32"/>
        </w:rPr>
        <w:t xml:space="preserve">SCHEDULE E: SECURITY STANDARDS AND REQUIREMENTS</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E.1 Security Certification Requirements</w:t>
      </w:r>
    </w:p>
    <w:p>
      <w:pPr>
        <w:spacing w:before="80" w:after="80" w:line="280"/>
        <w:jc w:val="both"/>
      </w:pPr>
      <w:r>
        <w:rPr>
          <w:rFonts w:ascii="Arial" w:cs="Arial" w:eastAsia="Arial" w:hAnsi="Arial"/>
          <w:b w:val="false"/>
          <w:bCs w:val="false"/>
          <w:i w:val="false"/>
          <w:iCs w:val="false"/>
          <w:color w:val="2C2C2C"/>
          <w:sz w:val="20"/>
          <w:szCs w:val="20"/>
        </w:rPr>
        <w:t xml:space="preserve">PROVIDER shall maintain the following security certifications throughout the Term and shall provide CLIENT with copies of all current certificates and audit reports upon request and annually: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Certification/Standard</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Audit Frequency</w:t>
            </w:r>
          </w:p>
        </w:tc>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Report Delivery to CLIENT</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ISO/IEC 27001:2022</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Full ISMS covering all Services</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Annual surveillance, triennial recertification</w:t>
            </w:r>
          </w:p>
        </w:tc>
        <w:tc>
          <w:tcPr>
            <w:tcW w:type="dxa" w:w="27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Within 30 days of issuance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SOC 2 Type II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Security, Availability, Confidentiality, Processing Integrity, Privacy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Annual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Within 30 days of issuance</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ISO/IEC 27017:2015</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Cloud security controls</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Annual</w:t>
            </w:r>
          </w:p>
        </w:tc>
        <w:tc>
          <w:tcPr>
            <w:tcW w:type="dxa" w:w="27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Within 30 days of issuance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ISO/IEC 27018:2019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Protection of PII in cloud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Annual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Within 30 days of issuance</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PCI DSS Level 1</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Payment card data environments</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Annual QSA assessment</w:t>
            </w:r>
          </w:p>
        </w:tc>
        <w:tc>
          <w:tcPr>
            <w:tcW w:type="dxa" w:w="27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Report on Compliance within 30 days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ISO 22301:2019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Business continuity management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Annual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Within 30 days of issuance</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CSA STAR Level 2</w:t>
            </w:r>
          </w:p>
        </w:tc>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Cloud security assurance</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Annual</w:t>
            </w:r>
          </w:p>
        </w:tc>
        <w:tc>
          <w:tcPr>
            <w:tcW w:type="dxa" w:w="27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Within 30 days of issuance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NIST CSF 2.0 Alignment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Cybersecurity framework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Annual self-assessment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Assessment report within 60 days</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E.2 Penetration Testing Requirements</w:t>
      </w:r>
    </w:p>
    <w:p>
      <w:pPr>
        <w:spacing w:before="80" w:after="80" w:line="280"/>
        <w:jc w:val="both"/>
      </w:pPr>
      <w:r>
        <w:rPr>
          <w:rFonts w:ascii="Arial" w:cs="Arial" w:eastAsia="Arial" w:hAnsi="Arial"/>
          <w:b w:val="false"/>
          <w:bCs w:val="false"/>
          <w:i w:val="false"/>
          <w:iCs w:val="false"/>
          <w:color w:val="2C2C2C"/>
          <w:sz w:val="20"/>
          <w:szCs w:val="20"/>
        </w:rPr>
        <w:t xml:space="preserve">PROVIDER shall conduct penetration testing in accordance with the following schedule and requirements: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800"/>
        <w:gridCol w:w="256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Test Type</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Third-Party Required</w:t>
            </w:r>
          </w:p>
        </w:tc>
      </w:tr>
      <w:tr>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External Network Penetration Test</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Annual</w:t>
            </w:r>
          </w:p>
        </w:tc>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All internet-facing systems</w:t>
            </w:r>
          </w:p>
        </w:tc>
        <w:tc>
          <w:tcPr>
            <w:tcW w:type="dxa" w:w="2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Yes – CLIENT-approved firm</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Internal Network Penetration Test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Annual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Internal infrastructure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Yes – CLIENT-approved firm</w:t>
            </w:r>
          </w:p>
        </w:tc>
      </w:tr>
      <w:tr>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Web Application Penetration Test</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Annual + after major releases</w:t>
            </w:r>
          </w:p>
        </w:tc>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All web applications</w:t>
            </w:r>
          </w:p>
        </w:tc>
        <w:tc>
          <w:tcPr>
            <w:tcW w:type="dxa" w:w="2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Yes – CLIENT-approved firm</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API Security Assessment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Bi-annual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All published APIs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Yes – CLIENT-approved firm</w:t>
            </w:r>
          </w:p>
        </w:tc>
      </w:tr>
      <w:tr>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Mobile Application Assessment</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Annual + after major releases</w:t>
            </w:r>
          </w:p>
        </w:tc>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iOS and Android applications</w:t>
            </w:r>
          </w:p>
        </w:tc>
        <w:tc>
          <w:tcPr>
            <w:tcW w:type="dxa" w:w="2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Yes – CLIENT-approved firm</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Red Team Exercise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Biennial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Full attack simulation</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Yes – specialized firm</w:t>
            </w:r>
          </w:p>
        </w:tc>
      </w:tr>
      <w:tr>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Social Engineering Assessment</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Annual</w:t>
            </w:r>
          </w:p>
        </w:tc>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PROVIDER personnel</w:t>
            </w:r>
          </w:p>
        </w:tc>
        <w:tc>
          <w:tcPr>
            <w:tcW w:type="dxa" w:w="2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Yes – CLIENT-approved firm</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Cloud Configuration Review</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Quarterly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AWS and Azure environments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Automated tooling + annual manual</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E.3 Incident Response Requirements</w:t>
      </w:r>
    </w:p>
    <w:p>
      <w:pPr>
        <w:spacing w:before="80" w:after="80" w:line="280"/>
        <w:jc w:val="both"/>
      </w:pPr>
      <w:r>
        <w:rPr>
          <w:rFonts w:ascii="Arial" w:cs="Arial" w:eastAsia="Arial" w:hAnsi="Arial"/>
          <w:b w:val="false"/>
          <w:bCs w:val="false"/>
          <w:i w:val="false"/>
          <w:iCs w:val="false"/>
          <w:color w:val="2C2C2C"/>
          <w:sz w:val="20"/>
          <w:szCs w:val="20"/>
        </w:rPr>
        <w:t xml:space="preserve">PROVIDER's Incident Response Plan shall include, at minimum, the following phases and requirements:</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(a) PREPARATION: Designated Security Incident Response Team (SIRT) with defined roles; 24/7 on-call coverage; pre-approved playbooks for common incident types; CLIENT emergency contact list maintained and tested monthly.</w:t>
      </w:r>
    </w:p>
    <w:p>
      <w:pPr>
        <w:spacing w:before="80" w:after="80" w:line="280"/>
        <w:jc w:val="both"/>
      </w:pPr>
      <w:r>
        <w:rPr>
          <w:rFonts w:ascii="Arial" w:cs="Arial" w:eastAsia="Arial" w:hAnsi="Arial"/>
          <w:b w:val="false"/>
          <w:bCs w:val="false"/>
          <w:i w:val="false"/>
          <w:iCs w:val="false"/>
          <w:color w:val="2C2C2C"/>
          <w:sz w:val="20"/>
          <w:szCs w:val="20"/>
        </w:rPr>
        <w:t xml:space="preserve">(b) DETECTION: Real-time automated alerting for all Critical and High severity events; SIEM correlation rules tuned for CLIENT's environment; threat intelligence integration with major threat feeds; user behavior analytics enabled.</w:t>
      </w:r>
    </w:p>
    <w:p>
      <w:pPr>
        <w:spacing w:before="80" w:after="80" w:line="280"/>
        <w:jc w:val="both"/>
      </w:pPr>
      <w:r>
        <w:rPr>
          <w:rFonts w:ascii="Arial" w:cs="Arial" w:eastAsia="Arial" w:hAnsi="Arial"/>
          <w:b w:val="false"/>
          <w:bCs w:val="false"/>
          <w:i w:val="false"/>
          <w:iCs w:val="false"/>
          <w:color w:val="2C2C2C"/>
          <w:sz w:val="20"/>
          <w:szCs w:val="20"/>
        </w:rPr>
        <w:t xml:space="preserve">(c) CONTAINMENT: Automated containment playbooks for ransomware, data exfiltration, and DDoS; network segmentation capabilities to isolate affected systems within fifteen (15) minutes; forensic evidence preservation procedures.</w:t>
      </w:r>
    </w:p>
    <w:p>
      <w:pPr>
        <w:spacing w:before="80" w:after="80" w:line="280"/>
        <w:jc w:val="both"/>
      </w:pPr>
      <w:r>
        <w:rPr>
          <w:rFonts w:ascii="Arial" w:cs="Arial" w:eastAsia="Arial" w:hAnsi="Arial"/>
          <w:b w:val="false"/>
          <w:bCs w:val="false"/>
          <w:i w:val="false"/>
          <w:iCs w:val="false"/>
          <w:color w:val="2C2C2C"/>
          <w:sz w:val="20"/>
          <w:szCs w:val="20"/>
        </w:rPr>
        <w:t xml:space="preserve">(d) ERADICATION: Root cause analysis for all Critical and High severity incidents; vulnerability remediation with verification testing; threat hunting following significant incidents.</w:t>
      </w:r>
    </w:p>
    <w:p>
      <w:pPr>
        <w:spacing w:before="80" w:after="80" w:line="280"/>
        <w:jc w:val="both"/>
      </w:pPr>
      <w:r>
        <w:rPr>
          <w:rFonts w:ascii="Arial" w:cs="Arial" w:eastAsia="Arial" w:hAnsi="Arial"/>
          <w:b w:val="false"/>
          <w:bCs w:val="false"/>
          <w:i w:val="false"/>
          <w:iCs w:val="false"/>
          <w:color w:val="2C2C2C"/>
          <w:sz w:val="20"/>
          <w:szCs w:val="20"/>
        </w:rPr>
        <w:t xml:space="preserve">(e) RECOVERY: Documented restore procedures for all critical systems; tested backup restoration capability; post-incident monitoring period of at least thirty (30) days.</w:t>
      </w:r>
    </w:p>
    <w:p>
      <w:pPr>
        <w:spacing w:before="80" w:after="80" w:line="280"/>
        <w:jc w:val="both"/>
      </w:pPr>
      <w:r>
        <w:rPr>
          <w:rFonts w:ascii="Arial" w:cs="Arial" w:eastAsia="Arial" w:hAnsi="Arial"/>
          <w:b w:val="false"/>
          <w:bCs w:val="false"/>
          <w:i w:val="false"/>
          <w:iCs w:val="false"/>
          <w:color w:val="2C2C2C"/>
          <w:sz w:val="20"/>
          <w:szCs w:val="20"/>
        </w:rPr>
        <w:t xml:space="preserve">(f) LESSONS LEARNED: Post-incident review within ten (10) days for Critical incidents, thirty (30) days for High; written report delivered to CLIENT; documented improvements implemented within agreed timelines.</w:t>
      </w:r>
    </w:p>
    <w:p>
      <w:r>
        <w:br w:type="page"/>
      </w:r>
    </w:p>
    <w:p>
      <w:pPr>
        <w:pStyle w:val="Heading1"/>
        <w:spacing w:before="400" w:after="200"/>
      </w:pPr>
      <w:r>
        <w:rPr>
          <w:rFonts w:ascii="Arial" w:cs="Arial" w:eastAsia="Arial" w:hAnsi="Arial"/>
          <w:b/>
          <w:bCs/>
          <w:color w:val="1F3864"/>
          <w:sz w:val="32"/>
          <w:szCs w:val="32"/>
        </w:rPr>
        <w:t xml:space="preserve">SCHEDULE F: KEY PERSONNEL</w:t>
      </w:r>
    </w:p>
    <w:p>
      <w:pPr>
        <w:pBdr>
          <w:bottom w:val="single" w:color="1F3864" w:sz="6" w:space="4"/>
        </w:pBdr>
        <w:spacing w:before="200" w:after="20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The following individuals are designated as Key Personnel under the Agreement. Key Personnel may not be removed from or replaced in their roles without CLIENT's prior written consent, which shall not be unreasonably withheld, except in cases of resignation, termination for cause, or extended illness.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F.1 PROVIDER Key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19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c>
          <w:tcPr>
            <w:tcW w:type="dxa" w:w="1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Experience</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Dr. Priya Chandrasekaran</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Executive Sponsor</w:t>
            </w:r>
          </w:p>
        </w:tc>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Senior executive accountability, escalation point, strategic direction</w:t>
            </w:r>
          </w:p>
        </w:tc>
        <w:tc>
          <w:tcPr>
            <w:tcW w:type="dxa" w:w="1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25 years enterprise technology, 15 enterprise deployments &gt;$20M</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James O. Blackwood, PMP</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Program Director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Overall program governance, P&amp;L accountability, executive reporting</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18 years program management, PMP, PRINCE2</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Dr. Ananya Krishnaswamy</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Chief Architect</w:t>
            </w:r>
          </w:p>
        </w:tc>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Technical architecture decisions, platform design authority, integration strategy</w:t>
            </w:r>
          </w:p>
        </w:tc>
        <w:tc>
          <w:tcPr>
            <w:tcW w:type="dxa" w:w="1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20 years enterprise architecture, AWS/Azure certified architect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Robert T. Fitzgerald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Security Director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Security design, compliance oversight, incident response lead, CISO liaison</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CISSP, CISM, 15 years enterprise security</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Sofia M. Hernandez-Rivera</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Implementation Director</w:t>
            </w:r>
          </w:p>
        </w:tc>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Day-to-day delivery management, resource coordination, quality assurance</w:t>
            </w:r>
          </w:p>
        </w:tc>
        <w:tc>
          <w:tcPr>
            <w:tcW w:type="dxa" w:w="1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15 years implementation, SAP and Oracle certified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Dr. Wei-Lin Zhang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AI/Analytics Lead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AI platform implementation, ML model development, analytics strategy</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PhD Computer Science, 12 years enterprise AI</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Marcus J. Wellington IV</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Data Migration Lead</w:t>
            </w:r>
          </w:p>
        </w:tc>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Data strategy, migration architecture, data quality, reconciliation</w:t>
            </w:r>
          </w:p>
        </w:tc>
        <w:tc>
          <w:tcPr>
            <w:tcW w:type="dxa" w:w="1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12 years enterprise data management, CDMP certified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Fatima Al-Rashid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Change Management Lead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Organizational readiness, training strategy, user adoption, communications</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PROSCI certified, 10 years OCM</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F.2 CLIENT Key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Alexandra M. Harrington</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Executive Sponsor</w:t>
            </w:r>
          </w:p>
        </w:tc>
        <w:tc>
          <w:tcPr>
            <w:tcW w:type="dxa" w:w="5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Board-level accountability, strategic direction, key decisions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David C. Park</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Program Sponsor</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Business ownership, budget authority, executive communications</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Dr. Sarah K. Thompson</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Program Director</w:t>
            </w:r>
          </w:p>
        </w:tc>
        <w:tc>
          <w:tcPr>
            <w:tcW w:type="dxa" w:w="5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Overall program management, governance, risk, vendor management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Michael A. Rodriguez</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Technical Lead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Technical direction, architecture review, integration oversight</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Jennifer L. Nguyen</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Data Lead</w:t>
            </w:r>
          </w:p>
        </w:tc>
        <w:tc>
          <w:tcPr>
            <w:tcW w:type="dxa" w:w="5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Data governance, migration oversight, data quality, master data</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Kevin P. Okafor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Security Lead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Security requirements, compliance, audit coordination</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Dr. Lisa A. Patel</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Change Management Lead</w:t>
            </w:r>
          </w:p>
        </w:tc>
        <w:tc>
          <w:tcPr>
            <w:tcW w:type="dxa" w:w="5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User adoption, training oversight, communications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Thomas B. Hargreaves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Finance Lead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Budget management, invoice approval, contract compliance</w:t>
            </w:r>
          </w:p>
        </w:tc>
      </w:tr>
    </w:tbl>
    <w:p>
      <w:r>
        <w:br w:type="page"/>
      </w:r>
    </w:p>
    <w:p>
      <w:pPr>
        <w:pStyle w:val="Heading1"/>
        <w:spacing w:before="400" w:after="200"/>
      </w:pPr>
      <w:r>
        <w:rPr>
          <w:rFonts w:ascii="Arial" w:cs="Arial" w:eastAsia="Arial" w:hAnsi="Arial"/>
          <w:b/>
          <w:bCs/>
          <w:color w:val="1F3864"/>
          <w:sz w:val="32"/>
          <w:szCs w:val="32"/>
        </w:rPr>
        <w:t xml:space="preserve">SCHEDULE G: APPROVED SUBCONTRACTORS</w:t>
      </w:r>
    </w:p>
    <w:p>
      <w:pPr>
        <w:pBdr>
          <w:bottom w:val="single" w:color="1F3864" w:sz="6" w:space="4"/>
        </w:pBdr>
        <w:spacing w:before="200" w:after="20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The following subcontractors are pre-approved by CLIENT for engagement by PROVIDER in connection with the Services. PROVIDER must obtain CLIENT's prior written approval before engaging any subcontractor not listed in this Schedule 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500"/>
        <w:gridCol w:w="1500"/>
        <w:gridCol w:w="23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Subcontractor</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Country</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Services</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Data Access</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Approval Conditions</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GlobalStaff Solutions Ltd.</w:t>
            </w:r>
          </w:p>
        </w:tc>
        <w:tc>
          <w:tcPr>
            <w:tcW w:type="dxa" w:w="1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India</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Software development, QA testing, data engineering</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Yes – limited to assigned workstreams</w:t>
            </w:r>
          </w:p>
        </w:tc>
        <w:tc>
          <w:tcPr>
            <w:tcW w:type="dxa" w:w="23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Security clearance required; data access audit quarterly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SecureOps International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Israel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Security operations, penetration testing, threat intelligence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Yes – security monitoring only</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SOC 2 Type II required; personnel background checks</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CloudEdge Partners LLC</w:t>
            </w:r>
          </w:p>
        </w:tc>
        <w:tc>
          <w:tcPr>
            <w:tcW w:type="dxa" w:w="1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USA</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Cloud architecture, DevOps, infrastructure</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Yes – infrastructure layer only</w:t>
            </w:r>
          </w:p>
        </w:tc>
        <w:tc>
          <w:tcPr>
            <w:tcW w:type="dxa" w:w="23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AWS/Azure certified staff; access logged and reviewed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DataBridge Analytics GmbH</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Germany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 migration, ETL development, data quality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Yes – data migration only</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GDPR compliant; EU-based for EU data; ISO 27001 certified</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TechTrain Global</w:t>
            </w:r>
          </w:p>
        </w:tc>
        <w:tc>
          <w:tcPr>
            <w:tcW w:type="dxa" w:w="1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UK</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Training delivery, eLearning development</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No – training materials only</w:t>
            </w:r>
          </w:p>
        </w:tc>
        <w:tc>
          <w:tcPr>
            <w:tcW w:type="dxa" w:w="23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Confidentiality agreement required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NetSecure Consulting</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Canada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Network security, firewall management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Yes – network layer only</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CISSP-certified staff; monthly access review</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Integrify Systems Pvt. Ltd.</w:t>
            </w:r>
          </w:p>
        </w:tc>
        <w:tc>
          <w:tcPr>
            <w:tcW w:type="dxa" w:w="1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India</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Integration development, API development, middleware</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Yes – integration systems only</w:t>
            </w:r>
          </w:p>
        </w:tc>
        <w:tc>
          <w:tcPr>
            <w:tcW w:type="dxa" w:w="23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Quarterly security assessment; data masking required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CoreTest Technologies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Australia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Performance testing, load testing, test automation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Yes – test environments only</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Non-production environments only; data anonymization required</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G.1 Subcontractor Management Requirements</w:t>
      </w:r>
    </w:p>
    <w:p>
      <w:pPr>
        <w:spacing w:before="80" w:after="80" w:line="280"/>
        <w:jc w:val="both"/>
      </w:pPr>
      <w:r>
        <w:rPr>
          <w:rFonts w:ascii="Arial" w:cs="Arial" w:eastAsia="Arial" w:hAnsi="Arial"/>
          <w:b w:val="false"/>
          <w:bCs w:val="false"/>
          <w:i w:val="false"/>
          <w:iCs w:val="false"/>
          <w:color w:val="2C2C2C"/>
          <w:sz w:val="20"/>
          <w:szCs w:val="20"/>
        </w:rPr>
        <w:t xml:space="preserve">PROVIDER shall maintain the following controls over all approved subcontractors:</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Execute written agreements imposing confidentiality, data protection, security, and IP obligations at least equivalent to those in the Agreement;</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Conduct initial security assessments before granting any subcontractor access to CLIENT's data or systems;</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Perform quarterly reviews of subcontractor performance, security posture, and compliance;</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Ensure all subcontractor personnel complete CLIENT's mandatory security awareness training before commencing work;</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Maintain audit logs of all subcontractor access and make such logs available to CLIENT upon request;</w:t>
      </w:r>
    </w:p>
    <w:p>
      <w:pPr>
        <w:spacing w:before="60" w:after="60" w:line="260"/>
        <w:ind w:left="720" w:hanging="360"/>
      </w:pPr>
      <w:r>
        <w:rPr>
          <w:rFonts w:ascii="Arial" w:cs="Arial" w:eastAsia="Arial" w:hAnsi="Arial"/>
          <w:b/>
          <w:bCs/>
          <w:color w:val="1F3864"/>
          <w:sz w:val="20"/>
          <w:szCs w:val="20"/>
        </w:rPr>
        <w:t xml:space="preserve">6. </w:t>
      </w:r>
      <w:r>
        <w:rPr>
          <w:rFonts w:ascii="Arial" w:cs="Arial" w:eastAsia="Arial" w:hAnsi="Arial"/>
          <w:color w:val="2C2C2C"/>
          <w:sz w:val="20"/>
          <w:szCs w:val="20"/>
        </w:rPr>
        <w:t xml:space="preserve">Immediately revoke subcontractor access upon termination of the subcontract or upon CLIENT's reasonable request.</w:t>
      </w:r>
    </w:p>
    <w:p>
      <w:r>
        <w:br w:type="page"/>
      </w:r>
    </w:p>
    <w:p>
      <w:pPr>
        <w:pStyle w:val="Heading1"/>
        <w:spacing w:before="400" w:after="200"/>
      </w:pPr>
      <w:r>
        <w:rPr>
          <w:rFonts w:ascii="Arial" w:cs="Arial" w:eastAsia="Arial" w:hAnsi="Arial"/>
          <w:b/>
          <w:bCs/>
          <w:color w:val="1F3864"/>
          <w:sz w:val="32"/>
          <w:szCs w:val="32"/>
        </w:rPr>
        <w:t xml:space="preserve">SCHEDULE H: CHANGE ORDER TEMPLATE</w:t>
      </w:r>
    </w:p>
    <w:p>
      <w:pPr>
        <w:pBdr>
          <w:bottom w:val="single" w:color="1F3864" w:sz="6" w:space="4"/>
        </w:pBdr>
        <w:spacing w:before="200" w:after="20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This template shall be used for all Change Orders under the Agreement. All fields must be completed prior to submission for approval.</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Change Order Number: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2C2C2C"/>
                <w:sz w:val="20"/>
                <w:szCs w:val="20"/>
              </w:rPr>
              <w:t xml:space="preserve">CO-[YYYY]-[NNNN]</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Agreement Reference: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2C2C2C"/>
                <w:sz w:val="20"/>
                <w:szCs w:val="20"/>
              </w:rPr>
              <w:t xml:space="preserve">MESA-2024-TPC-00847-ENT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SOW Reference: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2C2C2C"/>
                <w:sz w:val="20"/>
                <w:szCs w:val="20"/>
              </w:rPr>
              <w:t xml:space="preserve">[If applicable]</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Date of Request: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2C2C2C"/>
                <w:sz w:val="20"/>
                <w:szCs w:val="20"/>
              </w:rPr>
              <w:t xml:space="preserve">[Date]</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Requested By: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2C2C2C"/>
                <w:sz w:val="20"/>
                <w:szCs w:val="20"/>
              </w:rPr>
              <w:t xml:space="preserve">[Name, Title, Party]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Change Category: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2C2C2C"/>
                <w:sz w:val="20"/>
                <w:szCs w:val="20"/>
              </w:rPr>
              <w:t xml:space="preserve">☐ Scope  ☐ Timeline  ☐ Resources  ☐ Fee  ☐ Technical  ☐ Other</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Change Priority: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2C2C2C"/>
                <w:sz w:val="20"/>
                <w:szCs w:val="20"/>
              </w:rPr>
              <w:t xml:space="preserve">☐ Critical  ☐ High  ☐ Medium  ☐ Low</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Change Status: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2C2C2C"/>
                <w:sz w:val="20"/>
                <w:szCs w:val="20"/>
              </w:rPr>
              <w:t xml:space="preserve">☐ Draft  ☐ Under Review  ☐ Approved  ☐ Rejected  ☐ Withdrawn</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H.1 Change Description</w:t>
      </w:r>
    </w:p>
    <w:p>
      <w:pPr>
        <w:spacing w:before="80" w:after="80" w:line="280"/>
        <w:jc w:val="both"/>
      </w:pPr>
      <w:r>
        <w:rPr>
          <w:rFonts w:ascii="Arial" w:cs="Arial" w:eastAsia="Arial" w:hAnsi="Arial"/>
          <w:b w:val="false"/>
          <w:bCs w:val="false"/>
          <w:i w:val="false"/>
          <w:iCs w:val="false"/>
          <w:color w:val="2C2C2C"/>
          <w:sz w:val="20"/>
          <w:szCs w:val="20"/>
        </w:rPr>
        <w:t xml:space="preserve">Provide a clear and detailed description of the proposed change, including the specific aspects of the Agreement or SOW being modified:</w:t>
      </w:r>
    </w:p>
    <w:p>
      <w:pPr>
        <w:spacing w:before="100" w:after="0"/>
      </w:pPr>
      <w:r>
        <w:t xml:space="preserve"/>
      </w:r>
    </w:p>
    <w:p>
      <w:pPr>
        <w:pBdr>
          <w:top w:val="single" w:color="AAAAAA" w:sz="1"/>
          <w:bottom w:val="single" w:color="AAAAAA" w:sz="1"/>
          <w:left w:val="single" w:color="AAAAAA" w:sz="1"/>
          <w:right w:val="single" w:color="AAAAAA" w:sz="1"/>
        </w:pBdr>
        <w:spacing w:before="480" w:after="60"/>
      </w:pPr>
      <w:r>
        <w:t xml:space="preserve"/>
      </w:r>
    </w:p>
    <w:p>
      <w:pPr>
        <w:spacing w:before="200" w:after="0"/>
      </w:pPr>
      <w:r>
        <w:t xml:space="preserve"/>
      </w:r>
    </w:p>
    <w:p>
      <w:pPr>
        <w:pStyle w:val="Heading2"/>
        <w:spacing w:before="300" w:after="150"/>
      </w:pPr>
      <w:r>
        <w:rPr>
          <w:rFonts w:ascii="Arial" w:cs="Arial" w:eastAsia="Arial" w:hAnsi="Arial"/>
          <w:b/>
          <w:bCs/>
          <w:color w:val="1A5276"/>
          <w:sz w:val="26"/>
          <w:szCs w:val="26"/>
        </w:rPr>
        <w:t xml:space="preserve">H.2 Business Justification</w:t>
      </w:r>
    </w:p>
    <w:p>
      <w:pPr>
        <w:spacing w:before="80" w:after="80" w:line="280"/>
        <w:jc w:val="both"/>
      </w:pPr>
      <w:r>
        <w:rPr>
          <w:rFonts w:ascii="Arial" w:cs="Arial" w:eastAsia="Arial" w:hAnsi="Arial"/>
          <w:b w:val="false"/>
          <w:bCs w:val="false"/>
          <w:i w:val="false"/>
          <w:iCs w:val="false"/>
          <w:color w:val="2C2C2C"/>
          <w:sz w:val="20"/>
          <w:szCs w:val="20"/>
        </w:rPr>
        <w:t xml:space="preserve">Explain the business reason for the change and the consequences of not implementing the change:</w:t>
      </w:r>
    </w:p>
    <w:p>
      <w:pPr>
        <w:spacing w:before="100" w:after="0"/>
      </w:pPr>
      <w:r>
        <w:t xml:space="preserve"/>
      </w:r>
    </w:p>
    <w:p>
      <w:pPr>
        <w:pBdr>
          <w:top w:val="single" w:color="AAAAAA" w:sz="1"/>
          <w:bottom w:val="single" w:color="AAAAAA" w:sz="1"/>
          <w:left w:val="single" w:color="AAAAAA" w:sz="1"/>
          <w:right w:val="single" w:color="AAAAAA" w:sz="1"/>
        </w:pBdr>
        <w:spacing w:before="480" w:after="60"/>
      </w:pPr>
      <w:r>
        <w:t xml:space="preserve"/>
      </w:r>
    </w:p>
    <w:p>
      <w:pPr>
        <w:spacing w:before="200" w:after="0"/>
      </w:pPr>
      <w:r>
        <w:t xml:space="preserve"/>
      </w:r>
    </w:p>
    <w:p>
      <w:pPr>
        <w:pStyle w:val="Heading2"/>
        <w:spacing w:before="300" w:after="150"/>
      </w:pPr>
      <w:r>
        <w:rPr>
          <w:rFonts w:ascii="Arial" w:cs="Arial" w:eastAsia="Arial" w:hAnsi="Arial"/>
          <w:b/>
          <w:bCs/>
          <w:color w:val="1A5276"/>
          <w:sz w:val="26"/>
          <w:szCs w:val="26"/>
        </w:rPr>
        <w:t xml:space="preserve">H.3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Impact Area</w:t>
            </w:r>
          </w:p>
        </w:tc>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 of Impact</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Magnitude</w:t>
            </w:r>
          </w:p>
        </w:tc>
      </w:tr>
      <w:tr>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Scope</w:t>
            </w:r>
          </w:p>
        </w:tc>
        <w:tc>
          <w:tcPr>
            <w:tcW w:type="dxa" w:w="4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
            </w:r>
          </w:p>
        </w:tc>
        <w:tc>
          <w:tcPr>
            <w:tcW w:type="dxa" w:w="23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 None  ☐ Minor  ☐ Major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Timeline</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None  ☐ Minor  ☐ Major</w:t>
            </w:r>
          </w:p>
        </w:tc>
      </w:tr>
      <w:tr>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Cost</w:t>
            </w:r>
          </w:p>
        </w:tc>
        <w:tc>
          <w:tcPr>
            <w:tcW w:type="dxa" w:w="4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
            </w:r>
          </w:p>
        </w:tc>
        <w:tc>
          <w:tcPr>
            <w:tcW w:type="dxa" w:w="23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 None  ☐ Minor  ☐ Major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Risk</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None  ☐ Minor  ☐ Major</w:t>
            </w:r>
          </w:p>
        </w:tc>
      </w:tr>
      <w:tr>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Quality</w:t>
            </w:r>
          </w:p>
        </w:tc>
        <w:tc>
          <w:tcPr>
            <w:tcW w:type="dxa" w:w="4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
            </w:r>
          </w:p>
        </w:tc>
        <w:tc>
          <w:tcPr>
            <w:tcW w:type="dxa" w:w="23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 None  ☐ Minor  ☐ Major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Dependencies</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None  ☐ Minor  ☐ Major</w:t>
            </w:r>
          </w:p>
        </w:tc>
      </w:tr>
      <w:tr>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Security/Compliance</w:t>
            </w:r>
          </w:p>
        </w:tc>
        <w:tc>
          <w:tcPr>
            <w:tcW w:type="dxa" w:w="4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
            </w:r>
          </w:p>
        </w:tc>
        <w:tc>
          <w:tcPr>
            <w:tcW w:type="dxa" w:w="23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 None  ☐ Minor  ☐ Major</w:t>
            </w:r>
          </w:p>
        </w:tc>
      </w:tr>
    </w:tbl>
    <w:p>
      <w:r>
        <w:br w:type="page"/>
      </w:r>
    </w:p>
    <w:p>
      <w:pPr>
        <w:pStyle w:val="Heading1"/>
        <w:spacing w:before="400" w:after="200"/>
      </w:pPr>
      <w:r>
        <w:rPr>
          <w:rFonts w:ascii="Arial" w:cs="Arial" w:eastAsia="Arial" w:hAnsi="Arial"/>
          <w:b/>
          <w:bCs/>
          <w:color w:val="1F3864"/>
          <w:sz w:val="32"/>
          <w:szCs w:val="32"/>
        </w:rPr>
        <w:t xml:space="preserve">SCHEDULE I: BUSINESS CONTINUITY PLAN</w:t>
      </w:r>
    </w:p>
    <w:p>
      <w:pPr>
        <w:pBdr>
          <w:bottom w:val="single" w:color="1F3864" w:sz="6" w:space="4"/>
        </w:pBdr>
        <w:spacing w:before="200" w:after="20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This Schedule I sets forth the minimum requirements for PROVIDER's Business Continuity Plan (BCP) and Disaster Recovery Plan (DRP) in connection with the Services provided under the Agreement.</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I.1 Recovery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400"/>
        <w:gridCol w:w="1400"/>
        <w:gridCol w:w="13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Service Tier</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Services</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RTO Target</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RPO Target</w:t>
            </w:r>
          </w:p>
        </w:tc>
        <w:tc>
          <w:tcPr>
            <w:tcW w:type="dxa" w:w="1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Tier 1 – Mission Critical</w:t>
            </w:r>
          </w:p>
        </w:tc>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Core ERP Integration, Security Operations, Financial Operations</w:t>
            </w:r>
          </w:p>
        </w:tc>
        <w:tc>
          <w:tcPr>
            <w:tcW w:type="dxa" w:w="1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 hour</w:t>
            </w:r>
          </w:p>
        </w:tc>
        <w:tc>
          <w:tcPr>
            <w:tcW w:type="dxa" w:w="1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5 minutes</w:t>
            </w:r>
          </w:p>
        </w:tc>
        <w:tc>
          <w:tcPr>
            <w:tcW w:type="dxa" w:w="13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Priority 1</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Tier 2 – Critical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Analytics Engine, Customer Experience, HR Platform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 hours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15 minutes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Priority 2</w:t>
            </w:r>
          </w:p>
        </w:tc>
      </w:tr>
      <w:tr>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Tier 3 – Important</w:t>
            </w:r>
          </w:p>
        </w:tc>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Supply Chain, Document Intelligence, Developer Platform</w:t>
            </w:r>
          </w:p>
        </w:tc>
        <w:tc>
          <w:tcPr>
            <w:tcW w:type="dxa" w:w="1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4 hours</w:t>
            </w:r>
          </w:p>
        </w:tc>
        <w:tc>
          <w:tcPr>
            <w:tcW w:type="dxa" w:w="14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 hour</w:t>
            </w:r>
          </w:p>
        </w:tc>
        <w:tc>
          <w:tcPr>
            <w:tcW w:type="dxa" w:w="13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Priority 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Tier 4 – Standard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Mobile Workplace, non-production environments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8 hours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 hours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Priority 4</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I.2 BCP Testing Requirements</w:t>
      </w:r>
    </w:p>
    <w:p>
      <w:pPr>
        <w:spacing w:before="80" w:after="80" w:line="280"/>
        <w:jc w:val="both"/>
      </w:pPr>
      <w:r>
        <w:rPr>
          <w:rFonts w:ascii="Arial" w:cs="Arial" w:eastAsia="Arial" w:hAnsi="Arial"/>
          <w:b w:val="false"/>
          <w:bCs w:val="false"/>
          <w:i w:val="false"/>
          <w:iCs w:val="false"/>
          <w:color w:val="2C2C2C"/>
          <w:sz w:val="20"/>
          <w:szCs w:val="20"/>
        </w:rPr>
        <w:t xml:space="preserve">PROVIDER shall test its Business Continuity and Disaster Recovery capabilities in accordance with the following schedule: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Test Type</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2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Report Delivery</w:t>
            </w:r>
          </w:p>
        </w:tc>
      </w:tr>
      <w:tr>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Table-top Exercise</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Semi-annual</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All Tier 1 and Tier 2 services</w:t>
            </w:r>
          </w:p>
        </w:tc>
        <w:tc>
          <w:tcPr>
            <w:tcW w:type="dxa" w:w="28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Within 10 days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Functional Walkthrough Test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Annual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Tier 1 services only</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Within 15 days</w:t>
            </w:r>
          </w:p>
        </w:tc>
      </w:tr>
      <w:tr>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Partial Failover Test</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Annual</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Tier 1 and Tier 2 services</w:t>
            </w:r>
          </w:p>
        </w:tc>
        <w:tc>
          <w:tcPr>
            <w:tcW w:type="dxa" w:w="28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Within 15 days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Full Failover Test (DR)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Annual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All service tiers</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Within 20 days</w:t>
            </w:r>
          </w:p>
        </w:tc>
      </w:tr>
      <w:tr>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Backup Restoration Test</w:t>
            </w:r>
          </w:p>
        </w:tc>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Quarterly</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Representative sample of all backups</w:t>
            </w:r>
          </w:p>
        </w:tc>
        <w:tc>
          <w:tcPr>
            <w:tcW w:type="dxa" w:w="28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Within 10 days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Communication Plan Test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Quarterly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Emergency notification system</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Within 5 days</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I.3 Emergency Contact Protocol</w:t>
      </w:r>
    </w:p>
    <w:p>
      <w:pPr>
        <w:spacing w:before="80" w:after="80" w:line="280"/>
        <w:jc w:val="both"/>
      </w:pPr>
      <w:r>
        <w:rPr>
          <w:rFonts w:ascii="Arial" w:cs="Arial" w:eastAsia="Arial" w:hAnsi="Arial"/>
          <w:b w:val="false"/>
          <w:bCs w:val="false"/>
          <w:i w:val="false"/>
          <w:iCs w:val="false"/>
          <w:color w:val="2C2C2C"/>
          <w:sz w:val="20"/>
          <w:szCs w:val="20"/>
        </w:rPr>
        <w:t xml:space="preserve">In the event of a Business Disruption, PROVIDER shall follow the following emergency contact protocol:</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PROVIDER's on-call operations engineer detects or receives notification of the disruption within five (5) minutes via automated monitoring;</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On-call engineer assesses severity and initiates the appropriate response playbook within fifteen (15) minutes;</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PROVIDER notifies CLIENT's emergency contact within thirty (30) minutes of the disruption being declared;</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PROVIDER provides CLIENT with hourly status updates until the disruption is resolved;</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PROVIDER's senior management is engaged for any disruption affecting Tier 1 services persisting beyond two (2) hours.</w:t>
      </w:r>
    </w:p>
    <w:p>
      <w:r>
        <w:br w:type="page"/>
      </w:r>
    </w:p>
    <w:p>
      <w:pPr>
        <w:pStyle w:val="Heading1"/>
        <w:spacing w:before="400" w:after="200"/>
      </w:pPr>
      <w:r>
        <w:rPr>
          <w:rFonts w:ascii="Arial" w:cs="Arial" w:eastAsia="Arial" w:hAnsi="Arial"/>
          <w:b/>
          <w:bCs/>
          <w:color w:val="1F3864"/>
          <w:sz w:val="32"/>
          <w:szCs w:val="32"/>
        </w:rPr>
        <w:t xml:space="preserve">EXHIBIT 1: SOFTWARE LICENSE TERMS AND TECHNICAL SPECIFICATIONS</w:t>
      </w:r>
    </w:p>
    <w:p>
      <w:pPr>
        <w:pBdr>
          <w:bottom w:val="single" w:color="1F3864" w:sz="6" w:space="4"/>
        </w:pBdr>
        <w:spacing w:before="200" w:after="200"/>
      </w:pPr>
      <w:r>
        <w:t xml:space="preserve"/>
      </w:r>
    </w:p>
    <w:p>
      <w:pPr>
        <w:pStyle w:val="Heading2"/>
        <w:spacing w:before="300" w:after="150"/>
      </w:pPr>
      <w:r>
        <w:rPr>
          <w:rFonts w:ascii="Arial" w:cs="Arial" w:eastAsia="Arial" w:hAnsi="Arial"/>
          <w:b/>
          <w:bCs/>
          <w:color w:val="1A5276"/>
          <w:sz w:val="26"/>
          <w:szCs w:val="26"/>
        </w:rPr>
        <w:t xml:space="preserve">E1.1 Software License Grant Details</w:t>
      </w:r>
    </w:p>
    <w:p>
      <w:pPr>
        <w:spacing w:before="80" w:after="80" w:line="280"/>
        <w:jc w:val="both"/>
      </w:pPr>
      <w:r>
        <w:rPr>
          <w:rFonts w:ascii="Arial" w:cs="Arial" w:eastAsia="Arial" w:hAnsi="Arial"/>
          <w:b w:val="false"/>
          <w:bCs w:val="false"/>
          <w:i w:val="false"/>
          <w:iCs w:val="false"/>
          <w:color w:val="2C2C2C"/>
          <w:sz w:val="20"/>
          <w:szCs w:val="20"/>
        </w:rPr>
        <w:t xml:space="preserve">This Exhibit 1 provides supplementary terms governing the licensing of the TechSphere Enterprise Suite software modules and related technical specifications.</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E1.2 License Metrics and User Entitlements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8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License Model</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Initial Entitlement</w:t>
            </w:r>
          </w:p>
        </w:tc>
        <w:tc>
          <w:tcPr>
            <w:tcW w:type="dxa" w:w="2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Overage Rate</w:t>
            </w:r>
          </w:p>
        </w:tc>
      </w:tr>
      <w:tr>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TES-Core ERP Hub</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API call volume</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10M API calls/month</w:t>
            </w:r>
          </w:p>
        </w:tc>
        <w:tc>
          <w:tcPr>
            <w:tcW w:type="dxa" w:w="28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$0.02 per 1,000 additional calls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TES-Analytics AI Engine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Named user + compute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1,000 users + 500 GPU hours/month</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$250/user/year + $2/GPU hour</w:t>
            </w:r>
          </w:p>
        </w:tc>
      </w:tr>
      <w:tr>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TES-Security Ops Center</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Enterprise-wide</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Unlimited endpoints up to 50,000</w:t>
            </w:r>
          </w:p>
        </w:tc>
        <w:tc>
          <w:tcPr>
            <w:tcW w:type="dxa" w:w="28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$15/endpoint/year above 50,000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TES-Customer Experience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Agent seat + contacts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500 agents + 2M contact records</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$480/agent/year + $0.01/contact record</w:t>
            </w:r>
          </w:p>
        </w:tc>
      </w:tr>
      <w:tr>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TES-Supply Chain</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Named user + transactions</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250 users + 5M transactions/month</w:t>
            </w:r>
          </w:p>
        </w:tc>
        <w:tc>
          <w:tcPr>
            <w:tcW w:type="dxa" w:w="28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$250/user/year + $0.001/transaction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TES-HR Platform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Employee count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150,000 employees</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$15/employee/year above 150,000</w:t>
            </w:r>
          </w:p>
        </w:tc>
      </w:tr>
      <w:tr>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TES-Financial Ops</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Named user</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200 users</w:t>
            </w:r>
          </w:p>
        </w:tc>
        <w:tc>
          <w:tcPr>
            <w:tcW w:type="dxa" w:w="28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$1,200/user/year above 200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TES-Document Intelligence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Page volume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500,000 pages/month</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$0.05/page above 500,000</w:t>
            </w:r>
          </w:p>
        </w:tc>
      </w:tr>
      <w:tr>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TES-Mobile Workplace</w:t>
            </w:r>
          </w:p>
        </w:tc>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Device count</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5,000 devices</w:t>
            </w:r>
          </w:p>
        </w:tc>
        <w:tc>
          <w:tcPr>
            <w:tcW w:type="dxa" w:w="28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$24/device/year above 5,000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TES-Developer Platform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Developer seats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50 developers</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$2,400/developer/year above 50</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E1.3 Supported Operating Environments</w:t>
      </w:r>
    </w:p>
    <w:p>
      <w:pPr>
        <w:spacing w:before="80" w:after="80" w:line="280"/>
        <w:jc w:val="both"/>
      </w:pPr>
      <w:r>
        <w:rPr>
          <w:rFonts w:ascii="Arial" w:cs="Arial" w:eastAsia="Arial" w:hAnsi="Arial"/>
          <w:b w:val="false"/>
          <w:bCs w:val="false"/>
          <w:i w:val="false"/>
          <w:iCs w:val="false"/>
          <w:color w:val="2C2C2C"/>
          <w:sz w:val="20"/>
          <w:szCs w:val="20"/>
        </w:rPr>
        <w:t xml:space="preserve">The TechSphere Enterprise Suite supports the following operating environments: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Supported Versions / Specifications</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Web Browsers</w:t>
            </w:r>
          </w:p>
        </w:tc>
        <w:tc>
          <w:tcPr>
            <w:tcW w:type="dxa" w:w="6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Google Chrome 120+, Microsoft Edge 120+, Mozilla Firefox 121+, Apple Safari 17+</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Mobile – iOS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iOS 17.0 and above</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Mobile – Android</w:t>
            </w:r>
          </w:p>
        </w:tc>
        <w:tc>
          <w:tcPr>
            <w:tcW w:type="dxa" w:w="6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Android 13.0 and above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API Protocol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REST (OpenAPI 3.1), GraphQL, WebSocket, gRPC</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Authentication</w:t>
            </w:r>
          </w:p>
        </w:tc>
        <w:tc>
          <w:tcPr>
            <w:tcW w:type="dxa" w:w="6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SAML 2.0, OpenID Connect 1.0, OAuth 2.1, LDAP/Active Directory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 Formats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JSON, XML, CSV, Parquet, Avro, Protocol Buffers</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Integration Standards</w:t>
            </w:r>
          </w:p>
        </w:tc>
        <w:tc>
          <w:tcPr>
            <w:tcW w:type="dxa" w:w="6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ISO 20022, HL7 FHIR (healthcare), EDIFACT, X12 EDI</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Reporting Formats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PDF, Excel, CSV, PowerBI, Tableau, Looker Data Studio</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Languages Supported</w:t>
            </w:r>
          </w:p>
        </w:tc>
        <w:tc>
          <w:tcPr>
            <w:tcW w:type="dxa" w:w="6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125 languages with right-to-left support for Arabic, Hebrew, Urdu</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Accessibility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WCAG 2.1 Level AA compliant</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E1.4 System Requirements for On-Premises Components</w:t>
      </w:r>
    </w:p>
    <w:p>
      <w:pPr>
        <w:spacing w:before="80" w:after="80" w:line="280"/>
        <w:jc w:val="both"/>
      </w:pPr>
      <w:r>
        <w:rPr>
          <w:rFonts w:ascii="Arial" w:cs="Arial" w:eastAsia="Arial" w:hAnsi="Arial"/>
          <w:b w:val="false"/>
          <w:bCs w:val="false"/>
          <w:i w:val="false"/>
          <w:iCs w:val="false"/>
          <w:color w:val="2C2C2C"/>
          <w:sz w:val="20"/>
          <w:szCs w:val="20"/>
        </w:rPr>
        <w:t xml:space="preserve">Where CLIENT elects to deploy any on-premises components (e.g., integration agents, edge processing nodes), the following minimum system requirements shall apply: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200"/>
        <w:gridCol w:w="1200"/>
        <w:gridCol w:w="27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CPU</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RAM</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Storage</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Network</w:t>
            </w:r>
          </w:p>
        </w:tc>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OS</w:t>
            </w:r>
          </w:p>
        </w:tc>
      </w:tr>
      <w:tr>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Integration Agent</w:t>
            </w:r>
          </w:p>
        </w:tc>
        <w:tc>
          <w:tcPr>
            <w:tcW w:type="dxa" w:w="1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8 vCPU</w:t>
            </w:r>
          </w:p>
        </w:tc>
        <w:tc>
          <w:tcPr>
            <w:tcW w:type="dxa" w:w="1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16 GB</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500 GB SSD</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 Gbps</w:t>
            </w:r>
          </w:p>
        </w:tc>
        <w:tc>
          <w:tcPr>
            <w:tcW w:type="dxa" w:w="27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RHEL 9+ / Ubuntu 22.04+</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Edge Processing Node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16 vCPU</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32 GB</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 TB NVMe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 Gbps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RHEL 9+ / Ubuntu 22.04+</w:t>
            </w:r>
          </w:p>
        </w:tc>
      </w:tr>
      <w:tr>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Local Cache Server</w:t>
            </w:r>
          </w:p>
        </w:tc>
        <w:tc>
          <w:tcPr>
            <w:tcW w:type="dxa" w:w="1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4 vCPU</w:t>
            </w:r>
          </w:p>
        </w:tc>
        <w:tc>
          <w:tcPr>
            <w:tcW w:type="dxa" w:w="1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64 GB</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2 TB SSD</w:t>
            </w:r>
          </w:p>
        </w:tc>
        <w:tc>
          <w:tcPr>
            <w:tcW w:type="dxa" w:w="1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 Gbps</w:t>
            </w:r>
          </w:p>
        </w:tc>
        <w:tc>
          <w:tcPr>
            <w:tcW w:type="dxa" w:w="27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RHEL 9+ / Ubuntu 22.04+</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Reporting Agent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 vCPU</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8 GB</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200 GB SSD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 Gbps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Windows Server 2022 / RHEL 9+</w:t>
            </w:r>
          </w:p>
        </w:tc>
      </w:tr>
    </w:tbl>
    <w:p>
      <w:r>
        <w:br w:type="page"/>
      </w:r>
    </w:p>
    <w:p>
      <w:pPr>
        <w:pStyle w:val="Heading1"/>
        <w:spacing w:before="400" w:after="200"/>
      </w:pPr>
      <w:r>
        <w:rPr>
          <w:rFonts w:ascii="Arial" w:cs="Arial" w:eastAsia="Arial" w:hAnsi="Arial"/>
          <w:b/>
          <w:bCs/>
          <w:color w:val="1F3864"/>
          <w:sz w:val="32"/>
          <w:szCs w:val="32"/>
        </w:rPr>
        <w:t xml:space="preserve">EXHIBIT 2: TECHNICAL ARCHITECTURE OVERVIEW</w:t>
      </w:r>
    </w:p>
    <w:p>
      <w:pPr>
        <w:pBdr>
          <w:bottom w:val="single" w:color="1F3864" w:sz="6" w:space="4"/>
        </w:pBdr>
        <w:spacing w:before="200" w:after="20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This Exhibit 2 describes the technical architecture of the TechSphere Enterprise Suite as deployed for CLIENT under the Agreement.</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E2.1 Architecture Principles</w:t>
      </w:r>
    </w:p>
    <w:p>
      <w:pPr>
        <w:spacing w:before="80" w:after="80" w:line="280"/>
        <w:jc w:val="both"/>
      </w:pPr>
      <w:r>
        <w:rPr>
          <w:rFonts w:ascii="Arial" w:cs="Arial" w:eastAsia="Arial" w:hAnsi="Arial"/>
          <w:b w:val="false"/>
          <w:bCs w:val="false"/>
          <w:i w:val="false"/>
          <w:iCs w:val="false"/>
          <w:color w:val="2C2C2C"/>
          <w:sz w:val="20"/>
          <w:szCs w:val="20"/>
        </w:rPr>
        <w:t xml:space="preserve">The TechSphere Enterprise Suite is designed in accordance with the following foundational architectural principles:</w:t>
      </w:r>
    </w:p>
    <w:p>
      <w:pPr>
        <w:spacing w:before="100" w:after="0"/>
      </w:pPr>
      <w:r>
        <w:t xml:space="preserve"/>
      </w:r>
    </w:p>
    <w:p>
      <w:pPr>
        <w:spacing w:before="60" w:after="60" w:line="260"/>
        <w:ind w:left="720" w:hanging="360"/>
      </w:pPr>
      <w:r>
        <w:rPr>
          <w:rFonts w:ascii="Arial" w:cs="Arial" w:eastAsia="Arial" w:hAnsi="Arial"/>
          <w:b/>
          <w:bCs/>
          <w:color w:val="1F3864"/>
          <w:sz w:val="20"/>
          <w:szCs w:val="20"/>
        </w:rPr>
        <w:t xml:space="preserve">1. </w:t>
      </w:r>
      <w:r>
        <w:rPr>
          <w:rFonts w:ascii="Arial" w:cs="Arial" w:eastAsia="Arial" w:hAnsi="Arial"/>
          <w:color w:val="2C2C2C"/>
          <w:sz w:val="20"/>
          <w:szCs w:val="20"/>
        </w:rPr>
        <w:t xml:space="preserve">Cloud-Native: All platform components are designed for cloud-native deployment using containerization (Docker/Kubernetes) and microservices architecture, enabling horizontal scalability, resilience, and rapid deployment;</w:t>
      </w:r>
    </w:p>
    <w:p>
      <w:pPr>
        <w:spacing w:before="60" w:after="60" w:line="260"/>
        <w:ind w:left="720" w:hanging="360"/>
      </w:pPr>
      <w:r>
        <w:rPr>
          <w:rFonts w:ascii="Arial" w:cs="Arial" w:eastAsia="Arial" w:hAnsi="Arial"/>
          <w:b/>
          <w:bCs/>
          <w:color w:val="1F3864"/>
          <w:sz w:val="20"/>
          <w:szCs w:val="20"/>
        </w:rPr>
        <w:t xml:space="preserve">2. </w:t>
      </w:r>
      <w:r>
        <w:rPr>
          <w:rFonts w:ascii="Arial" w:cs="Arial" w:eastAsia="Arial" w:hAnsi="Arial"/>
          <w:color w:val="2C2C2C"/>
          <w:sz w:val="20"/>
          <w:szCs w:val="20"/>
        </w:rPr>
        <w:t xml:space="preserve">API-First: Every platform capability is exposed through well-documented, versioned APIs following RESTful and GraphQL design principles, enabling flexible integration with any external system;</w:t>
      </w:r>
    </w:p>
    <w:p>
      <w:pPr>
        <w:spacing w:before="60" w:after="60" w:line="260"/>
        <w:ind w:left="720" w:hanging="360"/>
      </w:pPr>
      <w:r>
        <w:rPr>
          <w:rFonts w:ascii="Arial" w:cs="Arial" w:eastAsia="Arial" w:hAnsi="Arial"/>
          <w:b/>
          <w:bCs/>
          <w:color w:val="1F3864"/>
          <w:sz w:val="20"/>
          <w:szCs w:val="20"/>
        </w:rPr>
        <w:t xml:space="preserve">3. </w:t>
      </w:r>
      <w:r>
        <w:rPr>
          <w:rFonts w:ascii="Arial" w:cs="Arial" w:eastAsia="Arial" w:hAnsi="Arial"/>
          <w:color w:val="2C2C2C"/>
          <w:sz w:val="20"/>
          <w:szCs w:val="20"/>
        </w:rPr>
        <w:t xml:space="preserve">Zero-Trust Security: The platform implements a zero-trust security model requiring continuous verification of all user identities and device health, applying least-privilege access principles throughout;</w:t>
      </w:r>
    </w:p>
    <w:p>
      <w:pPr>
        <w:spacing w:before="60" w:after="60" w:line="260"/>
        <w:ind w:left="720" w:hanging="360"/>
      </w:pPr>
      <w:r>
        <w:rPr>
          <w:rFonts w:ascii="Arial" w:cs="Arial" w:eastAsia="Arial" w:hAnsi="Arial"/>
          <w:b/>
          <w:bCs/>
          <w:color w:val="1F3864"/>
          <w:sz w:val="20"/>
          <w:szCs w:val="20"/>
        </w:rPr>
        <w:t xml:space="preserve">4. </w:t>
      </w:r>
      <w:r>
        <w:rPr>
          <w:rFonts w:ascii="Arial" w:cs="Arial" w:eastAsia="Arial" w:hAnsi="Arial"/>
          <w:color w:val="2C2C2C"/>
          <w:sz w:val="20"/>
          <w:szCs w:val="20"/>
        </w:rPr>
        <w:t xml:space="preserve">AI-Native: Artificial intelligence and machine learning capabilities are embedded at the core of the platform, not added as afterthoughts, enabling intelligent automation, predictive insights, and adaptive user experiences;</w:t>
      </w:r>
    </w:p>
    <w:p>
      <w:pPr>
        <w:spacing w:before="60" w:after="60" w:line="260"/>
        <w:ind w:left="720" w:hanging="360"/>
      </w:pPr>
      <w:r>
        <w:rPr>
          <w:rFonts w:ascii="Arial" w:cs="Arial" w:eastAsia="Arial" w:hAnsi="Arial"/>
          <w:b/>
          <w:bCs/>
          <w:color w:val="1F3864"/>
          <w:sz w:val="20"/>
          <w:szCs w:val="20"/>
        </w:rPr>
        <w:t xml:space="preserve">5. </w:t>
      </w:r>
      <w:r>
        <w:rPr>
          <w:rFonts w:ascii="Arial" w:cs="Arial" w:eastAsia="Arial" w:hAnsi="Arial"/>
          <w:color w:val="2C2C2C"/>
          <w:sz w:val="20"/>
          <w:szCs w:val="20"/>
        </w:rPr>
        <w:t xml:space="preserve">Data Mesh: The platform implements a data mesh architecture enabling distributed data ownership while maintaining central governance, observability, and discoverability;</w:t>
      </w:r>
    </w:p>
    <w:p>
      <w:pPr>
        <w:spacing w:before="60" w:after="60" w:line="260"/>
        <w:ind w:left="720" w:hanging="360"/>
      </w:pPr>
      <w:r>
        <w:rPr>
          <w:rFonts w:ascii="Arial" w:cs="Arial" w:eastAsia="Arial" w:hAnsi="Arial"/>
          <w:b/>
          <w:bCs/>
          <w:color w:val="1F3864"/>
          <w:sz w:val="20"/>
          <w:szCs w:val="20"/>
        </w:rPr>
        <w:t xml:space="preserve">6. </w:t>
      </w:r>
      <w:r>
        <w:rPr>
          <w:rFonts w:ascii="Arial" w:cs="Arial" w:eastAsia="Arial" w:hAnsi="Arial"/>
          <w:color w:val="2C2C2C"/>
          <w:sz w:val="20"/>
          <w:szCs w:val="20"/>
        </w:rPr>
        <w:t xml:space="preserve">Event-Driven: Platform components communicate asynchronously through event streaming (Apache Kafka), enabling loose coupling, high throughput, and real-time data processing;</w:t>
      </w:r>
    </w:p>
    <w:p>
      <w:pPr>
        <w:spacing w:before="60" w:after="60" w:line="260"/>
        <w:ind w:left="720" w:hanging="360"/>
      </w:pPr>
      <w:r>
        <w:rPr>
          <w:rFonts w:ascii="Arial" w:cs="Arial" w:eastAsia="Arial" w:hAnsi="Arial"/>
          <w:b/>
          <w:bCs/>
          <w:color w:val="1F3864"/>
          <w:sz w:val="20"/>
          <w:szCs w:val="20"/>
        </w:rPr>
        <w:t xml:space="preserve">7. </w:t>
      </w:r>
      <w:r>
        <w:rPr>
          <w:rFonts w:ascii="Arial" w:cs="Arial" w:eastAsia="Arial" w:hAnsi="Arial"/>
          <w:color w:val="2C2C2C"/>
          <w:sz w:val="20"/>
          <w:szCs w:val="20"/>
        </w:rPr>
        <w:t xml:space="preserve">Resilience by Design: The platform is designed to maintain service continuity in the face of individual component failures through circuit breakers, bulkheads, timeouts, and graceful degradation;</w:t>
      </w:r>
    </w:p>
    <w:p>
      <w:pPr>
        <w:spacing w:before="60" w:after="60" w:line="260"/>
        <w:ind w:left="720" w:hanging="360"/>
      </w:pPr>
      <w:r>
        <w:rPr>
          <w:rFonts w:ascii="Arial" w:cs="Arial" w:eastAsia="Arial" w:hAnsi="Arial"/>
          <w:b/>
          <w:bCs/>
          <w:color w:val="1F3864"/>
          <w:sz w:val="20"/>
          <w:szCs w:val="20"/>
        </w:rPr>
        <w:t xml:space="preserve">8. </w:t>
      </w:r>
      <w:r>
        <w:rPr>
          <w:rFonts w:ascii="Arial" w:cs="Arial" w:eastAsia="Arial" w:hAnsi="Arial"/>
          <w:color w:val="2C2C2C"/>
          <w:sz w:val="20"/>
          <w:szCs w:val="20"/>
        </w:rPr>
        <w:t xml:space="preserve">Compliance by Default: Privacy and compliance controls (audit logging, data encryption, access controls, consent management) are built into the platform core, not bolted on.</w:t>
      </w:r>
    </w:p>
    <w:p>
      <w:pPr>
        <w:spacing w:before="100" w:after="0"/>
      </w:pPr>
      <w:r>
        <w:t xml:space="preserve"/>
      </w:r>
    </w:p>
    <w:p>
      <w:pPr>
        <w:pStyle w:val="Heading2"/>
        <w:spacing w:before="300" w:after="150"/>
      </w:pPr>
      <w:r>
        <w:rPr>
          <w:rFonts w:ascii="Arial" w:cs="Arial" w:eastAsia="Arial" w:hAnsi="Arial"/>
          <w:b/>
          <w:bCs/>
          <w:color w:val="1A5276"/>
          <w:sz w:val="26"/>
          <w:szCs w:val="26"/>
        </w:rPr>
        <w:t xml:space="preserve">E2.2 Detailed 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100"/>
        <w:gridCol w:w="2560"/>
      </w:tblGrid>
      <w:t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 Stack</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Scalability</w:t>
            </w:r>
          </w:p>
        </w:tc>
      </w:tr>
      <w:tr>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Presentation</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Web Application</w:t>
            </w:r>
          </w:p>
        </w:tc>
        <w:tc>
          <w:tcPr>
            <w:tcW w:type="dxa" w:w="31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React 18, TypeScript, Tailwind CSS, Next.js 14</w:t>
            </w:r>
          </w:p>
        </w:tc>
        <w:tc>
          <w:tcPr>
            <w:tcW w:type="dxa" w:w="2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CDN-distributed, edge rendering</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Presentation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Mobile Application</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React Native, Expo SDK 50</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Auto-scaling push notification services</w:t>
            </w:r>
          </w:p>
        </w:tc>
      </w:tr>
      <w:tr>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API Gateway</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API Management</w:t>
            </w:r>
          </w:p>
        </w:tc>
        <w:tc>
          <w:tcPr>
            <w:tcW w:type="dxa" w:w="31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Kong Enterprise 3.5 + AWS API Gateway</w:t>
            </w:r>
          </w:p>
        </w:tc>
        <w:tc>
          <w:tcPr>
            <w:tcW w:type="dxa" w:w="2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1M+ req/sec auto-scaling</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Application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Microservices Runtime</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Java 21 (Spring Boot 3.2) + Python 3.12 + Node.js 21</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Kubernetes HPA + KEDA</w:t>
            </w:r>
          </w:p>
        </w:tc>
      </w:tr>
      <w:tr>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AI/ML</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AI Platform</w:t>
            </w:r>
          </w:p>
        </w:tc>
        <w:tc>
          <w:tcPr>
            <w:tcW w:type="dxa" w:w="31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PyTorch 2.1, TensorFlow 2.15, Hugging Face Transformers</w:t>
            </w:r>
          </w:p>
        </w:tc>
        <w:tc>
          <w:tcPr>
            <w:tcW w:type="dxa" w:w="2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GPU cluster auto-scaling</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Integration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Event Streaming</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Apache Kafka 3.6 (AWS MSK)</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100K+ events/second</w:t>
            </w:r>
          </w:p>
        </w:tc>
      </w:tr>
      <w:tr>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Integration</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ETL/ELT</w:t>
            </w:r>
          </w:p>
        </w:tc>
        <w:tc>
          <w:tcPr>
            <w:tcW w:type="dxa" w:w="31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Apache Spark 3.5, dbt 1.7, Airflow 2.8</w:t>
            </w:r>
          </w:p>
        </w:tc>
        <w:tc>
          <w:tcPr>
            <w:tcW w:type="dxa" w:w="2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Distributed processing</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Operational DB</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Amazon Aurora PostgreSQL 15 + read replicas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Auto-scaling storage, 99.99% availability</w:t>
            </w:r>
          </w:p>
        </w:tc>
      </w:tr>
      <w:tr>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Data</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Analytical DB</w:t>
            </w:r>
          </w:p>
        </w:tc>
        <w:tc>
          <w:tcPr>
            <w:tcW w:type="dxa" w:w="31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Amazon Redshift Serverless + Snowflake</w:t>
            </w:r>
          </w:p>
        </w:tc>
        <w:tc>
          <w:tcPr>
            <w:tcW w:type="dxa" w:w="2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Unlimited compute scaling</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Cache</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Redis Enterprise 7.2 (cluster mode)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Sub-millisecond latency</w:t>
            </w:r>
          </w:p>
        </w:tc>
      </w:tr>
      <w:tr>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Data</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Search</w:t>
            </w:r>
          </w:p>
        </w:tc>
        <w:tc>
          <w:tcPr>
            <w:tcW w:type="dxa" w:w="31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Elasticsearch 8.11 (OpenSearch)</w:t>
            </w:r>
          </w:p>
        </w:tc>
        <w:tc>
          <w:tcPr>
            <w:tcW w:type="dxa" w:w="2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Horizontally sharded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Object Storage</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Amazon S3 with Intelligent Tiering</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Unlimited, 99.999999999% durability</w:t>
            </w:r>
          </w:p>
        </w:tc>
      </w:tr>
      <w:tr>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Security</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IAM</w:t>
            </w:r>
          </w:p>
        </w:tc>
        <w:tc>
          <w:tcPr>
            <w:tcW w:type="dxa" w:w="31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Okta Workforce + PROVIDER IAM Overlay</w:t>
            </w:r>
          </w:p>
        </w:tc>
        <w:tc>
          <w:tcPr>
            <w:tcW w:type="dxa" w:w="2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MFA enforced globally</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Security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Secrets Management</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AWS Secrets Manager + HashiCorp Vault</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Automated rotation</w:t>
            </w:r>
          </w:p>
        </w:tc>
      </w:tr>
      <w:tr>
        <w:tc>
          <w:tcPr>
            <w:tcW w:type="dxa" w:w="1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Observability</w:t>
            </w:r>
          </w:p>
        </w:tc>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Monitoring</w:t>
            </w:r>
          </w:p>
        </w:tc>
        <w:tc>
          <w:tcPr>
            <w:tcW w:type="dxa" w:w="31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Datadog APM + CloudWatch + Prometheus/Grafana</w:t>
            </w:r>
          </w:p>
        </w:tc>
        <w:tc>
          <w:tcPr>
            <w:tcW w:type="dxa" w:w="25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Real-time with 13-month retention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Network</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Load Balancing</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AWS ALB + NLB + CloudFront</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Global anycast routing</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E2.3 Data Flow and Integration Architecture</w:t>
      </w:r>
    </w:p>
    <w:p>
      <w:pPr>
        <w:spacing w:before="80" w:after="80" w:line="280"/>
        <w:jc w:val="both"/>
      </w:pPr>
      <w:r>
        <w:rPr>
          <w:rFonts w:ascii="Arial" w:cs="Arial" w:eastAsia="Arial" w:hAnsi="Arial"/>
          <w:b w:val="false"/>
          <w:bCs w:val="false"/>
          <w:i w:val="false"/>
          <w:iCs w:val="false"/>
          <w:color w:val="2C2C2C"/>
          <w:sz w:val="20"/>
          <w:szCs w:val="20"/>
        </w:rPr>
        <w:t xml:space="preserve">CLIENT's enterprise data flows through the TechSphere Enterprise Suite in the following architecture:</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INGESTION LAYER: Data enters the platform through three primary channels: (1) real-time API calls from external systems via the API Gateway; (2) event streams from source systems via Kafka connectors; and (3) batch file transfers via secure SFTP or AWS Transfer Family for large-volume data sets.</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PROCESSING LAYER: Ingested data is processed by the appropriate microservice, which may involve: data validation and enrichment; business rule application; AI/ML inference; workflow orchestration; and event publishing to downstream consumers.</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STORAGE LAYER: Processed data is persisted in the appropriate data store based on its characteristics: operational data in Aurora PostgreSQL; analytical data in Redshift/Snowflake; documents in S3; sessions and cache in Redis; and search indices in Elasticsearch.</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DELIVERY LAYER: Data is delivered to consumers through: REST and GraphQL APIs for application consumption; event streams for real-time integration; reporting services for business intelligence; and export APIs for data portability.</w:t>
      </w:r>
    </w:p>
    <w:p>
      <w:pPr>
        <w:spacing w:before="200" w:after="0"/>
      </w:pPr>
      <w:r>
        <w:t xml:space="preserve"/>
      </w:r>
    </w:p>
    <w:p>
      <w:pPr>
        <w:pStyle w:val="Heading2"/>
        <w:spacing w:before="300" w:after="150"/>
      </w:pPr>
      <w:r>
        <w:rPr>
          <w:rFonts w:ascii="Arial" w:cs="Arial" w:eastAsia="Arial" w:hAnsi="Arial"/>
          <w:b/>
          <w:bCs/>
          <w:color w:val="1A5276"/>
          <w:sz w:val="26"/>
          <w:szCs w:val="26"/>
        </w:rPr>
        <w:t xml:space="preserve">E2.4 Network Architecture and Security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20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Security Zone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Components</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Access Controls</w:t>
            </w:r>
          </w:p>
        </w:tc>
        <w:tc>
          <w:tcPr>
            <w:tcW w:type="dxa" w:w="2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Traffic Inspection</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Internet Zone (Untrusted)</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CloudFront CDN, Route53, AWS Shield</w:t>
            </w:r>
          </w:p>
        </w:tc>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DDoS protection, WAF rules, bot management</w:t>
            </w:r>
          </w:p>
        </w:tc>
        <w:tc>
          <w:tcPr>
            <w:tcW w:type="dxa" w:w="20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Full packet inspection, SSL/TLS termination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DMZ (Semi-Trusted)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API Gateway, Load Balancers, Reverse Proxies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IP allowlisting, rate limiting, certificate pinning</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WAF, IDS/IPS, full traffic logging</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Application Zone (Trusted)</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Microservices, AI Platform, Integration Services</w:t>
            </w:r>
          </w:p>
        </w:tc>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mTLS between services, RBAC, network policies</w:t>
            </w:r>
          </w:p>
        </w:tc>
        <w:tc>
          <w:tcPr>
            <w:tcW w:type="dxa" w:w="20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East-west traffic inspection, behavioral monitoring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 Zone (Highly Trusted)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Databases, Object Storage, Secrets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IAM roles, VPC endpoints, encryption at rest and in transit</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Database activity monitoring, DLP controls</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Management Zone (Admin)</w:t>
            </w:r>
          </w:p>
        </w:tc>
        <w:tc>
          <w:tcPr>
            <w:tcW w:type="dxa" w:w="2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Monitoring, SIEM, Admin Consoles</w:t>
            </w:r>
          </w:p>
        </w:tc>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MFA required, PAM, just-in-time access</w:t>
            </w:r>
          </w:p>
        </w:tc>
        <w:tc>
          <w:tcPr>
            <w:tcW w:type="dxa" w:w="20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color w:val="2C2C2C"/>
                <w:sz w:val="18"/>
                <w:szCs w:val="18"/>
              </w:rPr>
              <w:t xml:space="preserve">All sessions recorded, anomaly detection</w:t>
            </w:r>
          </w:p>
        </w:tc>
      </w:tr>
    </w:tbl>
    <w:p>
      <w:pPr>
        <w:spacing w:before="200" w:after="0"/>
      </w:pPr>
      <w:r>
        <w:t xml:space="preserve"/>
      </w:r>
    </w:p>
    <w:p>
      <w:pPr>
        <w:pStyle w:val="Heading2"/>
        <w:spacing w:before="300" w:after="150"/>
      </w:pPr>
      <w:r>
        <w:rPr>
          <w:rFonts w:ascii="Arial" w:cs="Arial" w:eastAsia="Arial" w:hAnsi="Arial"/>
          <w:b/>
          <w:bCs/>
          <w:color w:val="1A5276"/>
          <w:sz w:val="26"/>
          <w:szCs w:val="26"/>
        </w:rPr>
        <w:t xml:space="preserve">E2.5 Disaster Recovery Architecture</w:t>
      </w:r>
    </w:p>
    <w:p>
      <w:pPr>
        <w:spacing w:before="80" w:after="80" w:line="280"/>
        <w:jc w:val="both"/>
      </w:pPr>
      <w:r>
        <w:rPr>
          <w:rFonts w:ascii="Arial" w:cs="Arial" w:eastAsia="Arial" w:hAnsi="Arial"/>
          <w:b w:val="false"/>
          <w:bCs w:val="false"/>
          <w:i w:val="false"/>
          <w:iCs w:val="false"/>
          <w:color w:val="2C2C2C"/>
          <w:sz w:val="20"/>
          <w:szCs w:val="20"/>
        </w:rPr>
        <w:t xml:space="preserve">The TechSphere Enterprise Suite disaster recovery architecture is designed to meet CLIENT's RTO and RPO requirements as specified in Schedule I:</w:t>
      </w:r>
    </w:p>
    <w:p>
      <w:pPr>
        <w:spacing w:before="100" w:after="0"/>
      </w:pPr>
      <w:r>
        <w:t xml:space="preserve"/>
      </w:r>
    </w:p>
    <w:p>
      <w:pPr>
        <w:spacing w:before="80" w:after="80" w:line="280"/>
        <w:jc w:val="both"/>
      </w:pPr>
      <w:r>
        <w:rPr>
          <w:rFonts w:ascii="Arial" w:cs="Arial" w:eastAsia="Arial" w:hAnsi="Arial"/>
          <w:b w:val="false"/>
          <w:bCs w:val="false"/>
          <w:i w:val="false"/>
          <w:iCs w:val="false"/>
          <w:color w:val="2C2C2C"/>
          <w:sz w:val="20"/>
          <w:szCs w:val="20"/>
        </w:rPr>
        <w:t xml:space="preserve">PRIMARY REGION (Active): US-East-1 (N. Virginia) + EU-West-1 (Ireland) – all production workloads running active configuration.</w:t>
      </w:r>
    </w:p>
    <w:p>
      <w:pPr>
        <w:spacing w:before="80" w:after="80" w:line="280"/>
        <w:jc w:val="both"/>
      </w:pPr>
      <w:r>
        <w:rPr>
          <w:rFonts w:ascii="Arial" w:cs="Arial" w:eastAsia="Arial" w:hAnsi="Arial"/>
          <w:b w:val="false"/>
          <w:bCs w:val="false"/>
          <w:i w:val="false"/>
          <w:iCs w:val="false"/>
          <w:color w:val="2C2C2C"/>
          <w:sz w:val="20"/>
          <w:szCs w:val="20"/>
        </w:rPr>
        <w:t xml:space="preserve">SECONDARY REGION (Standby): US-West-2 (Oregon) + EU-North-1 (Frankfurt) – warm standby with real-time data replication.</w:t>
      </w:r>
    </w:p>
    <w:p>
      <w:pPr>
        <w:spacing w:before="80" w:after="80" w:line="280"/>
        <w:jc w:val="both"/>
      </w:pPr>
      <w:r>
        <w:rPr>
          <w:rFonts w:ascii="Arial" w:cs="Arial" w:eastAsia="Arial" w:hAnsi="Arial"/>
          <w:b w:val="false"/>
          <w:bCs w:val="false"/>
          <w:i w:val="false"/>
          <w:iCs w:val="false"/>
          <w:color w:val="2C2C2C"/>
          <w:sz w:val="20"/>
          <w:szCs w:val="20"/>
        </w:rPr>
        <w:t xml:space="preserve">REPLICATION: Amazon Aurora Global Database for PostgreSQL (&lt; 1 second replication lag), S3 Cross-Region Replication (near real-time), Kafka MirrorMaker 2 for event stream replication.</w:t>
      </w:r>
    </w:p>
    <w:p>
      <w:pPr>
        <w:spacing w:before="80" w:after="80" w:line="280"/>
        <w:jc w:val="both"/>
      </w:pPr>
      <w:r>
        <w:rPr>
          <w:rFonts w:ascii="Arial" w:cs="Arial" w:eastAsia="Arial" w:hAnsi="Arial"/>
          <w:b w:val="false"/>
          <w:bCs w:val="false"/>
          <w:i w:val="false"/>
          <w:iCs w:val="false"/>
          <w:color w:val="2C2C2C"/>
          <w:sz w:val="20"/>
          <w:szCs w:val="20"/>
        </w:rPr>
        <w:t xml:space="preserve">FAILOVER: Automated failover triggered by CloudWatch alarms, Route53 health checks, and PROVIDER's NOC monitoring. Target failover time for Tier 1 services: &lt; 60 minutes.</w:t>
      </w:r>
    </w:p>
    <w:p>
      <w:pPr>
        <w:spacing w:before="200" w:after="0"/>
      </w:pPr>
      <w:r>
        <w:t xml:space="preserve"/>
      </w:r>
    </w:p>
    <w:p>
      <w:pPr>
        <w:pBdr>
          <w:bottom w:val="single" w:color="1F3864" w:sz="6" w:space="4"/>
        </w:pBdr>
        <w:spacing w:before="200" w:after="200"/>
      </w:pPr>
      <w:r>
        <w:t xml:space="preserve"/>
      </w:r>
    </w:p>
    <w:p>
      <w:pPr>
        <w:spacing w:before="200" w:after="0"/>
      </w:pPr>
      <w:r>
        <w:t xml:space="preserve"/>
      </w:r>
    </w:p>
    <w:p>
      <w:pPr>
        <w:spacing w:before="200" w:after="200"/>
        <w:jc w:val="center"/>
      </w:pPr>
      <w:r>
        <w:rPr>
          <w:rFonts w:ascii="Arial" w:cs="Arial" w:eastAsia="Arial" w:hAnsi="Arial"/>
          <w:b/>
          <w:bCs/>
          <w:color w:val="1F3864"/>
          <w:sz w:val="28"/>
          <w:szCs w:val="28"/>
        </w:rPr>
        <w:t xml:space="preserve">*** END OF AGREEMENT ***</w:t>
      </w:r>
    </w:p>
    <w:p>
      <w:pPr>
        <w:spacing w:before="0" w:after="200"/>
        <w:jc w:val="center"/>
      </w:pPr>
      <w:r>
        <w:rPr>
          <w:rFonts w:ascii="Arial" w:cs="Arial" w:eastAsia="Arial" w:hAnsi="Arial"/>
          <w:i/>
          <w:iCs/>
          <w:color w:val="555555"/>
          <w:sz w:val="20"/>
          <w:szCs w:val="20"/>
        </w:rPr>
        <w:t xml:space="preserve">Master Enterprise Services Agreement – Contract No. MESA-2024-TPC-00847-ENT</w:t>
      </w:r>
    </w:p>
    <w:p>
      <w:pPr>
        <w:spacing w:before="0" w:after="200"/>
        <w:jc w:val="center"/>
      </w:pPr>
      <w:r>
        <w:rPr>
          <w:rFonts w:ascii="Arial" w:cs="Arial" w:eastAsia="Arial" w:hAnsi="Arial"/>
          <w:color w:val="555555"/>
          <w:sz w:val="20"/>
          <w:szCs w:val="20"/>
        </w:rPr>
        <w:t xml:space="preserve">Nexovate Global Solutions, Inc. | TechSphere Innovations, LLC</w:t>
      </w:r>
    </w:p>
    <w:p>
      <w:pPr>
        <w:jc w:val="center"/>
      </w:pPr>
      <w:r>
        <w:rPr>
          <w:rFonts w:ascii="Arial" w:cs="Arial" w:eastAsia="Arial" w:hAnsi="Arial"/>
          <w:i/>
          <w:iCs/>
          <w:color w:val="555555"/>
          <w:sz w:val="18"/>
          <w:szCs w:val="18"/>
        </w:rPr>
        <w:t xml:space="preserve">Document Version 4.2 – Final Execution Copy – March 2024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tabs>
        <w:tab w:val="center" w:pos="4680"/>
        <w:tab w:val="right" w:pos="9360"/>
      </w:tabs>
      <w:spacing w:before="200" w:after="0"/>
    </w:pPr>
    <w:r>
      <w:rPr>
        <w:rFonts w:ascii="Arial" w:cs="Arial" w:eastAsia="Arial" w:hAnsi="Arial"/>
        <w:color w:val="555555"/>
        <w:sz w:val="16"/>
        <w:szCs w:val="16"/>
      </w:rPr>
      <w:t xml:space="preserve">© 2024 Nexovate Global Solutions | TechSphere Innovations</w:t>
    </w:r>
    <w:r>
      <w:rPr>
        <w:rFonts w:ascii="Arial" w:cs="Arial" w:eastAsia="Arial" w:hAnsi="Arial"/>
        <w:color w:val="555555"/>
        <w:sz w:val="16"/>
        <w:szCs w:val="16"/>
      </w:rPr>
      <w:t xml:space="preserve">	Page </w:t>
    </w:r>
    <w:fldSimple w:instr="PAGE"/>
    <w:r>
      <w:rPr>
        <w:rFonts w:ascii="Arial" w:cs="Arial" w:eastAsia="Arial" w:hAnsi="Arial"/>
        <w:color w:val="555555"/>
        <w:sz w:val="16"/>
        <w:szCs w:val="16"/>
      </w:rPr>
      <w:t xml:space="preserve">	Version 4.2 – Final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00"/>
      </w:tabs>
      <w:spacing w:before="0" w:after="200"/>
    </w:pPr>
    <w:r>
      <w:rPr>
        <w:rFonts w:ascii="Arial" w:cs="Arial" w:eastAsia="Arial" w:hAnsi="Arial"/>
        <w:b w:val="false"/>
        <w:bCs w:val="false"/>
        <w:color w:val="555555"/>
        <w:sz w:val="16"/>
        <w:szCs w:val="16"/>
      </w:rPr>
      <w:t xml:space="preserve">MASTER ENTERPRISE SERVICES AGREEMENT | CONTRACT NO. MESA-2024-TPC-00847-ENT</w:t>
    </w:r>
    <w:r>
      <w:rPr>
        <w:rFonts w:ascii="Arial" w:cs="Arial" w:eastAsia="Arial" w:hAnsi="Arial"/>
        <w:sz w:val="16"/>
        <w:szCs w:val="16"/>
      </w:rPr>
      <w:t xml:space="preserve">		</w:t>
    </w:r>
    <w:r>
      <w:rPr>
        <w:rFonts w:ascii="Arial" w:cs="Arial" w:eastAsia="Arial" w:hAnsi="Arial"/>
        <w:b/>
        <w:bCs/>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527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2026-03-12T09:10:59.444Z</dcterms:created>
  <dcterms:modified xsi:type="dcterms:W3CDTF">2026-03-12T09:10:59.446Z</dcterms:modified>
</cp:coreProperties>
</file>

<file path=docProps/custom.xml><?xml version="1.0" encoding="utf-8"?>
<Properties xmlns="http://schemas.openxmlformats.org/officeDocument/2006/custom-properties" xmlns:vt="http://schemas.openxmlformats.org/officeDocument/2006/docPropsVTypes"/>
</file>