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left"/>
      </w:pPr>
    </w:p>
    <w:p>
      <w:pPr>
        <w:spacing w:before="0" w:after="0" w:line="276" w:lineRule="auto"/>
        <w:jc w:val="left"/>
      </w:pPr>
    </w:p>
    <w:p>
      <w:pPr>
        <w:spacing w:before="0" w:after="0" w:line="276" w:lineRule="auto"/>
        <w:jc w:val="left"/>
      </w:pPr>
    </w:p>
    <w:p>
      <w:pPr>
        <w:spacing w:before="0" w:after="80" w:line="276" w:lineRule="auto"/>
        <w:jc w:val="center"/>
      </w:pPr>
      <w:r>
        <w:rPr>
          <w:rFonts w:ascii="Calibri" w:hAnsi="Calibri"/>
          <w:b/>
          <w:color w:val="D97706"/>
          <w:sz w:val="22"/>
        </w:rPr>
        <w:t>MAJOR PROJECT FINAL REPORT | ARTIFICIAL INTELLIGENCE IN AGRICULTURE</w:t>
      </w:r>
    </w:p>
    <w:p>
      <w:pPr>
        <w:spacing w:before="120" w:after="80" w:line="276" w:lineRule="auto"/>
        <w:jc w:val="center"/>
      </w:pPr>
      <w:r>
        <w:rPr>
          <w:rFonts w:ascii="Calibri" w:hAnsi="Calibri"/>
          <w:b/>
          <w:color w:val="0B6E4F"/>
          <w:sz w:val="72"/>
        </w:rPr>
        <w:t>AgriYield AI</w:t>
      </w:r>
    </w:p>
    <w:p>
      <w:pPr>
        <w:spacing w:before="80" w:after="280" w:line="276" w:lineRule="auto"/>
        <w:jc w:val="center"/>
      </w:pPr>
      <w:r>
        <w:rPr>
          <w:rFonts w:ascii="Calibri" w:hAnsi="Calibri"/>
          <w:color w:val="1F4E3D"/>
          <w:sz w:val="31"/>
        </w:rPr>
        <w:t>AI-Powered Crop Yield Prediction &amp; Agricultural Decision Support Platform</w:t>
      </w:r>
    </w:p>
    <w:p>
      <w:pPr>
        <w:spacing w:before="0" w:after="320" w:line="276" w:lineRule="auto"/>
        <w:jc w:val="center"/>
      </w:pPr>
      <w:r>
        <w:rPr>
          <w:b/>
          <w:color w:val="0B6E4F"/>
        </w:rPr>
        <w:t>━━━━━━━━━━━━━━━━━━━━━━━━━━━━━━━━━━━━━━━━━━━━━━</w:t>
      </w:r>
    </w:p>
    <w:tbl>
      <w:tblPr>
        <w:tblW w:type="auto" w:w="0"/>
        <w:jc w:val="center"/>
        <w:tblLayout w:type="fixed"/>
        <w:tblLook w:firstColumn="1" w:firstRow="1" w:lastColumn="0" w:lastRow="0" w:noHBand="0" w:noVBand="1" w:val="04A0"/>
      </w:tblPr>
      <w:tblGrid>
        <w:gridCol w:w="5040"/>
        <w:gridCol w:w="5040"/>
      </w:tblGrid>
      <w:tr>
        <w:tc>
          <w:tcPr>
            <w:tcW w:type="dxa" w:w="316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Project Specification</w:t>
            </w:r>
          </w:p>
        </w:tc>
        <w:tc>
          <w:tcPr>
            <w:tcW w:type="dxa" w:w="662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Submission Details</w:t>
            </w:r>
          </w:p>
        </w:tc>
      </w:tr>
      <w:tr>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Project Title</w:t>
            </w:r>
          </w:p>
        </w:tc>
        <w:tc>
          <w:tcPr>
            <w:tcW w:type="dxa" w:w="662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AgriYield AI — Integrated Agricultural Intelligence System</w:t>
            </w:r>
          </w:p>
        </w:tc>
      </w:tr>
      <w:tr>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Candidate / Author</w:t>
            </w:r>
          </w:p>
        </w:tc>
        <w:tc>
          <w:tcPr>
            <w:tcW w:type="dxa" w:w="66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OVS VARUN</w:t>
            </w:r>
          </w:p>
        </w:tc>
      </w:tr>
      <w:tr>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Candidate Email</w:t>
            </w:r>
          </w:p>
        </w:tc>
        <w:tc>
          <w:tcPr>
            <w:tcW w:type="dxa" w:w="662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orugantivarun.2007@gmail.com</w:t>
            </w:r>
          </w:p>
        </w:tc>
      </w:tr>
      <w:tr>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Domain / Specialization</w:t>
            </w:r>
          </w:p>
        </w:tc>
        <w:tc>
          <w:tcPr>
            <w:tcW w:type="dxa" w:w="66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Applied Machine Learning, Agro-Informatics &amp; Cloud Engineering</w:t>
            </w:r>
          </w:p>
        </w:tc>
      </w:tr>
      <w:tr>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Technology Stack</w:t>
            </w:r>
          </w:p>
        </w:tc>
        <w:tc>
          <w:tcPr>
            <w:tcW w:type="dxa" w:w="662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React 19, Vite, FastAPI, Python 3.12, XGBoost, Scikit-learn, Gemini 1.5, Groq</w:t>
            </w:r>
          </w:p>
        </w:tc>
      </w:tr>
      <w:tr>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Core ML Model</w:t>
            </w:r>
          </w:p>
        </w:tc>
        <w:tc>
          <w:tcPr>
            <w:tcW w:type="dxa" w:w="66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Extreme Gradient Boosting (XGBRegressor) — R² = 0.8540, MAE = 237.72 Kg/ha</w:t>
            </w:r>
          </w:p>
        </w:tc>
      </w:tr>
      <w:tr>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Empirical Dataset</w:t>
            </w:r>
          </w:p>
        </w:tc>
        <w:tc>
          <w:tcPr>
            <w:tcW w:type="dxa" w:w="662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ICRISAT Indian Meso-Level District Agricultural Dataset (12,418 records, 311 districts)</w:t>
            </w:r>
          </w:p>
        </w:tc>
      </w:tr>
      <w:tr>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Target Beneficiaries</w:t>
            </w:r>
          </w:p>
        </w:tc>
        <w:tc>
          <w:tcPr>
            <w:tcW w:type="dxa" w:w="66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Smallholder Farmers, Agronomists, Cooperatives &amp; Agricultural Administrators</w:t>
            </w:r>
          </w:p>
        </w:tc>
      </w:tr>
      <w:tr>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Project Milestone &amp; Status</w:t>
            </w:r>
          </w:p>
        </w:tc>
        <w:tc>
          <w:tcPr>
            <w:tcW w:type="dxa" w:w="662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Final Integrated Project Submission &amp; Complete System Verification</w:t>
            </w:r>
          </w:p>
        </w:tc>
      </w:tr>
      <w:tr>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Submission Date</w:t>
            </w:r>
          </w:p>
        </w:tc>
        <w:tc>
          <w:tcPr>
            <w:tcW w:type="dxa" w:w="662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October 2026</w:t>
            </w:r>
          </w:p>
        </w:tc>
      </w:tr>
    </w:tbl>
    <w:p>
      <w:pPr>
        <w:spacing w:before="0" w:after="60" w:line="276" w:lineRule="auto"/>
        <w:jc w:val="left"/>
      </w:pP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80" w:type="dxa"/>
              <w:right w:w="180" w:type="dxa"/>
            </w:tcMar>
            <w:tcBorders>
              <w:top w:val="single" w:sz="4" w:space="0" w:color="CBD5E1"/>
              <w:bottom w:val="single" w:sz="4" w:space="0" w:color="CBD5E1"/>
              <w:left w:val="single" w:sz="24" w:space="0" w:color="0B6E4F"/>
              <w:right w:val="single" w:sz="4" w:space="0" w:color="CBD5E1"/>
            </w:tcBorders>
          </w:tcPr>
          <w:p>
            <w:pPr>
              <w:spacing w:before="0" w:after="60" w:line="276" w:lineRule="auto"/>
              <w:jc w:val="left"/>
            </w:pPr>
            <w:r>
              <w:rPr>
                <w:rFonts w:ascii="Calibri" w:hAnsi="Calibri"/>
                <w:b/>
                <w:color w:val="0B6E4F"/>
                <w:sz w:val="21"/>
              </w:rPr>
              <w:t>🌾 Project Purpose &amp; Scope</w:t>
              <w:br/>
            </w:r>
            <w:r>
              <w:rPr>
                <w:rFonts w:ascii="Calibri" w:hAnsi="Calibri"/>
                <w:color w:val="1F2937"/>
                <w:sz w:val="20"/>
              </w:rPr>
              <w:t>This comprehensive final project report documents the design, empirical machine-learning formulation, backend microservices architecture, frontend user experience, role-based governance controls, end-to-end testing verification, and deployment readiness of AgriYield AI. The system transforms decades of district-level agricultural data into actionable, high-precision yield forecasts paired with localized agronomic recommendations, ensuring data-driven farm empowerment across India.</w:t>
            </w:r>
          </w:p>
        </w:tc>
      </w:tr>
    </w:tbl>
    <w:p>
      <w:pPr>
        <w:spacing w:before="0" w:after="60" w:line="276" w:lineRule="auto"/>
        <w:jc w:val="left"/>
      </w:pPr>
    </w:p>
    <w:p>
      <w:r>
        <w:br w:type="page"/>
      </w:r>
    </w:p>
    <w:p>
      <w:pPr>
        <w:keepNext/>
        <w:spacing w:before="320" w:after="120" w:line="264" w:lineRule="auto"/>
        <w:jc w:val="left"/>
      </w:pPr>
      <w:r>
        <w:rPr>
          <w:rFonts w:ascii="Calibri" w:hAnsi="Calibri"/>
          <w:b/>
          <w:color w:val="0B6E4F"/>
          <w:sz w:val="33"/>
        </w:rPr>
        <w:t>Table of Contents</w:t>
      </w:r>
    </w:p>
    <w:p>
      <w:pPr>
        <w:spacing w:before="40" w:after="40" w:line="276" w:lineRule="auto"/>
        <w:jc w:val="left"/>
      </w:pPr>
      <w:r>
        <w:rPr>
          <w:rFonts w:ascii="Calibri" w:hAnsi="Calibri"/>
          <w:b/>
          <w:color w:val="0B6E4F"/>
          <w:sz w:val="21"/>
        </w:rPr>
        <w:t>• 1. Executive Summary &amp; Project Abstract</w:t>
        <w:br/>
        <w:t xml:space="preserve">  </w:t>
      </w:r>
      <w:r>
        <w:rPr>
          <w:rFonts w:ascii="Calibri" w:hAnsi="Calibri"/>
          <w:i/>
          <w:color w:val="4B5563"/>
          <w:sz w:val="19"/>
        </w:rPr>
        <w:t>Comprehensive overview of AgriYield AI, problem context, and delivered solutions.</w:t>
      </w:r>
    </w:p>
    <w:p>
      <w:pPr>
        <w:spacing w:before="40" w:after="40" w:line="276" w:lineRule="auto"/>
        <w:jc w:val="left"/>
      </w:pPr>
      <w:r>
        <w:rPr>
          <w:rFonts w:ascii="Calibri" w:hAnsi="Calibri"/>
          <w:b/>
          <w:color w:val="0B6E4F"/>
          <w:sz w:val="21"/>
        </w:rPr>
        <w:t>• 2. Problem Statement, Research Background &amp; Objectives</w:t>
        <w:br/>
        <w:t xml:space="preserve">  </w:t>
      </w:r>
      <w:r>
        <w:rPr>
          <w:rFonts w:ascii="Calibri" w:hAnsi="Calibri"/>
          <w:i/>
          <w:color w:val="4B5563"/>
          <w:sz w:val="19"/>
        </w:rPr>
        <w:t>Challenges in Indian farming, decision risks, and concrete system objectives.</w:t>
      </w:r>
    </w:p>
    <w:p>
      <w:pPr>
        <w:spacing w:before="40" w:after="40" w:line="276" w:lineRule="auto"/>
        <w:jc w:val="left"/>
      </w:pPr>
      <w:r>
        <w:rPr>
          <w:rFonts w:ascii="Calibri" w:hAnsi="Calibri"/>
          <w:b/>
          <w:color w:val="0B6E4F"/>
          <w:sz w:val="21"/>
        </w:rPr>
        <w:t>• 3. System Architecture &amp; Technology Stack</w:t>
        <w:br/>
        <w:t xml:space="preserve">  </w:t>
      </w:r>
      <w:r>
        <w:rPr>
          <w:rFonts w:ascii="Calibri" w:hAnsi="Calibri"/>
          <w:i/>
          <w:color w:val="4B5563"/>
          <w:sz w:val="19"/>
        </w:rPr>
        <w:t>Multi-tier architecture: Presentation, REST API, ML Engine, Generative AI, and Security.</w:t>
      </w:r>
    </w:p>
    <w:p>
      <w:pPr>
        <w:spacing w:before="40" w:after="40" w:line="276" w:lineRule="auto"/>
        <w:jc w:val="left"/>
      </w:pPr>
      <w:r>
        <w:rPr>
          <w:rFonts w:ascii="Calibri" w:hAnsi="Calibri"/>
          <w:b/>
          <w:color w:val="0B6E4F"/>
          <w:sz w:val="21"/>
        </w:rPr>
        <w:t>• 4. Dataset Engineering &amp; Machine Learning Formulation</w:t>
        <w:br/>
        <w:t xml:space="preserve">  </w:t>
      </w:r>
      <w:r>
        <w:rPr>
          <w:rFonts w:ascii="Calibri" w:hAnsi="Calibri"/>
          <w:i/>
          <w:color w:val="4B5563"/>
          <w:sz w:val="19"/>
        </w:rPr>
        <w:t>ICRISAT district agricultural dataset, feature engineering, lag metrics, and XGBoost evaluation.</w:t>
      </w:r>
    </w:p>
    <w:p>
      <w:pPr>
        <w:spacing w:before="40" w:after="40" w:line="276" w:lineRule="auto"/>
        <w:jc w:val="left"/>
      </w:pPr>
      <w:r>
        <w:rPr>
          <w:rFonts w:ascii="Calibri" w:hAnsi="Calibri"/>
          <w:b/>
          <w:color w:val="0B6E4F"/>
          <w:sz w:val="21"/>
        </w:rPr>
        <w:t>• 5. System Modules &amp; Functional Breakdown</w:t>
        <w:br/>
        <w:t xml:space="preserve">  </w:t>
      </w:r>
      <w:r>
        <w:rPr>
          <w:rFonts w:ascii="Calibri" w:hAnsi="Calibri"/>
          <w:i/>
          <w:color w:val="4B5563"/>
          <w:sz w:val="19"/>
        </w:rPr>
        <w:t>Ten functional subsystems powering farmer enablement and administrative oversight.</w:t>
      </w:r>
    </w:p>
    <w:p>
      <w:pPr>
        <w:spacing w:before="40" w:after="40" w:line="276" w:lineRule="auto"/>
        <w:jc w:val="left"/>
      </w:pPr>
      <w:r>
        <w:rPr>
          <w:rFonts w:ascii="Calibri" w:hAnsi="Calibri"/>
          <w:b/>
          <w:color w:val="0B6E4F"/>
          <w:sz w:val="21"/>
        </w:rPr>
        <w:t>• 6. Farmer Experience &amp; Screen Walkthrough (Figures 1 – 17)</w:t>
        <w:br/>
        <w:t xml:space="preserve">  </w:t>
      </w:r>
      <w:r>
        <w:rPr>
          <w:rFonts w:ascii="Calibri" w:hAnsi="Calibri"/>
          <w:i/>
          <w:color w:val="4B5563"/>
          <w:sz w:val="19"/>
        </w:rPr>
        <w:t>Deep visual and technical walkthrough of public landing, authentication, dashboard, predictor, and tools.</w:t>
      </w:r>
    </w:p>
    <w:p>
      <w:pPr>
        <w:spacing w:before="40" w:after="40" w:line="276" w:lineRule="auto"/>
        <w:jc w:val="left"/>
      </w:pPr>
      <w:r>
        <w:rPr>
          <w:rFonts w:ascii="Calibri" w:hAnsi="Calibri"/>
          <w:b/>
          <w:color w:val="0B6E4F"/>
          <w:sz w:val="21"/>
        </w:rPr>
        <w:t>• 7. Administrator Experience &amp; Governance Controls (Figures 18 – 21)</w:t>
        <w:br/>
        <w:t xml:space="preserve">  </w:t>
      </w:r>
      <w:r>
        <w:rPr>
          <w:rFonts w:ascii="Calibri" w:hAnsi="Calibri"/>
          <w:i/>
          <w:color w:val="4B5563"/>
          <w:sz w:val="19"/>
        </w:rPr>
        <w:t>Command center, user administration, global prediction monitoring, and authentication audit logs.</w:t>
      </w:r>
    </w:p>
    <w:p>
      <w:pPr>
        <w:spacing w:before="40" w:after="40" w:line="276" w:lineRule="auto"/>
        <w:jc w:val="left"/>
      </w:pPr>
      <w:r>
        <w:rPr>
          <w:rFonts w:ascii="Calibri" w:hAnsi="Calibri"/>
          <w:b/>
          <w:color w:val="0B6E4F"/>
          <w:sz w:val="21"/>
        </w:rPr>
        <w:t>• 8. Backend REST API Architecture &amp; Endpoints</w:t>
        <w:br/>
        <w:t xml:space="preserve">  </w:t>
      </w:r>
      <w:r>
        <w:rPr>
          <w:rFonts w:ascii="Calibri" w:hAnsi="Calibri"/>
          <w:i/>
          <w:color w:val="4B5563"/>
          <w:sz w:val="19"/>
        </w:rPr>
        <w:t>Comprehensive specification of FastAPI endpoints, schemas, authentication, and HTTP responses.</w:t>
      </w:r>
    </w:p>
    <w:p>
      <w:pPr>
        <w:spacing w:before="40" w:after="40" w:line="276" w:lineRule="auto"/>
        <w:jc w:val="left"/>
      </w:pPr>
      <w:r>
        <w:rPr>
          <w:rFonts w:ascii="Calibri" w:hAnsi="Calibri"/>
          <w:b/>
          <w:color w:val="0B6E4F"/>
          <w:sz w:val="21"/>
        </w:rPr>
        <w:t>• 9. System Testing, Verification &amp; API Evidence (Figures 22 – 24)</w:t>
        <w:br/>
        <w:t xml:space="preserve">  </w:t>
      </w:r>
      <w:r>
        <w:rPr>
          <w:rFonts w:ascii="Calibri" w:hAnsi="Calibri"/>
          <w:i/>
          <w:color w:val="4B5563"/>
          <w:sz w:val="19"/>
        </w:rPr>
        <w:t>End-to-end automated testing, endpoint verification evidence, security lockout tests, and build validation.</w:t>
      </w:r>
    </w:p>
    <w:p>
      <w:pPr>
        <w:spacing w:before="40" w:after="40" w:line="276" w:lineRule="auto"/>
        <w:jc w:val="left"/>
      </w:pPr>
      <w:r>
        <w:rPr>
          <w:rFonts w:ascii="Calibri" w:hAnsi="Calibri"/>
          <w:b/>
          <w:color w:val="0B6E4F"/>
          <w:sz w:val="21"/>
        </w:rPr>
        <w:t>• 10. Security Controls, Reliability &amp; Performance Engineering</w:t>
        <w:br/>
        <w:t xml:space="preserve">  </w:t>
      </w:r>
      <w:r>
        <w:rPr>
          <w:rFonts w:ascii="Calibri" w:hAnsi="Calibri"/>
          <w:i/>
          <w:color w:val="4B5563"/>
          <w:sz w:val="19"/>
        </w:rPr>
        <w:t>Bcrypt hashing, JWT tokens, 5-strike brute-force lockout, role authorization, and fallback resilience.</w:t>
      </w:r>
    </w:p>
    <w:p>
      <w:pPr>
        <w:spacing w:before="40" w:after="40" w:line="276" w:lineRule="auto"/>
        <w:jc w:val="left"/>
      </w:pPr>
      <w:r>
        <w:rPr>
          <w:rFonts w:ascii="Calibri" w:hAnsi="Calibri"/>
          <w:b/>
          <w:color w:val="0B6E4F"/>
          <w:sz w:val="21"/>
        </w:rPr>
        <w:t>• 11. Results, Agronomic Impact &amp; Usability Analysis</w:t>
        <w:br/>
        <w:t xml:space="preserve">  </w:t>
      </w:r>
      <w:r>
        <w:rPr>
          <w:rFonts w:ascii="Calibri" w:hAnsi="Calibri"/>
          <w:i/>
          <w:color w:val="4B5563"/>
          <w:sz w:val="19"/>
        </w:rPr>
        <w:t>Empirical prediction outcomes, farmer workflow efficiency, and agricultural economic benefits.</w:t>
      </w:r>
    </w:p>
    <w:p>
      <w:pPr>
        <w:spacing w:before="40" w:after="40" w:line="276" w:lineRule="auto"/>
        <w:jc w:val="left"/>
      </w:pPr>
      <w:r>
        <w:rPr>
          <w:rFonts w:ascii="Calibri" w:hAnsi="Calibri"/>
          <w:b/>
          <w:color w:val="0B6E4F"/>
          <w:sz w:val="21"/>
        </w:rPr>
        <w:t>• 12. Limitations &amp; Edge Cases</w:t>
        <w:br/>
        <w:t xml:space="preserve">  </w:t>
      </w:r>
      <w:r>
        <w:rPr>
          <w:rFonts w:ascii="Calibri" w:hAnsi="Calibri"/>
          <w:i/>
          <w:color w:val="4B5563"/>
          <w:sz w:val="19"/>
        </w:rPr>
        <w:t>Granularity limitations, database concurrency scope, and external AI dependencies.</w:t>
      </w:r>
    </w:p>
    <w:p>
      <w:pPr>
        <w:spacing w:before="40" w:after="40" w:line="276" w:lineRule="auto"/>
        <w:jc w:val="left"/>
      </w:pPr>
      <w:r>
        <w:rPr>
          <w:rFonts w:ascii="Calibri" w:hAnsi="Calibri"/>
          <w:b/>
          <w:color w:val="0B6E4F"/>
          <w:sz w:val="21"/>
        </w:rPr>
        <w:t>• 13. Future Roadmap &amp; Commercialization</w:t>
        <w:br/>
        <w:t xml:space="preserve">  </w:t>
      </w:r>
      <w:r>
        <w:rPr>
          <w:rFonts w:ascii="Calibri" w:hAnsi="Calibri"/>
          <w:i/>
          <w:color w:val="4B5563"/>
          <w:sz w:val="19"/>
        </w:rPr>
        <w:t>PostgreSQL migration, satellite NDVI telemetry, IoT sensor integration, and mobile apps.</w:t>
      </w:r>
    </w:p>
    <w:p>
      <w:pPr>
        <w:spacing w:before="40" w:after="40" w:line="276" w:lineRule="auto"/>
        <w:jc w:val="left"/>
      </w:pPr>
      <w:r>
        <w:rPr>
          <w:rFonts w:ascii="Calibri" w:hAnsi="Calibri"/>
          <w:b/>
          <w:color w:val="0B6E4F"/>
          <w:sz w:val="21"/>
        </w:rPr>
        <w:t>• 14. Conclusion</w:t>
        <w:br/>
        <w:t xml:space="preserve">  </w:t>
      </w:r>
      <w:r>
        <w:rPr>
          <w:rFonts w:ascii="Calibri" w:hAnsi="Calibri"/>
          <w:i/>
          <w:color w:val="4B5563"/>
          <w:sz w:val="19"/>
        </w:rPr>
        <w:t>Final synthesis of project achievements and closing remarks.</w:t>
      </w:r>
    </w:p>
    <w:p>
      <w:pPr>
        <w:spacing w:before="40" w:after="40" w:line="276" w:lineRule="auto"/>
        <w:jc w:val="left"/>
      </w:pPr>
      <w:r>
        <w:rPr>
          <w:rFonts w:ascii="Calibri" w:hAnsi="Calibri"/>
          <w:b/>
          <w:color w:val="0B6E4F"/>
          <w:sz w:val="21"/>
        </w:rPr>
        <w:t>• 15. References &amp; Data Sources</w:t>
        <w:br/>
        <w:t xml:space="preserve">  </w:t>
      </w:r>
      <w:r>
        <w:rPr>
          <w:rFonts w:ascii="Calibri" w:hAnsi="Calibri"/>
          <w:i/>
          <w:color w:val="4B5563"/>
          <w:sz w:val="19"/>
        </w:rPr>
        <w:t>Formal academic, technical, and data citations.</w:t>
      </w:r>
    </w:p>
    <w:p>
      <w:r>
        <w:br w:type="page"/>
      </w:r>
    </w:p>
    <w:p>
      <w:pPr>
        <w:keepNext/>
        <w:spacing w:before="320" w:after="120" w:line="264" w:lineRule="auto"/>
        <w:jc w:val="left"/>
      </w:pPr>
      <w:r>
        <w:rPr>
          <w:rFonts w:ascii="Calibri" w:hAnsi="Calibri"/>
          <w:b/>
          <w:color w:val="0B6E4F"/>
          <w:sz w:val="33"/>
        </w:rPr>
        <w:t>List of Figures &amp; Screen Evidence</w:t>
      </w:r>
    </w:p>
    <w:p>
      <w:pPr>
        <w:spacing w:before="0" w:after="80" w:line="276" w:lineRule="auto"/>
        <w:jc w:val="left"/>
      </w:pPr>
      <w:r>
        <w:rPr>
          <w:rFonts w:ascii="Calibri" w:hAnsi="Calibri"/>
          <w:b w:val="0"/>
          <w:i/>
          <w:color w:val="1F2937"/>
          <w:sz w:val="20"/>
        </w:rPr>
        <w:t>This report contains 24 high-resolution figures representing actual screens, workflows, administrative controls, and API testing evidence captured from the operational AgriYield AI system:</w:t>
      </w:r>
    </w:p>
    <w:tbl>
      <w:tblPr>
        <w:tblW w:type="auto" w:w="0"/>
        <w:jc w:val="center"/>
        <w:tblLayout w:type="fixed"/>
        <w:tblLook w:firstColumn="1" w:firstRow="1" w:lastColumn="0" w:lastRow="0" w:noHBand="0" w:noVBand="1" w:val="04A0"/>
      </w:tblPr>
      <w:tblGrid>
        <w:gridCol w:w="3360"/>
        <w:gridCol w:w="3360"/>
        <w:gridCol w:w="3360"/>
      </w:tblGrid>
      <w:tr>
        <w:tc>
          <w:tcPr>
            <w:tcW w:type="dxa" w:w="158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Figure #</w:t>
            </w:r>
          </w:p>
        </w:tc>
        <w:tc>
          <w:tcPr>
            <w:tcW w:type="dxa" w:w="547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Visual Caption &amp; Screen Title</w:t>
            </w:r>
          </w:p>
        </w:tc>
        <w:tc>
          <w:tcPr>
            <w:tcW w:type="dxa" w:w="2736"/>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Source Image Asset</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 Landing Page &amp; Unified Agricultural Portal</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Images/main_page.png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2</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Role-Aware Authentication &amp; Sign-In Interface</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Images/signin_farmer_admin.png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3</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&amp; Administrator Registration System</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Images/Register_farmer_admin.png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4</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Operational Command Center &amp; Agricultural Overview</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Images/farmer_dashboard.png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5</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Multilingual Localization &amp; Regional Language Accessibility</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Images/lanuages.png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6</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Crop Yield Prediction Input Form &amp; AI Mode Selector</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Images/yield_predictor_1.png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7</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Machine Learning Yield Forecast Output &amp; Agronomic Advisory</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Images/yield_predictor_2.png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8</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Soil NPK Nutrient Balance &amp; Crop-Specific Fertilizer Advisory</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Images/soil_npk.png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9</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Comprehensive Soil Health, Moisture &amp; Deficiencies Evaluation</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Images/soil_analysis.png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10</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Multi-Crop Comparative Analysis &amp; Economic Planning</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Images/multi_crop.png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11</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Historical Prediction Telemetry &amp; Farmer Activity Records</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Images/farmer_logs.png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12</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AI Agronomist Interactive Chat &amp; Contextual Advisory Assistant</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Images/ai_assistant.png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13</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Utility Suite &amp; Specialized Agronomic Tools Hub</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Images/farmer_tools.png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14</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Agro-Meteorological Weather Monitoring &amp; Microclimate Analysis</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Images/weather_analysis.png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15</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Multi-Season Crop Rotation &amp; Soil Fertility Replenishment Planner</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Images/crop_rotation.png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16</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Precision Seed Quantity &amp; Sowing Density Calculator</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Images/seed_quantity_calcultor.png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17</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Integrated Pest &amp; Disease Diagnostic Decision System</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Images/pest_disease_diagonsis.png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18</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Administrator Platform Intelligence &amp; Operations Dashboard</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Images/admin_dashboard.png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19</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User Lifecycle Administration &amp; Role-Based Access Control</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Images/user_management.png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20</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Platform-Wide Prediction Activity Telemetry &amp; Monitoring</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Images/prediction_monitoring.png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21</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Security Audit Trail &amp; Authentication Event Logging</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Images/authentication_login_audit_trail_logs.png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22</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Automated API Verification: User Registration Endpoint</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Images/api_testing_register_endpoint.png</w:t>
            </w:r>
          </w:p>
        </w:tc>
      </w:tr>
      <w:tr>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23</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Automated API Verification: OAuth2/JWT Authentication Login Endpoint</w:t>
            </w:r>
          </w:p>
        </w:tc>
        <w:tc>
          <w:tcPr>
            <w:tcW w:type="dxa" w:w="273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Images/api_testing_login_endpoint.png</w:t>
            </w:r>
          </w:p>
        </w:tc>
      </w:tr>
      <w:tr>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Figure 24</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Automated API Verification: Machine Learning Inference Endpoint</w:t>
            </w:r>
          </w:p>
        </w:tc>
        <w:tc>
          <w:tcPr>
            <w:tcW w:type="dxa" w:w="273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Images/api_testing_predict_endpoint.png</w:t>
            </w:r>
          </w:p>
        </w:tc>
      </w:tr>
    </w:tbl>
    <w:p>
      <w:pPr>
        <w:spacing w:before="0" w:after="60" w:line="276" w:lineRule="auto"/>
        <w:jc w:val="left"/>
      </w:pPr>
    </w:p>
    <w:p>
      <w:r>
        <w:br w:type="page"/>
      </w:r>
    </w:p>
    <w:p>
      <w:pPr>
        <w:keepNext/>
        <w:spacing w:before="320" w:after="120" w:line="264" w:lineRule="auto"/>
        <w:jc w:val="left"/>
      </w:pPr>
      <w:r>
        <w:rPr>
          <w:rFonts w:ascii="Calibri" w:hAnsi="Calibri"/>
          <w:b/>
          <w:color w:val="0B6E4F"/>
          <w:sz w:val="33"/>
        </w:rPr>
        <w:t>1. Executive Summary &amp; Project Abstract</w:t>
      </w:r>
    </w:p>
    <w:p>
      <w:pPr>
        <w:spacing w:before="0" w:after="80" w:line="276" w:lineRule="auto"/>
        <w:jc w:val="left"/>
      </w:pPr>
      <w:r>
        <w:rPr>
          <w:rFonts w:ascii="Calibri" w:hAnsi="Calibri"/>
          <w:b w:val="0"/>
          <w:i w:val="0"/>
          <w:color w:val="1F2937"/>
          <w:sz w:val="21"/>
        </w:rPr>
        <w:t>AgriYield AI is an enterprise-grade agricultural intelligence and decision-support platform designed to transform longitudinal Indian district-level agricultural data into actionable, high-precision crop yield forecasts and contextual agronomic advisory. Agriculture forms the economic backbone of India, employing over 45% of the national workforce and contributing significantly to gross domestic product. Despite its pivotal importance, farm-level planning remains acutely vulnerable to erratic monsoon cycles, volatile weather patterns, suboptimal crop selection, and fragmented agro-advisory. Traditional yield estimation relies on post-harvest crop-cutting experiments (CCEs), which arrive months too late for preventive operational decision-making.</w:t>
      </w:r>
    </w:p>
    <w:p>
      <w:pPr>
        <w:spacing w:before="0" w:after="80" w:line="276" w:lineRule="auto"/>
        <w:jc w:val="left"/>
      </w:pPr>
      <w:r>
        <w:rPr>
          <w:rFonts w:ascii="Calibri" w:hAnsi="Calibri"/>
          <w:b w:val="0"/>
          <w:i w:val="0"/>
          <w:color w:val="1F2937"/>
          <w:sz w:val="21"/>
        </w:rPr>
        <w:t>AgriYield AI bridges this critical informational gap through a synchronized, modern multi-tier web platform. The core intelligence engine is powered by an Extreme Gradient Boosting (XGBoost) regression model trained on 38 years of empirical agricultural data from the International Crops Research Institute for the Semi-Arid Tropics (ICRISAT). The model demonstrates state-of-the-art predictive performance, achieving an R² score of 0.8540, a Mean Absolute Error (MAE) of 237.72 Kg/ha, and a Root Mean Squared Error (RMSE) of 583.04 Kg/ha on held-out temporal test splits.</w:t>
      </w:r>
    </w:p>
    <w:p>
      <w:pPr>
        <w:spacing w:before="0" w:after="80" w:line="276" w:lineRule="auto"/>
        <w:jc w:val="left"/>
      </w:pPr>
      <w:r>
        <w:rPr>
          <w:rFonts w:ascii="Calibri" w:hAnsi="Calibri"/>
          <w:b w:val="0"/>
          <w:i w:val="0"/>
          <w:color w:val="1F2937"/>
          <w:sz w:val="21"/>
        </w:rPr>
        <w:t>To translate raw numerical forecasts into practical farm-level actions, AgriYield AI integrates a dual Large Language Model (LLM) advisory subsystem utilizing Google Gemini 1.5 Flash and Groq Cloud (LLaMA 3.3 70B). This system generates localized, step-by-step agronomic guidelines spanning seedbed preparation, micro-irrigation scheduling, balanced NPK fertilization, pest prophylaxis, and harvest timing. Crucially, recognizing the connectivity constraints of rural farming communities, the platform features an instantaneous offline deterministic fallback engine ('Instant ML Mode'), ensuring zero-latency prediction delivery even during third-party AI downtime or network degradation.</w:t>
      </w:r>
    </w:p>
    <w:p>
      <w:pPr>
        <w:spacing w:before="0" w:after="80" w:line="276" w:lineRule="auto"/>
        <w:jc w:val="left"/>
      </w:pPr>
      <w:r>
        <w:rPr>
          <w:rFonts w:ascii="Calibri" w:hAnsi="Calibri"/>
          <w:b w:val="0"/>
          <w:i w:val="0"/>
          <w:color w:val="1F2937"/>
          <w:sz w:val="21"/>
        </w:rPr>
        <w:t>The user experience is delivered through a high-performance React 19 single-page application supported by a robust FastAPI backend. The application implements role-based access control (RBAC) separating Farmers and System Administrators, features complete multilingual localization across major Indian regional languages, and provides a comprehensive farmer utility suite encompassing soil health analysis, multi-crop comparative economics, agro-meteorological weather tracking, multi-season crop rotation planning, precision seed calculators, and symptom-based pest diagnosis. Enterprise administration is reinforced by exhaustive telemetry, real-time user lifecycle management, brute-force security controls, and immutable authentication audit trails.</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80" w:type="dxa"/>
              <w:right w:w="180" w:type="dxa"/>
            </w:tcMar>
            <w:tcBorders>
              <w:top w:val="single" w:sz="4" w:space="0" w:color="CBD5E1"/>
              <w:bottom w:val="single" w:sz="4" w:space="0" w:color="CBD5E1"/>
              <w:left w:val="single" w:sz="24" w:space="0" w:color="0B6E4F"/>
              <w:right w:val="single" w:sz="4" w:space="0" w:color="CBD5E1"/>
            </w:tcBorders>
          </w:tcPr>
          <w:p>
            <w:pPr>
              <w:spacing w:before="0" w:after="60" w:line="276" w:lineRule="auto"/>
              <w:jc w:val="left"/>
            </w:pPr>
            <w:r>
              <w:rPr>
                <w:rFonts w:ascii="Calibri" w:hAnsi="Calibri"/>
                <w:b/>
                <w:color w:val="0B6E4F"/>
                <w:sz w:val="21"/>
              </w:rPr>
              <w:t>🎯 Executive Deliverable Highlights</w:t>
              <w:br/>
            </w:r>
            <w:r>
              <w:rPr>
                <w:rFonts w:ascii="Calibri" w:hAnsi="Calibri"/>
                <w:color w:val="1F2937"/>
                <w:sz w:val="20"/>
              </w:rPr>
              <w:t>• Core ML Performance: XGBoost Regressor achieving R² = 0.8540 across 20 Indian states and 311 districts.</w:t>
              <w:br/>
              <w:t>• Hybrid AI Architecture: Bounded 8s LLM reasoning (Gemini / Groq) with seamless Instant ML fallback.</w:t>
              <w:br/>
              <w:t>• Inclusive Localization: Multilingual support enabling seamless regional accessibility for Indian farmers.</w:t>
              <w:br/>
              <w:t>• Holistic Utility Suite: Six specialized calculators and advisory modules integrated into a unified portal.</w:t>
              <w:br/>
              <w:t>• Enterprise Governance: Bcrypt hashing, JWT tokens, 5-strike brute-force lockout, and immutable audit logs.</w:t>
            </w:r>
          </w:p>
        </w:tc>
      </w:tr>
    </w:tbl>
    <w:p>
      <w:pPr>
        <w:spacing w:before="0" w:after="60" w:line="276" w:lineRule="auto"/>
        <w:jc w:val="left"/>
      </w:pPr>
    </w:p>
    <w:p>
      <w:r>
        <w:br w:type="page"/>
      </w:r>
    </w:p>
    <w:p>
      <w:pPr>
        <w:keepNext/>
        <w:spacing w:before="320" w:after="120" w:line="264" w:lineRule="auto"/>
        <w:jc w:val="left"/>
      </w:pPr>
      <w:r>
        <w:rPr>
          <w:rFonts w:ascii="Calibri" w:hAnsi="Calibri"/>
          <w:b/>
          <w:color w:val="0B6E4F"/>
          <w:sz w:val="33"/>
        </w:rPr>
        <w:t>2. Problem Statement, Research Background &amp; Objectives</w:t>
      </w:r>
    </w:p>
    <w:p>
      <w:pPr>
        <w:keepNext/>
        <w:spacing w:before="220" w:after="80" w:line="264" w:lineRule="auto"/>
        <w:jc w:val="left"/>
      </w:pPr>
      <w:r>
        <w:rPr>
          <w:rFonts w:ascii="Calibri" w:hAnsi="Calibri"/>
          <w:b/>
          <w:color w:val="1F4E3D"/>
          <w:sz w:val="26"/>
        </w:rPr>
        <w:t>2.1 Problem Statement</w:t>
      </w:r>
    </w:p>
    <w:p>
      <w:pPr>
        <w:spacing w:before="0" w:after="80" w:line="276" w:lineRule="auto"/>
        <w:jc w:val="left"/>
      </w:pPr>
      <w:r>
        <w:rPr>
          <w:rFonts w:ascii="Calibri" w:hAnsi="Calibri"/>
          <w:b w:val="0"/>
          <w:i w:val="0"/>
          <w:color w:val="1F2937"/>
          <w:sz w:val="21"/>
        </w:rPr>
        <w:t>Agricultural decision-making across Indian rural ecosystems faces severe systemic vulnerabilities characterized by three acute structural bottlenecks:</w:t>
      </w:r>
    </w:p>
    <w:p>
      <w:pPr>
        <w:pStyle w:val="ListBullet"/>
        <w:spacing w:before="20" w:after="60" w:line="276" w:lineRule="auto"/>
        <w:jc w:val="left"/>
      </w:pPr>
      <w:r>
        <w:rPr>
          <w:rFonts w:ascii="Calibri" w:hAnsi="Calibri"/>
          <w:b/>
          <w:color w:val="1F2937"/>
          <w:sz w:val="21"/>
        </w:rPr>
        <w:t>1. Information Asymmetry &amp; Crop Mismatch:</w:t>
      </w:r>
      <w:r>
        <w:rPr>
          <w:rFonts w:ascii="Calibri" w:hAnsi="Calibri"/>
          <w:color w:val="1F2937"/>
          <w:sz w:val="21"/>
        </w:rPr>
        <w:t xml:space="preserve"> Farmers typically rely on traditional heuristics or localized ancestral habits when deciding which crops to sow, ignoring macro-scale climate shifts, historical regional productivity records, and soil depletion indicators.</w:t>
      </w:r>
    </w:p>
    <w:p>
      <w:pPr>
        <w:pStyle w:val="ListBullet"/>
        <w:spacing w:before="20" w:after="60" w:line="276" w:lineRule="auto"/>
        <w:jc w:val="left"/>
      </w:pPr>
      <w:r>
        <w:rPr>
          <w:rFonts w:ascii="Calibri" w:hAnsi="Calibri"/>
          <w:b/>
          <w:color w:val="1F2937"/>
          <w:sz w:val="21"/>
        </w:rPr>
        <w:t>2. Weather Uncertainty &amp; Climate Volatility:</w:t>
      </w:r>
      <w:r>
        <w:rPr>
          <w:rFonts w:ascii="Calibri" w:hAnsi="Calibri"/>
          <w:color w:val="1F2937"/>
          <w:sz w:val="21"/>
        </w:rPr>
        <w:t xml:space="preserve"> Standard meteorological broadcasts provide general regional alerts but fail to provide farm-specific, crop-aligned operational guidance regarding sowing windows, moisture stress, and evaporation management.</w:t>
      </w:r>
    </w:p>
    <w:p>
      <w:pPr>
        <w:pStyle w:val="ListBullet"/>
        <w:spacing w:before="20" w:after="60" w:line="276" w:lineRule="auto"/>
        <w:jc w:val="left"/>
      </w:pPr>
      <w:r>
        <w:rPr>
          <w:rFonts w:ascii="Calibri" w:hAnsi="Calibri"/>
          <w:b/>
          <w:color w:val="1F2937"/>
          <w:sz w:val="21"/>
        </w:rPr>
        <w:t>3. Inaccessible &amp; Delayed Agro-Advisory:</w:t>
      </w:r>
      <w:r>
        <w:rPr>
          <w:rFonts w:ascii="Calibri" w:hAnsi="Calibri"/>
          <w:color w:val="1F2937"/>
          <w:sz w:val="21"/>
        </w:rPr>
        <w:t xml:space="preserve"> Official agricultural extension services (Krishi Vigyan Kendras) have a limited personnel ratio relative to the farming population, resulting in delayed, generic, or inaccessible advisory for smallholder farmers.</w:t>
      </w:r>
    </w:p>
    <w:p>
      <w:pPr>
        <w:pStyle w:val="ListBullet"/>
        <w:spacing w:before="20" w:after="60" w:line="276" w:lineRule="auto"/>
        <w:jc w:val="left"/>
      </w:pPr>
      <w:r>
        <w:rPr>
          <w:rFonts w:ascii="Calibri" w:hAnsi="Calibri"/>
          <w:b/>
          <w:color w:val="1F2937"/>
          <w:sz w:val="21"/>
        </w:rPr>
        <w:t>4. Unbalanced Nutrient &amp; Chemical Application:</w:t>
      </w:r>
      <w:r>
        <w:rPr>
          <w:rFonts w:ascii="Calibri" w:hAnsi="Calibri"/>
          <w:color w:val="1F2937"/>
          <w:sz w:val="21"/>
        </w:rPr>
        <w:t xml:space="preserve"> Unscientific fertilizer application (particularly excessive nitrogenous urea application) severely disrupts the soil's natural N-P-K balance, degrading arable land, accelerating soil acidification, and escalating input costs without commensurate yield gains.</w:t>
      </w:r>
    </w:p>
    <w:p>
      <w:pPr>
        <w:keepNext/>
        <w:spacing w:before="220" w:after="80" w:line="264" w:lineRule="auto"/>
        <w:jc w:val="left"/>
      </w:pPr>
      <w:r>
        <w:rPr>
          <w:rFonts w:ascii="Calibri" w:hAnsi="Calibri"/>
          <w:b/>
          <w:color w:val="1F4E3D"/>
          <w:sz w:val="26"/>
        </w:rPr>
        <w:t>2.2 Research Background &amp; Prior Work</w:t>
      </w:r>
    </w:p>
    <w:p>
      <w:pPr>
        <w:spacing w:before="0" w:after="80" w:line="276" w:lineRule="auto"/>
        <w:jc w:val="left"/>
      </w:pPr>
      <w:r>
        <w:rPr>
          <w:rFonts w:ascii="Calibri" w:hAnsi="Calibri"/>
          <w:b w:val="0"/>
          <w:i w:val="0"/>
          <w:color w:val="1F2937"/>
          <w:sz w:val="21"/>
        </w:rPr>
        <w:t>Prior attempts in agricultural computing have largely fallen into two polarized extremes: purely academic statistical regression papers that lack an interactive web interface, or basic web calculators that rely on static, linear lookup tables without machine learning adaptability. Furthermore, existing commercial farm-management solutions frequently require complex proprietary IoT hardware installations that are economically unfeasible for small and marginal farmers owning less than two hectares of land.</w:t>
      </w:r>
    </w:p>
    <w:p>
      <w:pPr>
        <w:spacing w:before="0" w:after="80" w:line="276" w:lineRule="auto"/>
        <w:jc w:val="left"/>
      </w:pPr>
      <w:r>
        <w:rPr>
          <w:rFonts w:ascii="Calibri" w:hAnsi="Calibri"/>
          <w:b w:val="0"/>
          <w:i w:val="0"/>
          <w:color w:val="1F2937"/>
          <w:sz w:val="21"/>
        </w:rPr>
        <w:t>AgriYield AI bridges this research gap by demonstrating an accessible, software-driven paradigm. By leveraging open district-level agricultural records curated over four decades by ICRISAT and government statistical bureaus, the system trains advanced gradient-boosted decision tree ensembles capable of modeling non-linear agronomic dependencies. Coupled with modern API microservices and lightweight mobile-first web technologies, AgriYield AI democratizes high-tier agricultural data science for everyday farmers.</w:t>
      </w:r>
    </w:p>
    <w:p>
      <w:pPr>
        <w:keepNext/>
        <w:spacing w:before="220" w:after="80" w:line="264" w:lineRule="auto"/>
        <w:jc w:val="left"/>
      </w:pPr>
      <w:r>
        <w:rPr>
          <w:rFonts w:ascii="Calibri" w:hAnsi="Calibri"/>
          <w:b/>
          <w:color w:val="1F4E3D"/>
          <w:sz w:val="26"/>
        </w:rPr>
        <w:t>2.3 Concrete Project Objectives</w:t>
      </w:r>
    </w:p>
    <w:p>
      <w:pPr>
        <w:spacing w:before="0" w:after="80" w:line="276" w:lineRule="auto"/>
        <w:jc w:val="left"/>
      </w:pPr>
      <w:r>
        <w:rPr>
          <w:rFonts w:ascii="Calibri" w:hAnsi="Calibri"/>
          <w:b w:val="0"/>
          <w:i w:val="0"/>
          <w:color w:val="1F2937"/>
          <w:sz w:val="21"/>
        </w:rPr>
        <w:t>The development of AgriYield AI was governed by five core engineering and domain objectives:</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Objective ID</w:t>
            </w:r>
          </w:p>
        </w:tc>
        <w:tc>
          <w:tcPr>
            <w:tcW w:type="dxa" w:w="259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Target Area</w:t>
            </w:r>
          </w:p>
        </w:tc>
        <w:tc>
          <w:tcPr>
            <w:tcW w:type="dxa" w:w="547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Specific Measurable Goal</w:t>
            </w:r>
          </w:p>
        </w:tc>
      </w:tr>
      <w:tr>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OBJ-01</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Yield Forecasting</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Develop and validate an XGBoost regression model achieving R² &gt; 0.80 and MAE &lt; 250 Kg/ha on held-out temporal Indian agricultural test data.</w:t>
            </w:r>
          </w:p>
        </w:tc>
      </w:tr>
      <w:tr>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OBJ-02</w:t>
            </w:r>
          </w:p>
        </w:tc>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Contextual Advisory</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Integrate dual generative AI providers (Gemini 1.5 Flash &amp; Groq LLaMA 3.3) with strict 8s bounded timeouts and instant local fallback.</w:t>
            </w:r>
          </w:p>
        </w:tc>
      </w:tr>
      <w:tr>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OBJ-03</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Utilities</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Deliver six dedicated farm-support tools: Soil NPK analysis, multi-crop comparison, weather monitoring, crop rotation, seed rate, and pest diagnosis.</w:t>
            </w:r>
          </w:p>
        </w:tc>
      </w:tr>
      <w:tr>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OBJ-04</w:t>
            </w:r>
          </w:p>
        </w:tc>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Enterprise Security</w:t>
            </w:r>
          </w:p>
        </w:tc>
        <w:tc>
          <w:tcPr>
            <w:tcW w:type="dxa" w:w="54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Implement role-based access control (RBAC), signed JWT sessions, Bcrypt password hashing, and automated 5-strike brute-force lockout.</w:t>
            </w:r>
          </w:p>
        </w:tc>
      </w:tr>
      <w:tr>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OBJ-05</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Platform Governance</w:t>
            </w:r>
          </w:p>
        </w:tc>
        <w:tc>
          <w:tcPr>
            <w:tcW w:type="dxa" w:w="54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Provide administrators with centralized monitoring, user status management, dataset versioning, audit logging, and CSV reporting.</w:t>
            </w:r>
          </w:p>
        </w:tc>
      </w:tr>
    </w:tbl>
    <w:p>
      <w:pPr>
        <w:spacing w:before="0" w:after="60" w:line="276" w:lineRule="auto"/>
        <w:jc w:val="left"/>
      </w:pPr>
    </w:p>
    <w:p>
      <w:r>
        <w:br w:type="page"/>
      </w:r>
    </w:p>
    <w:p>
      <w:pPr>
        <w:keepNext/>
        <w:spacing w:before="320" w:after="120" w:line="264" w:lineRule="auto"/>
        <w:jc w:val="left"/>
      </w:pPr>
      <w:r>
        <w:rPr>
          <w:rFonts w:ascii="Calibri" w:hAnsi="Calibri"/>
          <w:b/>
          <w:color w:val="0B6E4F"/>
          <w:sz w:val="33"/>
        </w:rPr>
        <w:t>3. System Architecture &amp; Technology Stack</w:t>
      </w:r>
    </w:p>
    <w:p>
      <w:pPr>
        <w:spacing w:before="0" w:after="80" w:line="276" w:lineRule="auto"/>
        <w:jc w:val="left"/>
      </w:pPr>
      <w:r>
        <w:rPr>
          <w:rFonts w:ascii="Calibri" w:hAnsi="Calibri"/>
          <w:b w:val="0"/>
          <w:i w:val="0"/>
          <w:color w:val="1F2937"/>
          <w:sz w:val="21"/>
        </w:rPr>
        <w:t>AgriYield AI is engineered following a decoupled, layered microservices architecture comprising five core tiers: the Presentation Layer, the Application REST API Layer, the Machine Learning Engine Layer, the Generative AI Reasoning Layer, and the Operational Persistence &amp; Security Layer. This modular separation guarantees high maintainability, independent component testability, and resilient error isolation.</w:t>
      </w:r>
    </w:p>
    <w:tbl>
      <w:tblPr>
        <w:tblW w:type="auto" w:w="0"/>
        <w:jc w:val="center"/>
        <w:tblLayout w:type="fixed"/>
        <w:tblLook w:firstColumn="1" w:firstRow="1" w:lastColumn="0" w:lastRow="0" w:noHBand="0" w:noVBand="1" w:val="04A0"/>
      </w:tblPr>
      <w:tblGrid>
        <w:gridCol w:w="3360"/>
        <w:gridCol w:w="3360"/>
        <w:gridCol w:w="3360"/>
      </w:tblGrid>
      <w:tr>
        <w:tc>
          <w:tcPr>
            <w:tcW w:type="dxa" w:w="2016"/>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Architectural Layer</w:t>
            </w:r>
          </w:p>
        </w:tc>
        <w:tc>
          <w:tcPr>
            <w:tcW w:type="dxa" w:w="2880"/>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Primary Technologies</w:t>
            </w:r>
          </w:p>
        </w:tc>
        <w:tc>
          <w:tcPr>
            <w:tcW w:type="dxa" w:w="4896"/>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Core Responsibilities &amp; Components</w:t>
            </w:r>
          </w:p>
        </w:tc>
      </w:tr>
      <w:tr>
        <w:tc>
          <w:tcPr>
            <w:tcW w:type="dxa" w:w="201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Presentation Layer</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React 19, Vite, Tailwind CSS, Lucide Icons</w:t>
            </w:r>
          </w:p>
        </w:tc>
        <w:tc>
          <w:tcPr>
            <w:tcW w:type="dxa" w:w="48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Responsive UI, state management, interactive dashboards, multilingual localization, client-side report generation, CSV export.</w:t>
            </w:r>
          </w:p>
        </w:tc>
      </w:tr>
      <w:tr>
        <w:tc>
          <w:tcPr>
            <w:tcW w:type="dxa" w:w="201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Application API Layer</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FastAPI, Pydantic, Python 3.12, Uvicorn ASGI</w:t>
            </w:r>
          </w:p>
        </w:tc>
        <w:tc>
          <w:tcPr>
            <w:tcW w:type="dxa" w:w="48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RESTful routing, strict input schema validation, JWT authentication middleware, rate limiting, error handling, CORS headers.</w:t>
            </w:r>
          </w:p>
        </w:tc>
      </w:tr>
      <w:tr>
        <w:tc>
          <w:tcPr>
            <w:tcW w:type="dxa" w:w="201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Machine Learning Layer</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XGBoost Regressor, Scikit-learn, Joblib, Pandas</w:t>
            </w:r>
          </w:p>
        </w:tc>
        <w:tc>
          <w:tcPr>
            <w:tcW w:type="dxa" w:w="48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District-level yield inference, feature encoding, historical lag variable extraction, model metadata serialization.</w:t>
            </w:r>
          </w:p>
        </w:tc>
      </w:tr>
      <w:tr>
        <w:tc>
          <w:tcPr>
            <w:tcW w:type="dxa" w:w="201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Generative AI Layer</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Google Gemini 1.5 Flash, Groq Cloud, Local Rule Engine</w:t>
            </w:r>
          </w:p>
        </w:tc>
        <w:tc>
          <w:tcPr>
            <w:tcW w:type="dxa" w:w="48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Bounded prompt synthesis, agronomic advisory generation, timeout management (8s), zero-latency deterministic fallback.</w:t>
            </w:r>
          </w:p>
        </w:tc>
      </w:tr>
      <w:tr>
        <w:tc>
          <w:tcPr>
            <w:tcW w:type="dxa" w:w="201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Persistence &amp; Security</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JSON Operational Stores, Bcrypt, PyJWT, Python hashlib</w:t>
            </w:r>
          </w:p>
        </w:tc>
        <w:tc>
          <w:tcPr>
            <w:tcW w:type="dxa" w:w="48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Role-based user records, prediction telemetry, login history, security lockout tracker, audit logs, dataset version registry.</w:t>
            </w:r>
          </w:p>
        </w:tc>
      </w:tr>
    </w:tbl>
    <w:p>
      <w:pPr>
        <w:spacing w:before="0" w:after="60" w:line="276" w:lineRule="auto"/>
        <w:jc w:val="left"/>
      </w:pPr>
    </w:p>
    <w:p>
      <w:pPr>
        <w:keepNext/>
        <w:spacing w:before="220" w:after="80" w:line="264" w:lineRule="auto"/>
        <w:jc w:val="left"/>
      </w:pPr>
      <w:r>
        <w:rPr>
          <w:rFonts w:ascii="Calibri" w:hAnsi="Calibri"/>
          <w:b/>
          <w:color w:val="1F4E3D"/>
          <w:sz w:val="26"/>
        </w:rPr>
        <w:t>3.1 Detailed Request Execution Flow</w:t>
      </w:r>
    </w:p>
    <w:p>
      <w:pPr>
        <w:spacing w:before="0" w:after="80" w:line="276" w:lineRule="auto"/>
        <w:jc w:val="left"/>
      </w:pPr>
      <w:r>
        <w:rPr>
          <w:rFonts w:ascii="Calibri" w:hAnsi="Calibri"/>
          <w:b w:val="0"/>
          <w:i w:val="0"/>
          <w:color w:val="1F2937"/>
          <w:sz w:val="21"/>
        </w:rPr>
        <w:t>The end-to-end execution flow of an agricultural prediction and advisory request follows a rigorous, deterministic sequence:</w:t>
      </w:r>
    </w:p>
    <w:p>
      <w:pPr>
        <w:pStyle w:val="ListBullet"/>
        <w:spacing w:before="20" w:after="60" w:line="276" w:lineRule="auto"/>
        <w:jc w:val="left"/>
      </w:pPr>
      <w:r>
        <w:rPr>
          <w:rFonts w:ascii="Calibri" w:hAnsi="Calibri"/>
          <w:b/>
          <w:color w:val="1F2937"/>
          <w:sz w:val="21"/>
        </w:rPr>
        <w:t>Step 1 — Client Input &amp; Validation:</w:t>
      </w:r>
      <w:r>
        <w:rPr>
          <w:rFonts w:ascii="Calibri" w:hAnsi="Calibri"/>
          <w:color w:val="1F2937"/>
          <w:sz w:val="21"/>
        </w:rPr>
        <w:t xml:space="preserve"> The farmer selects state, district, crop, target year, cultivation area, and previous-year yield metrics in the React frontend. Client-side validation verifies numerical boundaries.</w:t>
      </w:r>
    </w:p>
    <w:p>
      <w:pPr>
        <w:pStyle w:val="ListBullet"/>
        <w:spacing w:before="20" w:after="60" w:line="276" w:lineRule="auto"/>
        <w:jc w:val="left"/>
      </w:pPr>
      <w:r>
        <w:rPr>
          <w:rFonts w:ascii="Calibri" w:hAnsi="Calibri"/>
          <w:b/>
          <w:color w:val="1F2937"/>
          <w:sz w:val="21"/>
        </w:rPr>
        <w:t>Step 2 — Authenticated Transmission:</w:t>
      </w:r>
      <w:r>
        <w:rPr>
          <w:rFonts w:ascii="Calibri" w:hAnsi="Calibri"/>
          <w:color w:val="1F2937"/>
          <w:sz w:val="21"/>
        </w:rPr>
        <w:t xml:space="preserve"> The browser dispatches an authenticated HTTP POST request to `/api/predict` accompanied by a signed Bearer JWT in the Authorization header.</w:t>
      </w:r>
    </w:p>
    <w:p>
      <w:pPr>
        <w:pStyle w:val="ListBullet"/>
        <w:spacing w:before="20" w:after="60" w:line="276" w:lineRule="auto"/>
        <w:jc w:val="left"/>
      </w:pPr>
      <w:r>
        <w:rPr>
          <w:rFonts w:ascii="Calibri" w:hAnsi="Calibri"/>
          <w:b/>
          <w:color w:val="1F2937"/>
          <w:sz w:val="21"/>
        </w:rPr>
        <w:t>Step 3 — API Middleware &amp; Schema Verification:</w:t>
      </w:r>
      <w:r>
        <w:rPr>
          <w:rFonts w:ascii="Calibri" w:hAnsi="Calibri"/>
          <w:color w:val="1F2937"/>
          <w:sz w:val="21"/>
        </w:rPr>
        <w:t xml:space="preserve"> FastAPI routes the payload through Pydantic schemas (`PredictionRequest`), verifying data types, checking crop and district validity against dataset reference lists, and verifying JWT claims.</w:t>
      </w:r>
    </w:p>
    <w:p>
      <w:pPr>
        <w:pStyle w:val="ListBullet"/>
        <w:spacing w:before="20" w:after="60" w:line="276" w:lineRule="auto"/>
        <w:jc w:val="left"/>
      </w:pPr>
      <w:r>
        <w:rPr>
          <w:rFonts w:ascii="Calibri" w:hAnsi="Calibri"/>
          <w:b/>
          <w:color w:val="1F2937"/>
          <w:sz w:val="21"/>
        </w:rPr>
        <w:t>Step 4 — High-Speed XGBoost Inference:</w:t>
      </w:r>
      <w:r>
        <w:rPr>
          <w:rFonts w:ascii="Calibri" w:hAnsi="Calibri"/>
          <w:color w:val="1F2937"/>
          <w:sz w:val="21"/>
        </w:rPr>
        <w:t xml:space="preserve"> The feature vector is assembled and passed to the deserialized `XGBRegressor` pipeline via Joblib. The model generates the expected yield in Kg/ha in under 15 milliseconds.</w:t>
      </w:r>
    </w:p>
    <w:p>
      <w:pPr>
        <w:pStyle w:val="ListBullet"/>
        <w:spacing w:before="20" w:after="60" w:line="276" w:lineRule="auto"/>
        <w:jc w:val="left"/>
      </w:pPr>
      <w:r>
        <w:rPr>
          <w:rFonts w:ascii="Calibri" w:hAnsi="Calibri"/>
          <w:b/>
          <w:color w:val="1F2937"/>
          <w:sz w:val="21"/>
        </w:rPr>
        <w:t>Step 5 — Bounded Advisory Synthesis:</w:t>
      </w:r>
      <w:r>
        <w:rPr>
          <w:rFonts w:ascii="Calibri" w:hAnsi="Calibri"/>
          <w:color w:val="1F2937"/>
          <w:sz w:val="21"/>
        </w:rPr>
        <w:t xml:space="preserve"> If the user requested full AI advisory, the backend initiates an asynchronous call to Google Gemini 1.5 Flash (or Groq). The call is governed by an 8-second timeout. If the remote service responds in time, the LLM advisory is attached; otherwise, the local rule engine immediately generates a structured agronomic advisory.</w:t>
      </w:r>
    </w:p>
    <w:p>
      <w:pPr>
        <w:pStyle w:val="ListBullet"/>
        <w:spacing w:before="20" w:after="60" w:line="276" w:lineRule="auto"/>
        <w:jc w:val="left"/>
      </w:pPr>
      <w:r>
        <w:rPr>
          <w:rFonts w:ascii="Calibri" w:hAnsi="Calibri"/>
          <w:b/>
          <w:color w:val="1F2937"/>
          <w:sz w:val="21"/>
        </w:rPr>
        <w:t>Step 6 — Persistence &amp; Audit Telemetry:</w:t>
      </w:r>
      <w:r>
        <w:rPr>
          <w:rFonts w:ascii="Calibri" w:hAnsi="Calibri"/>
          <w:color w:val="1F2937"/>
          <w:sz w:val="21"/>
        </w:rPr>
        <w:t xml:space="preserve"> The complete prediction record (inputs, output yield, total production, advisory, timestamp, farmer ID) is persisted to the operational prediction store.</w:t>
      </w:r>
    </w:p>
    <w:p>
      <w:pPr>
        <w:pStyle w:val="ListBullet"/>
        <w:spacing w:before="20" w:after="60" w:line="276" w:lineRule="auto"/>
        <w:jc w:val="left"/>
      </w:pPr>
      <w:r>
        <w:rPr>
          <w:rFonts w:ascii="Calibri" w:hAnsi="Calibri"/>
          <w:b/>
          <w:color w:val="1F2937"/>
          <w:sz w:val="21"/>
        </w:rPr>
        <w:t>Step 7 — Reactive Visual Delivery:</w:t>
      </w:r>
      <w:r>
        <w:rPr>
          <w:rFonts w:ascii="Calibri" w:hAnsi="Calibri"/>
          <w:color w:val="1F2937"/>
          <w:sz w:val="21"/>
        </w:rPr>
        <w:t xml:space="preserve"> The client receives the structured JSON response, dynamically updating the results card, animated yield gauges, advisory breakdown, and download actions.</w:t>
      </w:r>
    </w:p>
    <w:p>
      <w:r>
        <w:br w:type="page"/>
      </w:r>
    </w:p>
    <w:p>
      <w:pPr>
        <w:keepNext/>
        <w:spacing w:before="320" w:after="120" w:line="264" w:lineRule="auto"/>
        <w:jc w:val="left"/>
      </w:pPr>
      <w:r>
        <w:rPr>
          <w:rFonts w:ascii="Calibri" w:hAnsi="Calibri"/>
          <w:b/>
          <w:color w:val="0B6E4F"/>
          <w:sz w:val="33"/>
        </w:rPr>
        <w:t>4. Dataset Engineering &amp; Machine Learning Formulation</w:t>
      </w:r>
    </w:p>
    <w:p>
      <w:pPr>
        <w:spacing w:before="0" w:after="80" w:line="276" w:lineRule="auto"/>
        <w:jc w:val="left"/>
      </w:pPr>
      <w:r>
        <w:rPr>
          <w:rFonts w:ascii="Calibri" w:hAnsi="Calibri"/>
          <w:b w:val="0"/>
          <w:i w:val="0"/>
          <w:color w:val="1F2937"/>
          <w:sz w:val="21"/>
        </w:rPr>
        <w:t>The predictive foundation of AgriYield AI is built upon the ICRISAT (International Crops Research Institute for the Semi-Arid Tropics) Meso-Level District Agricultural Dataset for India. This empirical repository covers 38 years of longitudinal agricultural records spanning 1979 through 2017, encompassing 20 states and 311 agricultural districts across India.</w:t>
      </w:r>
    </w:p>
    <w:p>
      <w:pPr>
        <w:keepNext/>
        <w:spacing w:before="220" w:after="80" w:line="264" w:lineRule="auto"/>
        <w:jc w:val="left"/>
      </w:pPr>
      <w:r>
        <w:rPr>
          <w:rFonts w:ascii="Calibri" w:hAnsi="Calibri"/>
          <w:b/>
          <w:color w:val="1F4E3D"/>
          <w:sz w:val="26"/>
        </w:rPr>
        <w:t>4.1 Data Preprocessing &amp; Feature Engineering</w:t>
      </w:r>
    </w:p>
    <w:p>
      <w:pPr>
        <w:spacing w:before="0" w:after="80" w:line="276" w:lineRule="auto"/>
        <w:jc w:val="left"/>
      </w:pPr>
      <w:r>
        <w:rPr>
          <w:rFonts w:ascii="Calibri" w:hAnsi="Calibri"/>
          <w:b w:val="0"/>
          <w:i w:val="0"/>
          <w:color w:val="1F2937"/>
          <w:sz w:val="21"/>
        </w:rPr>
        <w:t>The raw ICRISAT dataset is structured in a wide relational format, with distinct columns for individual crop production and cultivated area per district-year observation. To prepare this data for gradient-boosted tree modeling, a multi-phase data pipeline was developed:</w:t>
      </w:r>
    </w:p>
    <w:p>
      <w:pPr>
        <w:pStyle w:val="ListBullet"/>
        <w:spacing w:before="20" w:after="60" w:line="276" w:lineRule="auto"/>
        <w:jc w:val="left"/>
      </w:pPr>
      <w:r>
        <w:rPr>
          <w:rFonts w:ascii="Calibri" w:hAnsi="Calibri"/>
          <w:b/>
          <w:color w:val="1F2937"/>
          <w:sz w:val="21"/>
        </w:rPr>
        <w:t>1. Wide-to-Long Reshaping:</w:t>
      </w:r>
      <w:r>
        <w:rPr>
          <w:rFonts w:ascii="Calibri" w:hAnsi="Calibri"/>
          <w:color w:val="1F2937"/>
          <w:sz w:val="21"/>
        </w:rPr>
        <w:t xml:space="preserve"> The wide matrix of 12,418 district-year records was unpivoted into 285,614 crop-specific observations, standardizing crop names, hectare units, and production yields in kilograms per hectare (Kg/ha).</w:t>
      </w:r>
    </w:p>
    <w:p>
      <w:pPr>
        <w:pStyle w:val="ListBullet"/>
        <w:spacing w:before="20" w:after="60" w:line="276" w:lineRule="auto"/>
        <w:jc w:val="left"/>
      </w:pPr>
      <w:r>
        <w:rPr>
          <w:rFonts w:ascii="Calibri" w:hAnsi="Calibri"/>
          <w:b/>
          <w:color w:val="1F2937"/>
          <w:sz w:val="21"/>
        </w:rPr>
        <w:t>2. Longitudinal Lag Variable Creation:</w:t>
      </w:r>
      <w:r>
        <w:rPr>
          <w:rFonts w:ascii="Calibri" w:hAnsi="Calibri"/>
          <w:color w:val="1F2937"/>
          <w:sz w:val="21"/>
        </w:rPr>
        <w:t xml:space="preserve"> Agricultural yields exhibit strong temporal auto-correlation. To equip the model with longitudinal memory, lagged variables were synthesized for each district-crop series: `Previous_Year_Yield`, `Previous_Year_Area`, and `Previous_Year_Production` (at t-1).</w:t>
      </w:r>
    </w:p>
    <w:p>
      <w:pPr>
        <w:pStyle w:val="ListBullet"/>
        <w:spacing w:before="20" w:after="60" w:line="276" w:lineRule="auto"/>
        <w:jc w:val="left"/>
      </w:pPr>
      <w:r>
        <w:rPr>
          <w:rFonts w:ascii="Calibri" w:hAnsi="Calibri"/>
          <w:b/>
          <w:color w:val="1F2937"/>
          <w:sz w:val="21"/>
        </w:rPr>
        <w:t>3. Cleaning &amp; Categorical Encoding:</w:t>
      </w:r>
      <w:r>
        <w:rPr>
          <w:rFonts w:ascii="Calibri" w:hAnsi="Calibri"/>
          <w:color w:val="1F2937"/>
          <w:sz w:val="21"/>
        </w:rPr>
        <w:t xml:space="preserve"> Historical records prior to 1979 containing sparse or unverified crop statistics were filtered. String categorical features (`State Name`, `Dist Name`, `Crop`) were harmonized and encoded using scikit-learn OneHotEncoder / Target Encoding pipelines.</w:t>
      </w:r>
    </w:p>
    <w:p>
      <w:pPr>
        <w:pStyle w:val="ListBullet"/>
        <w:spacing w:before="20" w:after="60" w:line="276" w:lineRule="auto"/>
        <w:jc w:val="left"/>
      </w:pPr>
      <w:r>
        <w:rPr>
          <w:rFonts w:ascii="Calibri" w:hAnsi="Calibri"/>
          <w:b/>
          <w:color w:val="1F2937"/>
          <w:sz w:val="21"/>
        </w:rPr>
        <w:t>4. Temporal Chronological Train/Test Partitioning:</w:t>
      </w:r>
      <w:r>
        <w:rPr>
          <w:rFonts w:ascii="Calibri" w:hAnsi="Calibri"/>
          <w:color w:val="1F2937"/>
          <w:sz w:val="21"/>
        </w:rPr>
        <w:t xml:space="preserve"> Standard random k-fold cross-validation is fundamentally invalid for time-series agricultural forecasting as it leaks future climate and technological advancements into past predictions. Therefore, a strict chronological split was enforced: records from 1979 to 2009 formed the training set, while records from 2010 to 2017 were held out exclusively for out-of-time evaluation.</w:t>
      </w:r>
    </w:p>
    <w:p>
      <w:pPr>
        <w:keepNext/>
        <w:spacing w:before="220" w:after="80" w:line="264" w:lineRule="auto"/>
        <w:jc w:val="left"/>
      </w:pPr>
      <w:r>
        <w:rPr>
          <w:rFonts w:ascii="Calibri" w:hAnsi="Calibri"/>
          <w:b/>
          <w:color w:val="1F4E3D"/>
          <w:sz w:val="26"/>
        </w:rPr>
        <w:t>4.2 Model Selection &amp; Hyperparameter Optimization</w:t>
      </w:r>
    </w:p>
    <w:p>
      <w:pPr>
        <w:spacing w:before="0" w:after="80" w:line="276" w:lineRule="auto"/>
        <w:jc w:val="left"/>
      </w:pPr>
      <w:r>
        <w:rPr>
          <w:rFonts w:ascii="Calibri" w:hAnsi="Calibri"/>
          <w:b w:val="0"/>
          <w:i w:val="0"/>
          <w:color w:val="1F2937"/>
          <w:sz w:val="21"/>
        </w:rPr>
        <w:t>Multiple regression algorithms were evaluated during experimentation, including Multiple Linear Regression, Decision Tree Regressors, Random Forest Ensembles, and Extreme Gradient Boosting (XGBoost). XGBoost was selected as the optimal production architecture due to its superior handling of non-linear interactions, built-in L1/L2 regularization to prevent overfitting on sparse district data, and exceptionally fast inference latency.</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Algorithm Evaluated</w:t>
            </w:r>
          </w:p>
        </w:tc>
        <w:tc>
          <w:tcPr>
            <w:tcW w:type="dxa" w:w="172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Validation R²</w:t>
            </w:r>
          </w:p>
        </w:tc>
        <w:tc>
          <w:tcPr>
            <w:tcW w:type="dxa" w:w="230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Validation MAE (Kg/ha)</w:t>
            </w:r>
          </w:p>
        </w:tc>
        <w:tc>
          <w:tcPr>
            <w:tcW w:type="dxa" w:w="158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Inference Latency</w:t>
            </w:r>
          </w:p>
        </w:tc>
        <w:tc>
          <w:tcPr>
            <w:tcW w:type="dxa" w:w="158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Model Status</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Multiple Linear Regression</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0.5824</w:t>
            </w:r>
          </w:p>
        </w:tc>
        <w:tc>
          <w:tcPr>
            <w:tcW w:type="dxa" w:w="230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492.15</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1.2 ms</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Baseline; underfits non-linear geography</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Decision Tree Regressor</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0.7108</w:t>
            </w:r>
          </w:p>
        </w:tc>
        <w:tc>
          <w:tcPr>
            <w:tcW w:type="dxa" w:w="230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364.80</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2.1 ms</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Prone to severe leaf overfitting</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Random Forest Regressor</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0.8215</w:t>
            </w:r>
          </w:p>
        </w:tc>
        <w:tc>
          <w:tcPr>
            <w:tcW w:type="dxa" w:w="230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265.40</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48.5 ms</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Strong accuracy; large memory footprint</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XGBoost Regressor (Final)</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0.8540</w:t>
            </w:r>
          </w:p>
        </w:tc>
        <w:tc>
          <w:tcPr>
            <w:tcW w:type="dxa" w:w="230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237.72</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12.4 ms</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Selected: Highest R², lowest MAE, compact size</w:t>
            </w:r>
          </w:p>
        </w:tc>
      </w:tr>
    </w:tbl>
    <w:p>
      <w:pPr>
        <w:spacing w:before="0" w:after="60" w:line="276" w:lineRule="auto"/>
        <w:jc w:val="left"/>
      </w:pPr>
    </w:p>
    <w:p>
      <w:pPr>
        <w:keepNext/>
        <w:spacing w:before="160" w:after="60" w:line="264" w:lineRule="auto"/>
        <w:jc w:val="left"/>
      </w:pPr>
      <w:r>
        <w:rPr>
          <w:rFonts w:ascii="Calibri" w:hAnsi="Calibri"/>
          <w:b/>
          <w:color w:val="1F2937"/>
          <w:sz w:val="22"/>
        </w:rPr>
        <w:t>Final XGBoost Model Hyperparameters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Hyperparameter</w:t>
            </w:r>
          </w:p>
        </w:tc>
        <w:tc>
          <w:tcPr>
            <w:tcW w:type="dxa" w:w="2016"/>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Configured Value</w:t>
            </w:r>
          </w:p>
        </w:tc>
        <w:tc>
          <w:tcPr>
            <w:tcW w:type="dxa" w:w="518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Technical Justification</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algorithm</w:t>
            </w:r>
          </w:p>
        </w:tc>
        <w:tc>
          <w:tcPr>
            <w:tcW w:type="dxa" w:w="201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XGBRegressor</w:t>
            </w:r>
          </w:p>
        </w:tc>
        <w:tc>
          <w:tcPr>
            <w:tcW w:type="dxa" w:w="51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Gradient boosted decision tree regression framework with tree booster.</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n_estimators</w:t>
            </w:r>
          </w:p>
        </w:tc>
        <w:tc>
          <w:tcPr>
            <w:tcW w:type="dxa" w:w="201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200</w:t>
            </w:r>
          </w:p>
        </w:tc>
        <w:tc>
          <w:tcPr>
            <w:tcW w:type="dxa" w:w="51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Provides sufficient boosting iterations without over-fitting residuals.</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max_depth</w:t>
            </w:r>
          </w:p>
        </w:tc>
        <w:tc>
          <w:tcPr>
            <w:tcW w:type="dxa" w:w="201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4</w:t>
            </w:r>
          </w:p>
        </w:tc>
        <w:tc>
          <w:tcPr>
            <w:tcW w:type="dxa" w:w="51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Constrains tree depth to prevent memorizing rare district-level anomalies.</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learning_rate (eta)</w:t>
            </w:r>
          </w:p>
        </w:tc>
        <w:tc>
          <w:tcPr>
            <w:tcW w:type="dxa" w:w="201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0.05</w:t>
            </w:r>
          </w:p>
        </w:tc>
        <w:tc>
          <w:tcPr>
            <w:tcW w:type="dxa" w:w="51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Shrinkage parameter that scales step size, preventing overshoot during descent.</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random_state</w:t>
            </w:r>
          </w:p>
        </w:tc>
        <w:tc>
          <w:tcPr>
            <w:tcW w:type="dxa" w:w="201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42</w:t>
            </w:r>
          </w:p>
        </w:tc>
        <w:tc>
          <w:tcPr>
            <w:tcW w:type="dxa" w:w="51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Guarantees reproducible tree generation and identical deterministic outputs.</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objective</w:t>
            </w:r>
          </w:p>
        </w:tc>
        <w:tc>
          <w:tcPr>
            <w:tcW w:type="dxa" w:w="201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reg:squarederror</w:t>
            </w:r>
          </w:p>
        </w:tc>
        <w:tc>
          <w:tcPr>
            <w:tcW w:type="dxa" w:w="51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Minimizes mean squared error loss function across continuous yield outcomes.</w:t>
            </w:r>
          </w:p>
        </w:tc>
      </w:tr>
    </w:tbl>
    <w:p>
      <w:pPr>
        <w:spacing w:before="0" w:after="60" w:line="276" w:lineRule="auto"/>
        <w:jc w:val="left"/>
      </w:pPr>
    </w:p>
    <w:p>
      <w:pPr>
        <w:keepNext/>
        <w:spacing w:before="220" w:after="80" w:line="264" w:lineRule="auto"/>
        <w:jc w:val="left"/>
      </w:pPr>
      <w:r>
        <w:rPr>
          <w:rFonts w:ascii="Calibri" w:hAnsi="Calibri"/>
          <w:b/>
          <w:color w:val="1F4E3D"/>
          <w:sz w:val="26"/>
        </w:rPr>
        <w:t>4.3 Quantitative Evaluation Metrics</w:t>
      </w:r>
    </w:p>
    <w:p>
      <w:pPr>
        <w:spacing w:before="0" w:after="80" w:line="276" w:lineRule="auto"/>
        <w:jc w:val="left"/>
      </w:pPr>
      <w:r>
        <w:rPr>
          <w:rFonts w:ascii="Calibri" w:hAnsi="Calibri"/>
          <w:b w:val="0"/>
          <w:i w:val="0"/>
          <w:color w:val="1F2937"/>
          <w:sz w:val="21"/>
        </w:rPr>
        <w:t>The final deployed XGBoost model (`backend/models/agri_yield_xgboost.joblib`) was evaluated against the held-out 2010–2017 dataset. The evaluation metrics recorded in `model_metadata.json` confirm exceptional generalization:</w:t>
      </w:r>
    </w:p>
    <w:p>
      <w:pPr>
        <w:pStyle w:val="ListBullet"/>
        <w:spacing w:before="20" w:after="60" w:line="276" w:lineRule="auto"/>
        <w:jc w:val="left"/>
      </w:pPr>
      <w:r>
        <w:rPr>
          <w:rFonts w:ascii="Calibri" w:hAnsi="Calibri"/>
          <w:b/>
          <w:color w:val="1F2937"/>
          <w:sz w:val="21"/>
        </w:rPr>
        <w:t>• Mean Absolute Error (MAE): 237.72 Kg/ha —</w:t>
      </w:r>
      <w:r>
        <w:rPr>
          <w:rFonts w:ascii="Calibri" w:hAnsi="Calibri"/>
          <w:color w:val="1F2937"/>
          <w:sz w:val="21"/>
        </w:rPr>
        <w:t xml:space="preserve"> Measures the average magnitude of absolute prediction errors. On average, the model's yield forecast deviates by only 237.72 Kg/ha from the actual historical harvest across all crops and regions.</w:t>
      </w:r>
    </w:p>
    <w:p>
      <w:pPr>
        <w:pStyle w:val="ListBullet"/>
        <w:spacing w:before="20" w:after="60" w:line="276" w:lineRule="auto"/>
        <w:jc w:val="left"/>
      </w:pPr>
      <w:r>
        <w:rPr>
          <w:rFonts w:ascii="Calibri" w:hAnsi="Calibri"/>
          <w:b/>
          <w:color w:val="1F2937"/>
          <w:sz w:val="21"/>
        </w:rPr>
        <w:t>• Root Mean Squared Error (RMSE): 583.04 Kg/ha —</w:t>
      </w:r>
      <w:r>
        <w:rPr>
          <w:rFonts w:ascii="Calibri" w:hAnsi="Calibri"/>
          <w:color w:val="1F2937"/>
          <w:sz w:val="21"/>
        </w:rPr>
        <w:t xml:space="preserve"> Penalizes larger outlier errors more heavily. The RMSE of 583.04 Kg/ha indicates that extreme prediction errors are tightly controlled despite agricultural volatility.</w:t>
      </w:r>
    </w:p>
    <w:p>
      <w:pPr>
        <w:pStyle w:val="ListBullet"/>
        <w:spacing w:before="20" w:after="60" w:line="276" w:lineRule="auto"/>
        <w:jc w:val="left"/>
      </w:pPr>
      <w:r>
        <w:rPr>
          <w:rFonts w:ascii="Calibri" w:hAnsi="Calibri"/>
          <w:b/>
          <w:color w:val="1F2937"/>
          <w:sz w:val="21"/>
        </w:rPr>
        <w:t>• Coefficient of Determination (R²): 0.8540 (85.4%) —</w:t>
      </w:r>
      <w:r>
        <w:rPr>
          <w:rFonts w:ascii="Calibri" w:hAnsi="Calibri"/>
          <w:color w:val="1F2937"/>
          <w:sz w:val="21"/>
        </w:rPr>
        <w:t xml:space="preserve"> Indicates that 85.4% of the total variance in crop yield across 311 Indian districts over eight continuous years is successfully explained by the feature representation.</w:t>
      </w:r>
    </w:p>
    <w:p>
      <w:r>
        <w:br w:type="page"/>
      </w:r>
    </w:p>
    <w:p>
      <w:pPr>
        <w:keepNext/>
        <w:spacing w:before="320" w:after="120" w:line="264" w:lineRule="auto"/>
        <w:jc w:val="left"/>
      </w:pPr>
      <w:r>
        <w:rPr>
          <w:rFonts w:ascii="Calibri" w:hAnsi="Calibri"/>
          <w:b/>
          <w:color w:val="0B6E4F"/>
          <w:sz w:val="33"/>
        </w:rPr>
        <w:t>5. System Modules &amp; Functional Breakdown</w:t>
      </w:r>
    </w:p>
    <w:p>
      <w:pPr>
        <w:spacing w:before="0" w:after="80" w:line="276" w:lineRule="auto"/>
        <w:jc w:val="left"/>
      </w:pPr>
      <w:r>
        <w:rPr>
          <w:rFonts w:ascii="Calibri" w:hAnsi="Calibri"/>
          <w:b w:val="0"/>
          <w:i w:val="0"/>
          <w:color w:val="1F2937"/>
          <w:sz w:val="21"/>
        </w:rPr>
        <w:t>AgriYield AI is partitioned into ten specialized functional modules designed to serve two primary user personas: Farmers seeking actionable operational guidance, and Platform Administrators managing system governance, security, and telemetry.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296"/>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Module #</w:t>
            </w:r>
          </w:p>
        </w:tc>
        <w:tc>
          <w:tcPr>
            <w:tcW w:type="dxa" w:w="2880"/>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Module Name</w:t>
            </w:r>
          </w:p>
        </w:tc>
        <w:tc>
          <w:tcPr>
            <w:tcW w:type="dxa" w:w="172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Target Persona</w:t>
            </w:r>
          </w:p>
        </w:tc>
        <w:tc>
          <w:tcPr>
            <w:tcW w:type="dxa" w:w="388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Primary Functional Scope</w:t>
            </w:r>
          </w:p>
        </w:tc>
      </w:tr>
      <w:tr>
        <w:tc>
          <w:tcPr>
            <w:tcW w:type="dxa" w:w="12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MOD-01</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User Authentication &amp; RBAC</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&amp; Admin</w:t>
            </w:r>
          </w:p>
        </w:tc>
        <w:tc>
          <w:tcPr>
            <w:tcW w:type="dxa" w:w="388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Registration, Bcrypt sign-in, JWT token generation, role segregation, 5-strike lockout.</w:t>
            </w:r>
          </w:p>
        </w:tc>
      </w:tr>
      <w:tr>
        <w:tc>
          <w:tcPr>
            <w:tcW w:type="dxa" w:w="12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MOD-02</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 Landing &amp; Information</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 Visitors</w:t>
            </w:r>
          </w:p>
        </w:tc>
        <w:tc>
          <w:tcPr>
            <w:tcW w:type="dxa" w:w="388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Hero platform overview, value propositions, navigation bar, quick entry points.</w:t>
            </w:r>
          </w:p>
        </w:tc>
      </w:tr>
      <w:tr>
        <w:tc>
          <w:tcPr>
            <w:tcW w:type="dxa" w:w="12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MOD-03</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Workspace Dashboard</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Personalized command center, weather overview, recent predictions, quick tool links.</w:t>
            </w:r>
          </w:p>
        </w:tc>
      </w:tr>
      <w:tr>
        <w:tc>
          <w:tcPr>
            <w:tcW w:type="dxa" w:w="12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MOD-04</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Multilingual Localization</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Dynamic language switcher supporting major regional Indian languages for all UI labels.</w:t>
            </w:r>
          </w:p>
        </w:tc>
      </w:tr>
      <w:tr>
        <w:tc>
          <w:tcPr>
            <w:tcW w:type="dxa" w:w="12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MOD-05</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ML Yield Prediction Engine</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XGBoost inference, dual LLM advisory (Gemini/Groq), instant offline ML fallback.</w:t>
            </w:r>
          </w:p>
        </w:tc>
      </w:tr>
      <w:tr>
        <w:tc>
          <w:tcPr>
            <w:tcW w:type="dxa" w:w="12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MOD-06</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Soil NPK &amp; Fertilizer Advisory</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Nutrient ratio balancing (N, P, K, pH), crop-specific chemical &amp; organic dosage calculators.</w:t>
            </w:r>
          </w:p>
        </w:tc>
      </w:tr>
      <w:tr>
        <w:tc>
          <w:tcPr>
            <w:tcW w:type="dxa" w:w="12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MOD-07</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Multi-Crop Comparative Planner</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Side-by-side economic, yield, and water-requirement comparisons for crop selection.</w:t>
            </w:r>
          </w:p>
        </w:tc>
      </w:tr>
      <w:tr>
        <w:tc>
          <w:tcPr>
            <w:tcW w:type="dxa" w:w="12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MOD-08</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Historical Records</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Chronological audit logs of prior forecasts, seasonal trends, and downloadable CSV records.</w:t>
            </w:r>
          </w:p>
        </w:tc>
      </w:tr>
      <w:tr>
        <w:tc>
          <w:tcPr>
            <w:tcW w:type="dxa" w:w="12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MOD-09</w:t>
            </w:r>
          </w:p>
        </w:tc>
        <w:tc>
          <w:tcPr>
            <w:tcW w:type="dxa" w:w="288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Specialized Farmer Utility Hub</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388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Weather analysis, crop rotation planner, seed density calculator, pest diagnosis.</w:t>
            </w:r>
          </w:p>
        </w:tc>
      </w:tr>
      <w:tr>
        <w:tc>
          <w:tcPr>
            <w:tcW w:type="dxa" w:w="12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MOD-10</w:t>
            </w:r>
          </w:p>
        </w:tc>
        <w:tc>
          <w:tcPr>
            <w:tcW w:type="dxa" w:w="288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 Intelligence &amp; Governance</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388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User lifecycle controls, global prediction monitoring, security audit trails, telemetry.</w:t>
            </w:r>
          </w:p>
        </w:tc>
      </w:tr>
    </w:tbl>
    <w:p>
      <w:pPr>
        <w:spacing w:before="0" w:after="60" w:line="276" w:lineRule="auto"/>
        <w:jc w:val="left"/>
      </w:pP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80" w:type="dxa"/>
              <w:right w:w="180" w:type="dxa"/>
            </w:tcMar>
            <w:tcBorders>
              <w:top w:val="single" w:sz="4" w:space="0" w:color="CBD5E1"/>
              <w:bottom w:val="single" w:sz="4" w:space="0" w:color="CBD5E1"/>
              <w:left w:val="single" w:sz="24" w:space="0" w:color="0B6E4F"/>
              <w:right w:val="single" w:sz="4" w:space="0" w:color="CBD5E1"/>
            </w:tcBorders>
          </w:tcPr>
          <w:p>
            <w:pPr>
              <w:spacing w:before="0" w:after="60" w:line="276" w:lineRule="auto"/>
              <w:jc w:val="left"/>
            </w:pPr>
            <w:r>
              <w:rPr>
                <w:rFonts w:ascii="Calibri" w:hAnsi="Calibri"/>
                <w:b/>
                <w:color w:val="0B6E4F"/>
                <w:sz w:val="21"/>
              </w:rPr>
              <w:t>🛡️ Architectural Modularity Guarantee</w:t>
              <w:br/>
            </w:r>
            <w:r>
              <w:rPr>
                <w:rFonts w:ascii="Calibri" w:hAnsi="Calibri"/>
                <w:color w:val="1F2937"/>
                <w:sz w:val="20"/>
              </w:rPr>
              <w:t>Each module functions as an autonomous, testable unit. The failure of external services (such as remote LLMs or weather APIs) is gracefully contained by local fallback handlers, ensuring that the primary predictive capabilities of the platform remain 100% operational under all circumstances.</w:t>
            </w:r>
          </w:p>
        </w:tc>
      </w:tr>
    </w:tbl>
    <w:p>
      <w:pPr>
        <w:spacing w:before="0" w:after="60" w:line="276" w:lineRule="auto"/>
        <w:jc w:val="left"/>
      </w:pPr>
    </w:p>
    <w:p>
      <w:r>
        <w:br w:type="page"/>
      </w:r>
    </w:p>
    <w:p>
      <w:pPr>
        <w:keepNext/>
        <w:spacing w:before="320" w:after="120" w:line="264" w:lineRule="auto"/>
        <w:jc w:val="left"/>
      </w:pPr>
      <w:r>
        <w:rPr>
          <w:rFonts w:ascii="Calibri" w:hAnsi="Calibri"/>
          <w:b/>
          <w:color w:val="0B6E4F"/>
          <w:sz w:val="33"/>
        </w:rPr>
        <w:t>6. Farmer Experience &amp; Screen Walkthrough</w:t>
      </w:r>
    </w:p>
    <w:p>
      <w:pPr>
        <w:spacing w:before="0" w:after="80" w:line="276" w:lineRule="auto"/>
        <w:jc w:val="left"/>
      </w:pPr>
      <w:r>
        <w:rPr>
          <w:rFonts w:ascii="Calibri" w:hAnsi="Calibri"/>
          <w:b w:val="0"/>
          <w:i w:val="0"/>
          <w:color w:val="1F2937"/>
          <w:sz w:val="21"/>
        </w:rPr>
        <w:t>The Farmer user journey in AgriYield AI has been engineered to provide an intuitive, friction-free experience tailored for agricultural practitioners. From the public portal to role-aware authentication, personalized dashboards, machine-learning yield forecasting, soil nutrient balancing, and specialized farming utilities, each interface is illustrated and analyzed in detail below.</w:t>
      </w:r>
    </w:p>
    <w:p>
      <w:pPr>
        <w:keepNext/>
        <w:spacing w:before="220" w:after="80" w:line="264" w:lineRule="auto"/>
        <w:jc w:val="left"/>
      </w:pPr>
      <w:r>
        <w:rPr>
          <w:rFonts w:ascii="Calibri" w:hAnsi="Calibri"/>
          <w:b/>
          <w:color w:val="1F4E3D"/>
          <w:sz w:val="26"/>
        </w:rPr>
        <w:t>6.1 Public Landing Page &amp; Unified Agricultural Portal</w:t>
      </w:r>
    </w:p>
    <w:p>
      <w:pPr>
        <w:keepNext/>
        <w:spacing w:before="160" w:after="60" w:line="276" w:lineRule="auto"/>
        <w:jc w:val="center"/>
      </w:pPr>
      <w:r>
        <w:drawing>
          <wp:inline xmlns:a="http://schemas.openxmlformats.org/drawingml/2006/main" xmlns:pic="http://schemas.openxmlformats.org/drawingml/2006/picture">
            <wp:extent cx="5852160" cy="3407276"/>
            <wp:docPr id="1" name="Picture 1"/>
            <wp:cNvGraphicFramePr>
              <a:graphicFrameLocks noChangeAspect="1"/>
            </wp:cNvGraphicFramePr>
            <a:graphic>
              <a:graphicData uri="http://schemas.openxmlformats.org/drawingml/2006/picture">
                <pic:pic>
                  <pic:nvPicPr>
                    <pic:cNvPr id="0" name="main_page.png"/>
                    <pic:cNvPicPr/>
                  </pic:nvPicPr>
                  <pic:blipFill>
                    <a:blip r:embed="rId11"/>
                    <a:stretch>
                      <a:fillRect/>
                    </a:stretch>
                  </pic:blipFill>
                  <pic:spPr>
                    <a:xfrm>
                      <a:off x="0" y="0"/>
                      <a:ext cx="5852160" cy="3407276"/>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 </w:t>
      </w:r>
      <w:r>
        <w:rPr>
          <w:rFonts w:ascii="Calibri" w:hAnsi="Calibri"/>
          <w:i/>
          <w:color w:val="4B5563"/>
          <w:sz w:val="19"/>
        </w:rPr>
        <w:t>Public Landing Page &amp; Unified Agricultural Intelligence Portal</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The landing page serves as the digital front door to AgriYield AI, presenting a modern, responsive layout designed with Tailwind CSS and glassmorphism styling. The hero section prominently displays the platform's core identity: 'AgriYield AI — AI-Powered Crop Yield Prediction &amp; Decision Support System.' The top navigation header provides persistent access to core public routes, including Home, Features, About, Sign In, and Register. Key value proposition cards showcase the platform's four pillars: Machine Learning Yield Prediction, Agro-Meteorological Weather Insights, Soil Health &amp; Nutrient Analysis, and Intelligent Farming Recommendations. High-contrast call-to-action buttons ('Launch Farmer Platform' and 'Create Free Account') guide users smoothly into authenticated workflows.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landing page operates as a client-side rendered Single-Page Application (SPA) compiled via Vite. Upon initial mount, the React application checks local storage for active JSON Web Tokens (JWT). If a valid token exists, the user is automatically redirected to `/dashboard` (Farmer) or `/admin` (Administrator) via the `AuthContext` provider. Public informational sections fetch platform statistics and service status asynchronously from the FastAPI root status endpoint, ensuring real-time operational indicators without requiring prior authentication.</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Agricultural software often suffers from poor adoption due to overly complex, academic user interfaces. AgriYield AI eliminates this friction by communicating direct, tangible benefits immediately upon first arrival. Farmers quickly recognize how the system can assist them with crop planning, weather risk hedging, and soil management, fostering trust and encouraging onboarding.</w:t>
      </w:r>
    </w:p>
    <w:p>
      <w:pPr>
        <w:spacing w:before="0" w:after="80" w:line="276" w:lineRule="auto"/>
        <w:jc w:val="left"/>
      </w:pPr>
    </w:p>
    <w:p>
      <w:pPr>
        <w:keepNext/>
        <w:spacing w:before="220" w:after="80" w:line="264" w:lineRule="auto"/>
        <w:jc w:val="left"/>
      </w:pPr>
      <w:r>
        <w:rPr>
          <w:rFonts w:ascii="Calibri" w:hAnsi="Calibri"/>
          <w:b/>
          <w:color w:val="1F4E3D"/>
          <w:sz w:val="26"/>
        </w:rPr>
        <w:t>6.2 Role-Aware Authentication &amp; Sign-In Interface</w:t>
      </w:r>
    </w:p>
    <w:p>
      <w:pPr>
        <w:keepNext/>
        <w:spacing w:before="160" w:after="60" w:line="276" w:lineRule="auto"/>
        <w:jc w:val="center"/>
      </w:pPr>
      <w:r>
        <w:drawing>
          <wp:inline xmlns:a="http://schemas.openxmlformats.org/drawingml/2006/main" xmlns:pic="http://schemas.openxmlformats.org/drawingml/2006/picture">
            <wp:extent cx="4663440" cy="4646072"/>
            <wp:docPr id="2" name="Picture 2"/>
            <wp:cNvGraphicFramePr>
              <a:graphicFrameLocks noChangeAspect="1"/>
            </wp:cNvGraphicFramePr>
            <a:graphic>
              <a:graphicData uri="http://schemas.openxmlformats.org/drawingml/2006/picture">
                <pic:pic>
                  <pic:nvPicPr>
                    <pic:cNvPr id="0" name="signin_farmer_admin.png"/>
                    <pic:cNvPicPr/>
                  </pic:nvPicPr>
                  <pic:blipFill>
                    <a:blip r:embed="rId12"/>
                    <a:stretch>
                      <a:fillRect/>
                    </a:stretch>
                  </pic:blipFill>
                  <pic:spPr>
                    <a:xfrm>
                      <a:off x="0" y="0"/>
                      <a:ext cx="4663440" cy="4646072"/>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2: </w:t>
      </w:r>
      <w:r>
        <w:rPr>
          <w:rFonts w:ascii="Calibri" w:hAnsi="Calibri"/>
          <w:i/>
          <w:color w:val="4B5563"/>
          <w:sz w:val="19"/>
        </w:rPr>
        <w:t>Role-Aware Sign-In Interface for Farmers and Administrators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2 illustrates the secure authentication modal. The sign-in card features a distinct role selector toggle enabling users to sign in either as a 'Farmer' or an 'Administrator.' Input fields for Email Address and Password include real-time focus states, floating labels, password visibility toggle icons, and client-side format validation. Clear helper links for 'Forgot Password?' and 'Create an Account' provide seamless navigation paths. Prominent visual badges clarify current login context, preventing accidental cross-role authentication attempts.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Submitting credentials triggers an HTTP POST request to `/api/auth/login`. The FastAPI backend parses the payload into a Pydantic `UserLogin` model, retrieves the corresponding user record from the persistent user store, and performs password verification using `bcrypt.checkpw()`. The backend tracks failed login attempts; five consecutive failures within 15 minutes trigger an automated temporary lockout policy. Upon successful verification, the backend generates an HMAC-SHA256 signed JWT bearer token embedding the user's ID, email, role, and expiration timestamp, which is returned in the response headers and stored securely in client memory.</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Secure authentication ensures that individual farmers' historical farm data, crop records, and localized predictions remain strictly confidential and protected from unauthorized access. The seamless role differentiation guarantees that farmers immediately access their customized agricultural tools, while administrators are directed to governance controls.</w:t>
      </w:r>
    </w:p>
    <w:p>
      <w:pPr>
        <w:spacing w:before="0" w:after="80" w:line="276" w:lineRule="auto"/>
        <w:jc w:val="left"/>
      </w:pPr>
    </w:p>
    <w:p>
      <w:pPr>
        <w:keepNext/>
        <w:spacing w:before="220" w:after="80" w:line="264" w:lineRule="auto"/>
        <w:jc w:val="left"/>
      </w:pPr>
      <w:r>
        <w:rPr>
          <w:rFonts w:ascii="Calibri" w:hAnsi="Calibri"/>
          <w:b/>
          <w:color w:val="1F4E3D"/>
          <w:sz w:val="26"/>
        </w:rPr>
        <w:t>6.3 User Registration &amp; Account Creation System</w:t>
      </w:r>
    </w:p>
    <w:p>
      <w:pPr>
        <w:keepNext/>
        <w:spacing w:before="160" w:after="60" w:line="276" w:lineRule="auto"/>
        <w:jc w:val="center"/>
      </w:pPr>
      <w:r>
        <w:drawing>
          <wp:inline xmlns:a="http://schemas.openxmlformats.org/drawingml/2006/main" xmlns:pic="http://schemas.openxmlformats.org/drawingml/2006/picture">
            <wp:extent cx="4114800" cy="5229778"/>
            <wp:docPr id="3" name="Picture 3"/>
            <wp:cNvGraphicFramePr>
              <a:graphicFrameLocks noChangeAspect="1"/>
            </wp:cNvGraphicFramePr>
            <a:graphic>
              <a:graphicData uri="http://schemas.openxmlformats.org/drawingml/2006/picture">
                <pic:pic>
                  <pic:nvPicPr>
                    <pic:cNvPr id="0" name="Register_farmer_admin.png"/>
                    <pic:cNvPicPr/>
                  </pic:nvPicPr>
                  <pic:blipFill>
                    <a:blip r:embed="rId13"/>
                    <a:stretch>
                      <a:fillRect/>
                    </a:stretch>
                  </pic:blipFill>
                  <pic:spPr>
                    <a:xfrm>
                      <a:off x="0" y="0"/>
                      <a:ext cx="4114800" cy="5229778"/>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3: </w:t>
      </w:r>
      <w:r>
        <w:rPr>
          <w:rFonts w:ascii="Calibri" w:hAnsi="Calibri"/>
          <w:i/>
          <w:color w:val="4B5563"/>
          <w:sz w:val="19"/>
        </w:rPr>
        <w:t>User Registration Screen with Role Selection and Password Policy</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3 displays the registration form. Prospective users can register as a Farmer or an Administrator. The form collects essential identification data, including Full Name, Email Address, Password, and Confirm Password. A dynamic password strength meter provides immediate visual feedback, checking for minimum length (8 characters), uppercase letters, numbers, and special symbols. Clear validation indicators ensure that users resolve formatting errors before submitting.</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Upon submission, an HTTP POST request is dispatched to `/api/auth/register`. The payload is validated against the `UserRegister` schema. The backend verifies that the email is not already registered, enforces a minimum 8-character password constraint, hashes the password using Bcrypt with a cryptographic salt, and initializes the user profile with default status 'Active'. An initial audit record is generated in the administrative audit log, and an immediate JWT token is returned, allowing instant automatic login without cumbersome email confirmation friction during project evaluation.</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By streamlining the registration process while enforcing strict password security, AgriYield AI ensures low drop-off rates for rural farmers while protecting the integrity of the platform's multi-user dataset.</w:t>
      </w:r>
    </w:p>
    <w:p>
      <w:pPr>
        <w:spacing w:before="0" w:after="80" w:line="276" w:lineRule="auto"/>
        <w:jc w:val="left"/>
      </w:pPr>
    </w:p>
    <w:p>
      <w:pPr>
        <w:keepNext/>
        <w:spacing w:before="220" w:after="80" w:line="264" w:lineRule="auto"/>
        <w:jc w:val="left"/>
      </w:pPr>
      <w:r>
        <w:rPr>
          <w:rFonts w:ascii="Calibri" w:hAnsi="Calibri"/>
          <w:b/>
          <w:color w:val="1F4E3D"/>
          <w:sz w:val="26"/>
        </w:rPr>
        <w:t>6.4 Farmer Operational Command Center &amp; Overview</w:t>
      </w:r>
    </w:p>
    <w:p>
      <w:pPr>
        <w:keepNext/>
        <w:spacing w:before="160" w:after="60" w:line="276" w:lineRule="auto"/>
        <w:jc w:val="center"/>
      </w:pPr>
      <w:r>
        <w:drawing>
          <wp:inline xmlns:a="http://schemas.openxmlformats.org/drawingml/2006/main" xmlns:pic="http://schemas.openxmlformats.org/drawingml/2006/picture">
            <wp:extent cx="5852160" cy="3454002"/>
            <wp:docPr id="4" name="Picture 4"/>
            <wp:cNvGraphicFramePr>
              <a:graphicFrameLocks noChangeAspect="1"/>
            </wp:cNvGraphicFramePr>
            <a:graphic>
              <a:graphicData uri="http://schemas.openxmlformats.org/drawingml/2006/picture">
                <pic:pic>
                  <pic:nvPicPr>
                    <pic:cNvPr id="0" name="farmer_dashboard.png"/>
                    <pic:cNvPicPr/>
                  </pic:nvPicPr>
                  <pic:blipFill>
                    <a:blip r:embed="rId14"/>
                    <a:stretch>
                      <a:fillRect/>
                    </a:stretch>
                  </pic:blipFill>
                  <pic:spPr>
                    <a:xfrm>
                      <a:off x="0" y="0"/>
                      <a:ext cx="5852160" cy="3454002"/>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4: </w:t>
      </w:r>
      <w:r>
        <w:rPr>
          <w:rFonts w:ascii="Calibri" w:hAnsi="Calibri"/>
          <w:i/>
          <w:color w:val="4B5563"/>
          <w:sz w:val="19"/>
        </w:rPr>
        <w:t>Farmer Operational Dashboard with Weather Widgets and Action Hub</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The Farmer Dashboard serves as the central operational cockpit. The upper section features a personalized greeting ('Welcome, Farmer!') alongside a live meteorological summary card displaying current temperature (32°C), humidity (68%), wind speed (14 km/h), and precipitation forecast. Below the header, four high-impact metric cards summarize: Total Predictions Generated, Average Forecasted Yield (Kg/ha), Active Farm Area (Hectares), and Primary Monitored Crop. A central 'Quick Actions' grid provides direct one-click routing to the Yield Predictor, Soil Health Analyzer, Multi-Crop Comparator, and AI Agronomist.</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When the dashboard mounts, the React application issues parallel HTTP GET requests to `/api/auth/me`, `/api/predictions/history`, and the weather aggregation service. The FastAPI backend extracts the user's identity from the JWT Bearer token, queries the prediction store for records associated with the user's UUID, computes aggregate statistics (total count, mean yield), and returns structured JSON in under 50 milliseconds. Real-time broadcast announcements published by administrators are simultaneously fetched from `/api/admin/announcements` and rendered as non-intrusive banner alerts.</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The dashboard consolidates all critical operational parameters into a single screen, eliminating navigation fatigue. A farmer can inspect seasonal weather risks, review past yield projections, and initiate a new crop planning session in seconds, establishing a routine data-driven farming habit.</w:t>
      </w:r>
    </w:p>
    <w:p>
      <w:pPr>
        <w:spacing w:before="0" w:after="80" w:line="276" w:lineRule="auto"/>
        <w:jc w:val="left"/>
      </w:pPr>
    </w:p>
    <w:p>
      <w:pPr>
        <w:keepNext/>
        <w:spacing w:before="220" w:after="80" w:line="264" w:lineRule="auto"/>
        <w:jc w:val="left"/>
      </w:pPr>
      <w:r>
        <w:rPr>
          <w:rFonts w:ascii="Calibri" w:hAnsi="Calibri"/>
          <w:b/>
          <w:color w:val="1F4E3D"/>
          <w:sz w:val="26"/>
        </w:rPr>
        <w:t>6.5 Multilingual Localization &amp; Regional Accessibility</w:t>
      </w:r>
    </w:p>
    <w:p>
      <w:pPr>
        <w:keepNext/>
        <w:spacing w:before="160" w:after="60" w:line="276" w:lineRule="auto"/>
        <w:jc w:val="center"/>
      </w:pPr>
      <w:r>
        <w:drawing>
          <wp:inline xmlns:a="http://schemas.openxmlformats.org/drawingml/2006/main" xmlns:pic="http://schemas.openxmlformats.org/drawingml/2006/picture">
            <wp:extent cx="5852160" cy="3316359"/>
            <wp:docPr id="5" name="Picture 5"/>
            <wp:cNvGraphicFramePr>
              <a:graphicFrameLocks noChangeAspect="1"/>
            </wp:cNvGraphicFramePr>
            <a:graphic>
              <a:graphicData uri="http://schemas.openxmlformats.org/drawingml/2006/picture">
                <pic:pic>
                  <pic:nvPicPr>
                    <pic:cNvPr id="0" name="lanuages.png"/>
                    <pic:cNvPicPr/>
                  </pic:nvPicPr>
                  <pic:blipFill>
                    <a:blip r:embed="rId15"/>
                    <a:stretch>
                      <a:fillRect/>
                    </a:stretch>
                  </pic:blipFill>
                  <pic:spPr>
                    <a:xfrm>
                      <a:off x="0" y="0"/>
                      <a:ext cx="5852160" cy="3316359"/>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5: </w:t>
      </w:r>
      <w:r>
        <w:rPr>
          <w:rFonts w:ascii="Calibri" w:hAnsi="Calibri"/>
          <w:i/>
          <w:color w:val="4B5563"/>
          <w:sz w:val="19"/>
        </w:rPr>
        <w:t>Multilingual Localization Dropdown Supporting Indian Regional Languages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5 highlights the platform's multilingual localization capabilities. The language selection dropdown is permanently accessible from the primary navigation bar. It supports English alongside major Indian regional languages including Hindi (हिन्दी), Telugu (తెలుగు), Tamil (தமிழ்), Kannada (ಕನ್ನಡ), Marathi (मराठी), Punjabi (ਪੰਜਾਬੀ), Bengali (বাংলা), and Gujarati (ગુજરાતી). Selecting a language instantly translates all UI text, input labels, tooltips, buttons, diagnostic advisories, and output metrics across the entire application without requiring a page refresh.</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Localization is managed through a comprehensive frontend dictionary and internationalization (i18n) state management system. Translation mappings are stored in JSON locale files, structured hierarchically by module and component key. When the user switches languages, the selected language code is stored in browser `localStorage`, and the React component tree reactively re-renders translated strings. Furthermore, when requests are sent to the AI advisory service, the user's chosen language is transmitted in the payload, instructing Google Gemini and Groq to synthesize agronomic recommendations natively in the farmer's regional language.</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Language is the single greatest barrier preventing rural Indian farmers from adopting modern digital agricultural tools. By presenting complex agronomic forecasts, chemical dosages, and pest remedies in their native tongue, AgriYield AI democratizes data science, ensuring that even non-English-literate farmers can confidently interpret and implement precision farming guidance.</w:t>
      </w:r>
    </w:p>
    <w:p>
      <w:pPr>
        <w:spacing w:before="0" w:after="80" w:line="276" w:lineRule="auto"/>
        <w:jc w:val="left"/>
      </w:pPr>
    </w:p>
    <w:p>
      <w:pPr>
        <w:keepNext/>
        <w:spacing w:before="220" w:after="80" w:line="264" w:lineRule="auto"/>
        <w:jc w:val="left"/>
      </w:pPr>
      <w:r>
        <w:rPr>
          <w:rFonts w:ascii="Calibri" w:hAnsi="Calibri"/>
          <w:b/>
          <w:color w:val="1F4E3D"/>
          <w:sz w:val="26"/>
        </w:rPr>
        <w:t>6.6 Machine Learning Yield Predictor: Input Interface</w:t>
      </w:r>
    </w:p>
    <w:p>
      <w:pPr>
        <w:keepNext/>
        <w:spacing w:before="160" w:after="60" w:line="276" w:lineRule="auto"/>
        <w:jc w:val="center"/>
      </w:pPr>
      <w:r>
        <w:drawing>
          <wp:inline xmlns:a="http://schemas.openxmlformats.org/drawingml/2006/main" xmlns:pic="http://schemas.openxmlformats.org/drawingml/2006/picture">
            <wp:extent cx="5852160" cy="3427752"/>
            <wp:docPr id="6" name="Picture 6"/>
            <wp:cNvGraphicFramePr>
              <a:graphicFrameLocks noChangeAspect="1"/>
            </wp:cNvGraphicFramePr>
            <a:graphic>
              <a:graphicData uri="http://schemas.openxmlformats.org/drawingml/2006/picture">
                <pic:pic>
                  <pic:nvPicPr>
                    <pic:cNvPr id="0" name="yield_predictor_1.png"/>
                    <pic:cNvPicPr/>
                  </pic:nvPicPr>
                  <pic:blipFill>
                    <a:blip r:embed="rId16"/>
                    <a:stretch>
                      <a:fillRect/>
                    </a:stretch>
                  </pic:blipFill>
                  <pic:spPr>
                    <a:xfrm>
                      <a:off x="0" y="0"/>
                      <a:ext cx="5852160" cy="3427752"/>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6: </w:t>
      </w:r>
      <w:r>
        <w:rPr>
          <w:rFonts w:ascii="Calibri" w:hAnsi="Calibri"/>
          <w:i/>
          <w:color w:val="4B5563"/>
          <w:sz w:val="19"/>
        </w:rPr>
        <w:t>Yield Predictor Input Workspace with Crop Parameters and AI Mode Toggle</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6 showcases the primary Machine Learning Yield Predictor interface. The form is structured into three clean input sections: Location Information (Cascading dropdowns for Indian State and District), Farm &amp; Crop Configuration (Target Harvest Year, Crop Variety, and Cultivated Area in Hectares), and Historical Production Context (Previous Year Yield in Kg/ha, Previous Year Area, and Previous Year Total Production). At the top of the form, an 'AI Advisory Provider' selector lets farmers choose between Google Gemini 1.5 Flash, Groq Cloud (LLaMA 3.3), and 'Instant ML Mode' (offline deterministic local inference).</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dropdown options are populated dynamically from the backend reference routes: `/api/states`, `/api/districts/{state}`, `/api/crops`, and `/api/years`. When a farmer selects a state (e.g., Andhra Pradesh), an asynchronous request retrieves the exact districts available in the ICRISAT dataset for that state. Cascading state management prevents invalid geographic combinations. Form submission triggers an HTTP POST request to `/api/predict` with a typed `PredictionRequest` payload validated by Pydantic.</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By incorporating previous-season yield and area as explicit input features, the model accounts for soil exhaustion, historical microclimate trends, and farmer management capacity. This produces far more accurate, customized yield forecasts than naive models relying solely on regional averages.</w:t>
      </w:r>
    </w:p>
    <w:p>
      <w:pPr>
        <w:spacing w:before="0" w:after="80" w:line="276" w:lineRule="auto"/>
        <w:jc w:val="left"/>
      </w:pPr>
    </w:p>
    <w:p>
      <w:pPr>
        <w:keepNext/>
        <w:spacing w:before="220" w:after="80" w:line="264" w:lineRule="auto"/>
        <w:jc w:val="left"/>
      </w:pPr>
      <w:r>
        <w:rPr>
          <w:rFonts w:ascii="Calibri" w:hAnsi="Calibri"/>
          <w:b/>
          <w:color w:val="1F4E3D"/>
          <w:sz w:val="26"/>
        </w:rPr>
        <w:t>6.7 Yield Prediction Results &amp; Agronomic Advisory</w:t>
      </w:r>
    </w:p>
    <w:p>
      <w:pPr>
        <w:keepNext/>
        <w:spacing w:before="160" w:after="60" w:line="276" w:lineRule="auto"/>
        <w:jc w:val="center"/>
      </w:pPr>
      <w:r>
        <w:drawing>
          <wp:inline xmlns:a="http://schemas.openxmlformats.org/drawingml/2006/main" xmlns:pic="http://schemas.openxmlformats.org/drawingml/2006/picture">
            <wp:extent cx="5852160" cy="3369178"/>
            <wp:docPr id="7" name="Picture 7"/>
            <wp:cNvGraphicFramePr>
              <a:graphicFrameLocks noChangeAspect="1"/>
            </wp:cNvGraphicFramePr>
            <a:graphic>
              <a:graphicData uri="http://schemas.openxmlformats.org/drawingml/2006/picture">
                <pic:pic>
                  <pic:nvPicPr>
                    <pic:cNvPr id="0" name="yield_predictor_2.png"/>
                    <pic:cNvPicPr/>
                  </pic:nvPicPr>
                  <pic:blipFill>
                    <a:blip r:embed="rId17"/>
                    <a:stretch>
                      <a:fillRect/>
                    </a:stretch>
                  </pic:blipFill>
                  <pic:spPr>
                    <a:xfrm>
                      <a:off x="0" y="0"/>
                      <a:ext cx="5852160" cy="3369178"/>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7: </w:t>
      </w:r>
      <w:r>
        <w:rPr>
          <w:rFonts w:ascii="Calibri" w:hAnsi="Calibri"/>
          <w:i/>
          <w:color w:val="4B5563"/>
          <w:sz w:val="19"/>
        </w:rPr>
        <w:t>Prediction Results Card with Projected Yield, Total Harvest, and AI Advisory</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7 displays the comprehensive output card generated upon inference completion. The upper section features a large, color-coded metric displaying the Projected Yield in kilograms per hectare (e.g., 2,845.50 Kg/ha) alongside Estimated Total Production (e.g., 14.23 Metric Tonnes for a 5.0-hectare plot). A visual confidence meter illustrates the expected yield range. Below the metrics, an expandable 'Agronomic Advisory' panel delivers four categorized recommendation sections: Soil &amp; Fertilizer Management, Irrigation Scheduling, Pest &amp; Disease Monitoring, and Optimal Harvesting Window. Action buttons allow farmers to 'Download PDF Report', 'Save to History', or 'Compare Crops'.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FastAPI prediction pipeline executes the XGBoost regressor pipeline (`agri_yield_xgboost.joblib`) to compute the base yield. Total production is mathematically computed as `Yield * Area / 1000`. If an external AI provider was selected, the advisory text is generated via asynchronous API calls to Gemini or Groq within an 8-second bounded timeout; if the remote service times out or Instant ML mode was chosen, the built-in deterministic rule engine creates the advisory instantly. The complete prediction event is recorded in `data/predictions.json`.</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A raw numerical yield prediction alone is of limited utility to a farmer. By pairing the machine-learning forecast with concrete, actionable agronomic guidelines, AgriYield AI empowers farmers to take proactive corrective measures—such as adjusting irrigation intervals or applying top-dress fertilizer—to achieve or exceed the projected harvest.</w:t>
      </w:r>
    </w:p>
    <w:p>
      <w:pPr>
        <w:spacing w:before="0" w:after="80" w:line="276" w:lineRule="auto"/>
        <w:jc w:val="left"/>
      </w:pPr>
    </w:p>
    <w:p>
      <w:pPr>
        <w:keepNext/>
        <w:spacing w:before="220" w:after="80" w:line="264" w:lineRule="auto"/>
        <w:jc w:val="left"/>
      </w:pPr>
      <w:r>
        <w:rPr>
          <w:rFonts w:ascii="Calibri" w:hAnsi="Calibri"/>
          <w:b/>
          <w:color w:val="1F4E3D"/>
          <w:sz w:val="26"/>
        </w:rPr>
        <w:t>6.8 Soil NPK Nutrient Assessment &amp; Fertilizer Guidance</w:t>
      </w:r>
    </w:p>
    <w:p>
      <w:pPr>
        <w:keepNext/>
        <w:spacing w:before="160" w:after="60" w:line="276" w:lineRule="auto"/>
        <w:jc w:val="center"/>
      </w:pPr>
      <w:r>
        <w:drawing>
          <wp:inline xmlns:a="http://schemas.openxmlformats.org/drawingml/2006/main" xmlns:pic="http://schemas.openxmlformats.org/drawingml/2006/picture">
            <wp:extent cx="5852160" cy="3068762"/>
            <wp:docPr id="8" name="Picture 8"/>
            <wp:cNvGraphicFramePr>
              <a:graphicFrameLocks noChangeAspect="1"/>
            </wp:cNvGraphicFramePr>
            <a:graphic>
              <a:graphicData uri="http://schemas.openxmlformats.org/drawingml/2006/picture">
                <pic:pic>
                  <pic:nvPicPr>
                    <pic:cNvPr id="0" name="soil_npk.png"/>
                    <pic:cNvPicPr/>
                  </pic:nvPicPr>
                  <pic:blipFill>
                    <a:blip r:embed="rId18"/>
                    <a:stretch>
                      <a:fillRect/>
                    </a:stretch>
                  </pic:blipFill>
                  <pic:spPr>
                    <a:xfrm>
                      <a:off x="0" y="0"/>
                      <a:ext cx="5852160" cy="3068762"/>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8: </w:t>
      </w:r>
      <w:r>
        <w:rPr>
          <w:rFonts w:ascii="Calibri" w:hAnsi="Calibri"/>
          <w:i/>
          <w:color w:val="4B5563"/>
          <w:sz w:val="19"/>
        </w:rPr>
        <w:t>Soil NPK Nutrient Balance Analyzer and Crop-Specific Fertilizer Calculator</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8 illustrates the Soil NPK Nutrient Balance Analyzer. The interface allows farmers to input their soil test results: Nitrogen (N in kg/ha), Phosphorus (P in kg/ha), Potassium (K in kg/ha), and Soil pH level, alongside their target crop. The system visualizes the nutrient status using interactive horizontal gauge bars categorized into 'Deficient' (Red), 'Optimal' (Green), and 'Excess' (Amber). Below the gauges, a tailored Fertilizer Recommendation table specifies exact commercial fertilizer dosages (Urea, Diammonium Phosphate [DAP], Muriate of Potash [MOP]) alongside organic compost quantities.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NPK calculation module compares the farmer's soil test values against scientific crop-specific nutrient requirement benchmarks established by the Indian Council of Agricultural Research (ICAR). The backend algorithm calculates the exact nutrient deficit: `Deficit = Target_Requirement - Available_Soil_Nutrient`. It then converts the elemental N-P-K deficits into commercial fertilizer quantities based on commercial grade percentages (Urea = 46% N, DAP = 18% N &amp; 46% P₂O₅, MOP = 60% K₂O) and generates a structured dosage schedule split into basal, vegetative, and flowering stages.</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Over-application of urea is one of the most widespread and damaging practices in Indian agriculture, leading to soil salinity, groundwater contamination, and wasted expenditure. This tool enables precision fertilization, reducing chemical input costs by up to 25% while restoring soil vitality and preventing nutrient lockout.</w:t>
      </w:r>
    </w:p>
    <w:p>
      <w:pPr>
        <w:spacing w:before="0" w:after="80" w:line="276" w:lineRule="auto"/>
        <w:jc w:val="left"/>
      </w:pPr>
    </w:p>
    <w:p>
      <w:pPr>
        <w:keepNext/>
        <w:spacing w:before="220" w:after="80" w:line="264" w:lineRule="auto"/>
        <w:jc w:val="left"/>
      </w:pPr>
      <w:r>
        <w:rPr>
          <w:rFonts w:ascii="Calibri" w:hAnsi="Calibri"/>
          <w:b/>
          <w:color w:val="1F4E3D"/>
          <w:sz w:val="26"/>
        </w:rPr>
        <w:t>6.9 Comprehensive Soil Health &amp; Characteristic Analysis</w:t>
      </w:r>
    </w:p>
    <w:p>
      <w:pPr>
        <w:keepNext/>
        <w:spacing w:before="160" w:after="60" w:line="276" w:lineRule="auto"/>
        <w:jc w:val="center"/>
      </w:pPr>
      <w:r>
        <w:drawing>
          <wp:inline xmlns:a="http://schemas.openxmlformats.org/drawingml/2006/main" xmlns:pic="http://schemas.openxmlformats.org/drawingml/2006/picture">
            <wp:extent cx="6035040" cy="2211895"/>
            <wp:docPr id="9" name="Picture 9"/>
            <wp:cNvGraphicFramePr>
              <a:graphicFrameLocks noChangeAspect="1"/>
            </wp:cNvGraphicFramePr>
            <a:graphic>
              <a:graphicData uri="http://schemas.openxmlformats.org/drawingml/2006/picture">
                <pic:pic>
                  <pic:nvPicPr>
                    <pic:cNvPr id="0" name="soil_analysis.png"/>
                    <pic:cNvPicPr/>
                  </pic:nvPicPr>
                  <pic:blipFill>
                    <a:blip r:embed="rId19"/>
                    <a:stretch>
                      <a:fillRect/>
                    </a:stretch>
                  </pic:blipFill>
                  <pic:spPr>
                    <a:xfrm>
                      <a:off x="0" y="0"/>
                      <a:ext cx="6035040" cy="2211895"/>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9: </w:t>
      </w:r>
      <w:r>
        <w:rPr>
          <w:rFonts w:ascii="Calibri" w:hAnsi="Calibri"/>
          <w:i/>
          <w:color w:val="4B5563"/>
          <w:sz w:val="19"/>
        </w:rPr>
        <w:t>Soil Health Evaluation Card Featuring Soil Type, Moisture, and Deficiencies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9 depicts the Soil Health Diagnostic tool. Farmers specify their land's soil classification (Alluvial, Black / Regur, Red &amp; Yellow, Laterite, or Sandy Arid) and observable soil traits (drainage rate, compaction level, organic carbon content). The interface generates a comprehensive Soil Health Report card featuring an overall Fertility Index score (0 to 100), Moisture Retention Rating, Organic Matter Status, and highlighted micro-nutrient deficiency warnings (Zinc, Boron, Sulfur, Iron).</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analysis algorithm utilizes an agronomic decision matrix mapping soil physical properties and texture against regional agro-climatic zones. The backend computes soil organic carbon (SOC) saturation and cation exchange capacity (CEC) approximations to determine structural soil health. If soil pH is outside the optimal 6.0–7.5 window, the system recommends specific soil conditioning amendments (agricultural lime for acidic soils, gypsum for alkaline/sodic soils).</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Understanding soil texture and micro-nutrient status is critical for preventing chronic crop deficiencies. For example, zinc deficiency in rice causes 'Khaira disease', resulting in stunted growth. By diagnosing these deficiencies prior to sowing, farmers can incorporate zinc sulfate during field preparation, safeguarding crop health from day one.</w:t>
      </w:r>
    </w:p>
    <w:p>
      <w:pPr>
        <w:spacing w:before="0" w:after="80" w:line="276" w:lineRule="auto"/>
        <w:jc w:val="left"/>
      </w:pPr>
    </w:p>
    <w:p>
      <w:pPr>
        <w:keepNext/>
        <w:spacing w:before="220" w:after="80" w:line="264" w:lineRule="auto"/>
        <w:jc w:val="left"/>
      </w:pPr>
      <w:r>
        <w:rPr>
          <w:rFonts w:ascii="Calibri" w:hAnsi="Calibri"/>
          <w:b/>
          <w:color w:val="1F4E3D"/>
          <w:sz w:val="26"/>
        </w:rPr>
        <w:t>6.10 Multi-Crop Comparative Analysis &amp; Economic Planning</w:t>
      </w:r>
    </w:p>
    <w:p>
      <w:pPr>
        <w:keepNext/>
        <w:spacing w:before="160" w:after="60" w:line="276" w:lineRule="auto"/>
        <w:jc w:val="center"/>
      </w:pPr>
      <w:r>
        <w:drawing>
          <wp:inline xmlns:a="http://schemas.openxmlformats.org/drawingml/2006/main" xmlns:pic="http://schemas.openxmlformats.org/drawingml/2006/picture">
            <wp:extent cx="5852160" cy="4443204"/>
            <wp:docPr id="10" name="Picture 10"/>
            <wp:cNvGraphicFramePr>
              <a:graphicFrameLocks noChangeAspect="1"/>
            </wp:cNvGraphicFramePr>
            <a:graphic>
              <a:graphicData uri="http://schemas.openxmlformats.org/drawingml/2006/picture">
                <pic:pic>
                  <pic:nvPicPr>
                    <pic:cNvPr id="0" name="multi_crop.png"/>
                    <pic:cNvPicPr/>
                  </pic:nvPicPr>
                  <pic:blipFill>
                    <a:blip r:embed="rId20"/>
                    <a:stretch>
                      <a:fillRect/>
                    </a:stretch>
                  </pic:blipFill>
                  <pic:spPr>
                    <a:xfrm>
                      <a:off x="0" y="0"/>
                      <a:ext cx="5852160" cy="4443204"/>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10: </w:t>
      </w:r>
      <w:r>
        <w:rPr>
          <w:rFonts w:ascii="Calibri" w:hAnsi="Calibri"/>
          <w:i/>
          <w:color w:val="4B5563"/>
          <w:sz w:val="19"/>
        </w:rPr>
        <w:t>Multi-Crop Comparative Matrix Comparing Yield, Revenue, and Water Demand</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10 displays the Multi-Crop Comparative Planner. Farmers can select two, three, or four alternative crops (e.g., Rice vs. Maize vs. Groundnut) for identical plot parameters (District, Season, Land Area). The interface generates a side-by-side comparative matrix presenting: Predicted Yield (Kg/ha), Estimated Harvest Volume (Metric Tonnes), Current Minimum Support Price / Market Rate (₹/Quintal), Projected Gross Revenue (₹), Total Cultivation Cost (₹), Estimated Net Profit (₹), Water Requirement Index (Liters/Kg), and Climate Risk Vulnerability rating.</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comparator component triggers parallel batch inference calls across the selected crops. The XGBoost model evaluates the feature vector for each crop under the specified district conditions. The backend combines the predicted yield outputs with government Minimum Support Price (MSP) datasets and crop-budget benchmarks to calculate revenue and profitability projections. A normalized multi-criteria scoring algorithm ranks the crops based on the farmer's chosen priority (Maximum Profit, Minimum Water Usage, or Lowest Weather Risk).</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Crop diversification is essential for climate resilience and income stability. Traditional monoculture often traps farmers in water-intensive crops (such as paddy) during drought-prone seasons. This tool gives farmers clear economic and water-use comparisons, enabling them to transition to high-value, climate-smart alternatives like maize or pulses with confidence.</w:t>
      </w:r>
    </w:p>
    <w:p>
      <w:pPr>
        <w:spacing w:before="0" w:after="80" w:line="276" w:lineRule="auto"/>
        <w:jc w:val="left"/>
      </w:pPr>
    </w:p>
    <w:p>
      <w:pPr>
        <w:keepNext/>
        <w:spacing w:before="220" w:after="80" w:line="264" w:lineRule="auto"/>
        <w:jc w:val="left"/>
      </w:pPr>
      <w:r>
        <w:rPr>
          <w:rFonts w:ascii="Calibri" w:hAnsi="Calibri"/>
          <w:b/>
          <w:color w:val="1F4E3D"/>
          <w:sz w:val="26"/>
        </w:rPr>
        <w:t>6.11 Historical Prediction Telemetry &amp; Farmer Activity Records</w:t>
      </w:r>
    </w:p>
    <w:p>
      <w:pPr>
        <w:keepNext/>
        <w:spacing w:before="160" w:after="60" w:line="276" w:lineRule="auto"/>
        <w:jc w:val="center"/>
      </w:pPr>
      <w:r>
        <w:drawing>
          <wp:inline xmlns:a="http://schemas.openxmlformats.org/drawingml/2006/main" xmlns:pic="http://schemas.openxmlformats.org/drawingml/2006/picture">
            <wp:extent cx="5852160" cy="3052471"/>
            <wp:docPr id="11" name="Picture 11"/>
            <wp:cNvGraphicFramePr>
              <a:graphicFrameLocks noChangeAspect="1"/>
            </wp:cNvGraphicFramePr>
            <a:graphic>
              <a:graphicData uri="http://schemas.openxmlformats.org/drawingml/2006/picture">
                <pic:pic>
                  <pic:nvPicPr>
                    <pic:cNvPr id="0" name="farmer_logs.png"/>
                    <pic:cNvPicPr/>
                  </pic:nvPicPr>
                  <pic:blipFill>
                    <a:blip r:embed="rId21"/>
                    <a:stretch>
                      <a:fillRect/>
                    </a:stretch>
                  </pic:blipFill>
                  <pic:spPr>
                    <a:xfrm>
                      <a:off x="0" y="0"/>
                      <a:ext cx="5852160" cy="3052471"/>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11: </w:t>
      </w:r>
      <w:r>
        <w:rPr>
          <w:rFonts w:ascii="Calibri" w:hAnsi="Calibri"/>
          <w:i/>
          <w:color w:val="4B5563"/>
          <w:sz w:val="19"/>
        </w:rPr>
        <w:t>Farmer Historical Records Log with Search, Filter, and Export Options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11 displays the Farmer Historical Prediction Log. The screen provides a complete chronological ledger of every yield forecast generated by the farmer. Each row in the table details: Timestamp, Target Crop, State &amp; District, Cultivation Area (ha), Predicted Yield (Kg/ha), Total Harvest (MT), AI Advisory Mode used, and an 'Action' column with buttons to view the full advisory modal, delete the record, or re-run the forecast with updated parameters. A search bar and crop/year filter dropdowns facilitate rapid log navigation.</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log interface queries `GET /api/predictions/history`. The backend inspects the authenticated farmer's JWT token, filters the global prediction store (`data/predictions.json`) for matching `user_id` records, sorts them in descending chronological order, and returns paginated records. Farmers can also click 'Export CSV' to download their entire personal prediction history as a structured spreadsheet.</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Maintaining longitudinal records allows farmers to track seasonal progress, evaluate the accuracy of previous forecasts against actual harvested yields, and build a verifiable farm-performance portfolio useful for securing agricultural credit, crop insurance, or government subsidies.</w:t>
      </w:r>
    </w:p>
    <w:p>
      <w:pPr>
        <w:spacing w:before="0" w:after="80" w:line="276" w:lineRule="auto"/>
        <w:jc w:val="left"/>
      </w:pPr>
    </w:p>
    <w:p>
      <w:pPr>
        <w:keepNext/>
        <w:spacing w:before="220" w:after="80" w:line="264" w:lineRule="auto"/>
        <w:jc w:val="left"/>
      </w:pPr>
      <w:r>
        <w:rPr>
          <w:rFonts w:ascii="Calibri" w:hAnsi="Calibri"/>
          <w:b/>
          <w:color w:val="1F4E3D"/>
          <w:sz w:val="26"/>
        </w:rPr>
        <w:t>6.12 AI Agronomist Interactive Chat &amp; Contextual Assistant</w:t>
      </w:r>
    </w:p>
    <w:p>
      <w:pPr>
        <w:keepNext/>
        <w:spacing w:before="160" w:after="60" w:line="276" w:lineRule="auto"/>
        <w:jc w:val="center"/>
      </w:pPr>
      <w:r>
        <w:drawing>
          <wp:inline xmlns:a="http://schemas.openxmlformats.org/drawingml/2006/main" xmlns:pic="http://schemas.openxmlformats.org/drawingml/2006/picture">
            <wp:extent cx="5852160" cy="4084808"/>
            <wp:docPr id="12" name="Picture 12"/>
            <wp:cNvGraphicFramePr>
              <a:graphicFrameLocks noChangeAspect="1"/>
            </wp:cNvGraphicFramePr>
            <a:graphic>
              <a:graphicData uri="http://schemas.openxmlformats.org/drawingml/2006/picture">
                <pic:pic>
                  <pic:nvPicPr>
                    <pic:cNvPr id="0" name="ai_assistant.png"/>
                    <pic:cNvPicPr/>
                  </pic:nvPicPr>
                  <pic:blipFill>
                    <a:blip r:embed="rId22"/>
                    <a:stretch>
                      <a:fillRect/>
                    </a:stretch>
                  </pic:blipFill>
                  <pic:spPr>
                    <a:xfrm>
                      <a:off x="0" y="0"/>
                      <a:ext cx="5852160" cy="4084808"/>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12: </w:t>
      </w:r>
      <w:r>
        <w:rPr>
          <w:rFonts w:ascii="Calibri" w:hAnsi="Calibri"/>
          <w:i/>
          <w:color w:val="4B5563"/>
          <w:sz w:val="19"/>
        </w:rPr>
        <w:t>AI Agronomist Interactive Conversational Interface Powered by LLMs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12 illustrates the AI Agronomist Chatbot, an interactive conversational assistant. The interface resembles a modern messaging portal with clear speech bubbles distinguishing user inquiries from AI agronomist responses. A row of quick-prompt chips ('How to treat leaf spot in cotton?', 'Best fertilizer schedule for sugarcane?', 'Government subsidies for drip irrigation?') enables fast one-click inquiries. The text input box supports natural language questions in English and regional languages, complete with character counter and send controls.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User messages are sent via HTTP POST to `/api/assistant/chat`. The backend constructs an agronomic prompt template that injects system instructions: 'You are AgriYield AI, an expert agricultural scientist specializing in Indian farming practices, integrated pest management, and soil science.' The prompt is dispatched to Google Gemini 1.5 Flash (or Groq LLaMA 3.3). If the remote LLM API fails or exceeds timeout limits, an intelligent local rule-based agricultural knowledge base resolves common agronomic queries, ensuring uninterrupted chat availability.</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Farming challenges often arise unpredictably in the middle of a cropping cycle—sudden insect infestations, yellowing leaves, or unexpected frost. Having an on-demand AI agronomist available 24/7 provides instant, scientific advice, preventing crop failure when human extension officers are unavailable.</w:t>
      </w:r>
    </w:p>
    <w:p>
      <w:pPr>
        <w:spacing w:before="0" w:after="80" w:line="276" w:lineRule="auto"/>
        <w:jc w:val="left"/>
      </w:pPr>
    </w:p>
    <w:p>
      <w:pPr>
        <w:keepNext/>
        <w:spacing w:before="220" w:after="80" w:line="264" w:lineRule="auto"/>
        <w:jc w:val="left"/>
      </w:pPr>
      <w:r>
        <w:rPr>
          <w:rFonts w:ascii="Calibri" w:hAnsi="Calibri"/>
          <w:b/>
          <w:color w:val="1F4E3D"/>
          <w:sz w:val="26"/>
        </w:rPr>
        <w:t>6.13 Farmer Utility Suite &amp; Specialized Agronomic Tools Hub</w:t>
      </w:r>
    </w:p>
    <w:p>
      <w:pPr>
        <w:keepNext/>
        <w:spacing w:before="160" w:after="60" w:line="276" w:lineRule="auto"/>
        <w:jc w:val="center"/>
      </w:pPr>
      <w:r>
        <w:drawing>
          <wp:inline xmlns:a="http://schemas.openxmlformats.org/drawingml/2006/main" xmlns:pic="http://schemas.openxmlformats.org/drawingml/2006/picture">
            <wp:extent cx="5852160" cy="3167637"/>
            <wp:docPr id="13" name="Picture 13"/>
            <wp:cNvGraphicFramePr>
              <a:graphicFrameLocks noChangeAspect="1"/>
            </wp:cNvGraphicFramePr>
            <a:graphic>
              <a:graphicData uri="http://schemas.openxmlformats.org/drawingml/2006/picture">
                <pic:pic>
                  <pic:nvPicPr>
                    <pic:cNvPr id="0" name="farmer_tools.png"/>
                    <pic:cNvPicPr/>
                  </pic:nvPicPr>
                  <pic:blipFill>
                    <a:blip r:embed="rId23"/>
                    <a:stretch>
                      <a:fillRect/>
                    </a:stretch>
                  </pic:blipFill>
                  <pic:spPr>
                    <a:xfrm>
                      <a:off x="0" y="0"/>
                      <a:ext cx="5852160" cy="3167637"/>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13: </w:t>
      </w:r>
      <w:r>
        <w:rPr>
          <w:rFonts w:ascii="Calibri" w:hAnsi="Calibri"/>
          <w:i/>
          <w:color w:val="4B5563"/>
          <w:sz w:val="19"/>
        </w:rPr>
        <w:t>Farmer Utility Suite Hub Providing Access to Specialized Calculators and Tools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13 showcases the Farmer Utility Suite Hub, a centralized landing area that aggregates five specialized agricultural decision-support calculators into an attractive visual grid. Each tool card features a custom thematic icon, a concise summary of its functional capability, estimated calculation time, and a 'Launch Tool' button. The tools displayed are: Weather Analysis &amp; Climate Trends, Multi-Season Crop Rotation Planner, Precision Seed Quantity Calculator, Soil Health Diagnostic Card, and Symptom-Based Pest &amp; Disease Diagnosis.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utility hub is organized as a modular React router container. Each tool operates as an independent sub-component, maintaining its own local state while sharing global farm profile data (e.g., active state, district, and land area) via React Context. This architecture allows farmers to seamlessly transition between tools without re-entering repetitive baseline farm parameters.</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Rather than forcing farmers to search across disconnected web tools or manual calculation tables, the utility suite consolidates all critical pre-sowing and in-season operational calculators into a single, cohesive workflow, significantly enhancing operational farm efficiency.</w:t>
      </w:r>
    </w:p>
    <w:p>
      <w:pPr>
        <w:spacing w:before="0" w:after="80" w:line="276" w:lineRule="auto"/>
        <w:jc w:val="left"/>
      </w:pPr>
    </w:p>
    <w:p>
      <w:pPr>
        <w:keepNext/>
        <w:spacing w:before="220" w:after="80" w:line="264" w:lineRule="auto"/>
        <w:jc w:val="left"/>
      </w:pPr>
      <w:r>
        <w:rPr>
          <w:rFonts w:ascii="Calibri" w:hAnsi="Calibri"/>
          <w:b/>
          <w:color w:val="1F4E3D"/>
          <w:sz w:val="26"/>
        </w:rPr>
        <w:t>6.14 Agro-Meteorological Weather Monitoring &amp; Microclimate Analysis</w:t>
      </w:r>
    </w:p>
    <w:p>
      <w:pPr>
        <w:keepNext/>
        <w:spacing w:before="160" w:after="60" w:line="276" w:lineRule="auto"/>
        <w:jc w:val="center"/>
      </w:pPr>
      <w:r>
        <w:drawing>
          <wp:inline xmlns:a="http://schemas.openxmlformats.org/drawingml/2006/main" xmlns:pic="http://schemas.openxmlformats.org/drawingml/2006/picture">
            <wp:extent cx="5852160" cy="3585514"/>
            <wp:docPr id="14" name="Picture 14"/>
            <wp:cNvGraphicFramePr>
              <a:graphicFrameLocks noChangeAspect="1"/>
            </wp:cNvGraphicFramePr>
            <a:graphic>
              <a:graphicData uri="http://schemas.openxmlformats.org/drawingml/2006/picture">
                <pic:pic>
                  <pic:nvPicPr>
                    <pic:cNvPr id="0" name="weather_analysis.png"/>
                    <pic:cNvPicPr/>
                  </pic:nvPicPr>
                  <pic:blipFill>
                    <a:blip r:embed="rId24"/>
                    <a:stretch>
                      <a:fillRect/>
                    </a:stretch>
                  </pic:blipFill>
                  <pic:spPr>
                    <a:xfrm>
                      <a:off x="0" y="0"/>
                      <a:ext cx="5852160" cy="3585514"/>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14: </w:t>
      </w:r>
      <w:r>
        <w:rPr>
          <w:rFonts w:ascii="Calibri" w:hAnsi="Calibri"/>
          <w:i/>
          <w:color w:val="4B5563"/>
          <w:sz w:val="19"/>
        </w:rPr>
        <w:t>Agro-Meteorological Weather Monitoring Interface with 7-Day Forecast Trends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14 displays the Weather Analysis and Microclimate Monitoring module. The screen presents a 7-day weather forecast tailored to the farmer's selected district. Key meteorological parameters tracked include: Daily Maximum/Minimum Temperatures, Expected Rainfall Volume (mm), Probability of Precipitation (%), Relative Humidity (%), Wind Speed &amp; Direction, and UV Index. Graphical line charts display temperature and rainfall trends over the upcoming week, accompanied by clear color-coded agricultural alert badges ('Favorable Sowing Window', 'High Humidity: Fungal Risk', 'Heavy Rain: Delay Spraying').</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weather service interfaces with open meteorological data providers, querying district-level forecasts cached in memory with a 1-hour Time-to-Live (TTL) to avoid API rate limits. The backend evaluates raw meteorological parameters against agronomic rule thresholds (e.g., humidity &gt; 80% combined with temperatures between 22–28°C triggers fungal infection warnings). These derived agro-weather advisories are appended to the response payload.</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Applying expensive pesticides immediately before heavy rainfall results in chemical runoff, financial loss, and environmental contamination. By providing accurate 7-day rainfall and humidity forecasts paired with practical spraying advice, this tool helps farmers optimize chemical application timing and protect their crop investments.</w:t>
      </w:r>
    </w:p>
    <w:p>
      <w:pPr>
        <w:spacing w:before="0" w:after="80" w:line="276" w:lineRule="auto"/>
        <w:jc w:val="left"/>
      </w:pPr>
    </w:p>
    <w:p>
      <w:pPr>
        <w:keepNext/>
        <w:spacing w:before="220" w:after="80" w:line="264" w:lineRule="auto"/>
        <w:jc w:val="left"/>
      </w:pPr>
      <w:r>
        <w:rPr>
          <w:rFonts w:ascii="Calibri" w:hAnsi="Calibri"/>
          <w:b/>
          <w:color w:val="1F4E3D"/>
          <w:sz w:val="26"/>
        </w:rPr>
        <w:t>6.15 Multi-Season Crop Rotation &amp; Soil Replenishment Planner</w:t>
      </w:r>
    </w:p>
    <w:p>
      <w:pPr>
        <w:keepNext/>
        <w:spacing w:before="160" w:after="60" w:line="276" w:lineRule="auto"/>
        <w:jc w:val="center"/>
      </w:pPr>
      <w:r>
        <w:drawing>
          <wp:inline xmlns:a="http://schemas.openxmlformats.org/drawingml/2006/main" xmlns:pic="http://schemas.openxmlformats.org/drawingml/2006/picture">
            <wp:extent cx="6035040" cy="2321564"/>
            <wp:docPr id="15" name="Picture 15"/>
            <wp:cNvGraphicFramePr>
              <a:graphicFrameLocks noChangeAspect="1"/>
            </wp:cNvGraphicFramePr>
            <a:graphic>
              <a:graphicData uri="http://schemas.openxmlformats.org/drawingml/2006/picture">
                <pic:pic>
                  <pic:nvPicPr>
                    <pic:cNvPr id="0" name="crop_rotation.png"/>
                    <pic:cNvPicPr/>
                  </pic:nvPicPr>
                  <pic:blipFill>
                    <a:blip r:embed="rId25"/>
                    <a:stretch>
                      <a:fillRect/>
                    </a:stretch>
                  </pic:blipFill>
                  <pic:spPr>
                    <a:xfrm>
                      <a:off x="0" y="0"/>
                      <a:ext cx="6035040" cy="2321564"/>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15: </w:t>
      </w:r>
      <w:r>
        <w:rPr>
          <w:rFonts w:ascii="Calibri" w:hAnsi="Calibri"/>
          <w:i/>
          <w:color w:val="4B5563"/>
          <w:sz w:val="19"/>
        </w:rPr>
        <w:t>Crop Rotation Planner Designing 3-Season Legume-Cereal Succession Cycles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15 illustrates the Crop Rotation Planning tool. The interface guides the farmer through a three-season crop succession matrix: Kharif (Monsoon), Rabi (Winter), and Zaid (Summer). The farmer selects their primary crop, and the system automatically generates recommended succession sequences. Each proposed rotation sequence is evaluated across four visual indicators: Soil Nitrogen Replenishment (+N Score), Pest Cycle Disruption Rating, Weed Suppression Index, and Projected Soil Health Improvement.</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crop rotation algorithm is built on scientific agro-ecological succession principles: deep-rooted crops are alternated with shallow-rooted crops to utilize soil nutrients at varying depths; heavy nitrogen feeders (such as Maize or Cotton) are followed by leguminous nitrogen-fixing crops (such as Chickpea, Pigeonpea, or Groundnut); and botanical families are systematically rotated to interrupt pest and pathogen life cycles.</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Continuous monocropping rapidly exhausts specific soil nutrients and fosters persistent weed and pest colonies. By adopting the scientific crop rotation plans recommended by this module, farmers can naturally replenish soil nitrogen, break pest cycles without heavy chemicals, and sustain long-term soil productivity.</w:t>
      </w:r>
    </w:p>
    <w:p>
      <w:pPr>
        <w:spacing w:before="0" w:after="80" w:line="276" w:lineRule="auto"/>
        <w:jc w:val="left"/>
      </w:pPr>
    </w:p>
    <w:p>
      <w:pPr>
        <w:keepNext/>
        <w:spacing w:before="220" w:after="80" w:line="264" w:lineRule="auto"/>
        <w:jc w:val="left"/>
      </w:pPr>
      <w:r>
        <w:rPr>
          <w:rFonts w:ascii="Calibri" w:hAnsi="Calibri"/>
          <w:b/>
          <w:color w:val="1F4E3D"/>
          <w:sz w:val="26"/>
        </w:rPr>
        <w:t>6.16 Precision Seed Quantity &amp; Sowing Density Calculator</w:t>
      </w:r>
    </w:p>
    <w:p>
      <w:pPr>
        <w:keepNext/>
        <w:spacing w:before="160" w:after="60" w:line="276" w:lineRule="auto"/>
        <w:jc w:val="center"/>
      </w:pPr>
      <w:r>
        <w:drawing>
          <wp:inline xmlns:a="http://schemas.openxmlformats.org/drawingml/2006/main" xmlns:pic="http://schemas.openxmlformats.org/drawingml/2006/picture">
            <wp:extent cx="6035040" cy="2424159"/>
            <wp:docPr id="16" name="Picture 16"/>
            <wp:cNvGraphicFramePr>
              <a:graphicFrameLocks noChangeAspect="1"/>
            </wp:cNvGraphicFramePr>
            <a:graphic>
              <a:graphicData uri="http://schemas.openxmlformats.org/drawingml/2006/picture">
                <pic:pic>
                  <pic:nvPicPr>
                    <pic:cNvPr id="0" name="seed_quantity_calcultor.png"/>
                    <pic:cNvPicPr/>
                  </pic:nvPicPr>
                  <pic:blipFill>
                    <a:blip r:embed="rId26"/>
                    <a:stretch>
                      <a:fillRect/>
                    </a:stretch>
                  </pic:blipFill>
                  <pic:spPr>
                    <a:xfrm>
                      <a:off x="0" y="0"/>
                      <a:ext cx="6035040" cy="2424159"/>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16: </w:t>
      </w:r>
      <w:r>
        <w:rPr>
          <w:rFonts w:ascii="Calibri" w:hAnsi="Calibri"/>
          <w:i/>
          <w:color w:val="4B5563"/>
          <w:sz w:val="19"/>
        </w:rPr>
        <w:t>Precision Seed Quantity Calculator Based on Spacing and Germination Rates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16 depicts the Precision Seed Quantity Calculator. The input form captures: Selected Crop Variety, Field Area (in Acres or Hectares), Sowing Method (Broadcasting, Line Sowing, Dibbling, or System of Rice Intensification [SRI]), Row-to-Row Spacing (cm), Plant-to-Plant Spacing (cm), Certified Seed Germination Rate (%), and Seed Purity Rate (%). The tool instantly outputs: Total Seed Required (in Kilograms), Target Plant Population per Acre, Recommended Number of Seeds per Hill, and Estimated Seed Cost based on current market seed prices.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calculator executes precision agronomic seed rate formulas: `Plant_Population = (Area_m2 * 10,000) / (Row_Spacing_cm * Plant_Spacing_cm)`. The required seed weight is computed as: `Seed_Weight_Kg = (Plant_Population * 1000_Grain_Weight_g) / (Germination_% * Purity_% * 1000)`. A safety buffer of 5–10% is factored in to account for early field emergence mortality.</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Improper sowing density severely depresses crop yields. Sowing too densely causes intense inter-plant competition for sunlight and nutrients, resulting in weak, lodging-prone stems; sowing too sparsely leaves open canopy space for aggressive weed competition. This tool ensures optimal plant population density while preventing wasteful over-purchasing of expensive certified hybrid seeds.</w:t>
      </w:r>
    </w:p>
    <w:p>
      <w:pPr>
        <w:spacing w:before="0" w:after="80" w:line="276" w:lineRule="auto"/>
        <w:jc w:val="left"/>
      </w:pPr>
    </w:p>
    <w:p>
      <w:pPr>
        <w:keepNext/>
        <w:spacing w:before="220" w:after="80" w:line="264" w:lineRule="auto"/>
        <w:jc w:val="left"/>
      </w:pPr>
      <w:r>
        <w:rPr>
          <w:rFonts w:ascii="Calibri" w:hAnsi="Calibri"/>
          <w:b/>
          <w:color w:val="1F4E3D"/>
          <w:sz w:val="26"/>
        </w:rPr>
        <w:t>6.17 Integrated Pest &amp; Disease Diagnostic Decision System</w:t>
      </w:r>
    </w:p>
    <w:p>
      <w:pPr>
        <w:keepNext/>
        <w:spacing w:before="160" w:after="60" w:line="276" w:lineRule="auto"/>
        <w:jc w:val="center"/>
      </w:pPr>
      <w:r>
        <w:drawing>
          <wp:inline xmlns:a="http://schemas.openxmlformats.org/drawingml/2006/main" xmlns:pic="http://schemas.openxmlformats.org/drawingml/2006/picture">
            <wp:extent cx="6035040" cy="2567144"/>
            <wp:docPr id="17" name="Picture 17"/>
            <wp:cNvGraphicFramePr>
              <a:graphicFrameLocks noChangeAspect="1"/>
            </wp:cNvGraphicFramePr>
            <a:graphic>
              <a:graphicData uri="http://schemas.openxmlformats.org/drawingml/2006/picture">
                <pic:pic>
                  <pic:nvPicPr>
                    <pic:cNvPr id="0" name="pest_disease_diagonsis.png"/>
                    <pic:cNvPicPr/>
                  </pic:nvPicPr>
                  <pic:blipFill>
                    <a:blip r:embed="rId27"/>
                    <a:stretch>
                      <a:fillRect/>
                    </a:stretch>
                  </pic:blipFill>
                  <pic:spPr>
                    <a:xfrm>
                      <a:off x="0" y="0"/>
                      <a:ext cx="6035040" cy="2567144"/>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17: </w:t>
      </w:r>
      <w:r>
        <w:rPr>
          <w:rFonts w:ascii="Calibri" w:hAnsi="Calibri"/>
          <w:i/>
          <w:color w:val="4B5563"/>
          <w:sz w:val="19"/>
        </w:rPr>
        <w:t>Integrated Pest and Disease Diagnostic System with Symptom Checklist and Remedies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17 presents the Pest &amp; Disease Diagnostic System. Farmers select their affected crop and specify visible crop symptoms across key plant anatomy: Leaf Symptoms (yellowing, curling, holes, powdery spots, mosaic pattern), Stem Symptoms (wilting, lesions, hollow stems), Root Symptoms (galls, root rot), and Fruit/Pod Damage. The system dynamically matches the symptoms against an agricultural pathology knowledge base, presenting the Most Probable Diagnosis, Pathogen Classification (Fungal, Bacterial, Viral, or Insect Pest), Severity Level, and a dual Integrated Pest Management (IPM) treatment plan featuring Organic/Biological Remedies alongside Chemical Controls.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diagnostic engine utilizes a weighted rule-based expert decision system combined with botanical disease taxonomies. Each selected symptom increments match scores across known regional crop diseases. Diseases exceeding an 80% confidence threshold are returned alongside recommended curative measures: biological controls (e.g., Neem oil spray, Trichoderma viride application) and specific chemical bactericides or fungicides (e.g., Mancozeb, Copper Oxychloride) including precise water-dilution ratios.</w:t>
      </w:r>
    </w:p>
    <w:p>
      <w:pPr>
        <w:spacing w:before="40" w:after="80" w:line="276" w:lineRule="auto"/>
        <w:jc w:val="left"/>
      </w:pPr>
      <w:r>
        <w:rPr>
          <w:rFonts w:ascii="Calibri" w:hAnsi="Calibri"/>
          <w:b/>
          <w:color w:val="1F4E3D"/>
          <w:sz w:val="20"/>
        </w:rPr>
        <w:t xml:space="preserve">Agronomic Value &amp; Practical Decision Support: </w:t>
      </w:r>
      <w:r>
        <w:rPr>
          <w:rFonts w:ascii="Calibri" w:hAnsi="Calibri"/>
          <w:color w:val="1F2937"/>
          <w:sz w:val="20"/>
        </w:rPr>
        <w:t>Misdiagnosing a crop disease leads to ineffective chemical spraying, wasted capital, and unchecked crop destruction. By providing a structured, symptom-based diagnostic checklist, this module helps farmers accurately identify pathogens early and apply targeted, environmentally sound treatments before economic threshold limits are exceeded.</w:t>
      </w:r>
    </w:p>
    <w:p>
      <w:pPr>
        <w:spacing w:before="0" w:after="80" w:line="276" w:lineRule="auto"/>
        <w:jc w:val="left"/>
      </w:pPr>
    </w:p>
    <w:p>
      <w:r>
        <w:br w:type="page"/>
      </w:r>
    </w:p>
    <w:p>
      <w:pPr>
        <w:keepNext/>
        <w:spacing w:before="320" w:after="120" w:line="264" w:lineRule="auto"/>
        <w:jc w:val="left"/>
      </w:pPr>
      <w:r>
        <w:rPr>
          <w:rFonts w:ascii="Calibri" w:hAnsi="Calibri"/>
          <w:b/>
          <w:color w:val="0B6E4F"/>
          <w:sz w:val="33"/>
        </w:rPr>
        <w:t>7. Administrator Experience &amp; Governance Controls</w:t>
      </w:r>
    </w:p>
    <w:p>
      <w:pPr>
        <w:spacing w:before="0" w:after="80" w:line="276" w:lineRule="auto"/>
        <w:jc w:val="left"/>
      </w:pPr>
      <w:r>
        <w:rPr>
          <w:rFonts w:ascii="Calibri" w:hAnsi="Calibri"/>
          <w:b w:val="0"/>
          <w:i w:val="0"/>
          <w:color w:val="1F2937"/>
          <w:sz w:val="21"/>
        </w:rPr>
        <w:t>The Administrator workspace in AgriYield AI is designed as a centralized platform command center. It provides platform-level intelligence, user lifecycle governance, global prediction telemetry, security audit tracking, and dataset management without cluttering the farmer experience. Figures 18 through 21 document each administrative subsystem.</w:t>
      </w:r>
    </w:p>
    <w:p>
      <w:pPr>
        <w:keepNext/>
        <w:spacing w:before="220" w:after="80" w:line="264" w:lineRule="auto"/>
        <w:jc w:val="left"/>
      </w:pPr>
      <w:r>
        <w:rPr>
          <w:rFonts w:ascii="Calibri" w:hAnsi="Calibri"/>
          <w:b/>
          <w:color w:val="1F4E3D"/>
          <w:sz w:val="26"/>
        </w:rPr>
        <w:t>7.1 Administrator Platform Intelligence &amp; Operations Dashboard</w:t>
      </w:r>
    </w:p>
    <w:p>
      <w:pPr>
        <w:keepNext/>
        <w:spacing w:before="160" w:after="60" w:line="276" w:lineRule="auto"/>
        <w:jc w:val="center"/>
      </w:pPr>
      <w:r>
        <w:drawing>
          <wp:inline xmlns:a="http://schemas.openxmlformats.org/drawingml/2006/main" xmlns:pic="http://schemas.openxmlformats.org/drawingml/2006/picture">
            <wp:extent cx="5852160" cy="3471620"/>
            <wp:docPr id="18" name="Picture 18"/>
            <wp:cNvGraphicFramePr>
              <a:graphicFrameLocks noChangeAspect="1"/>
            </wp:cNvGraphicFramePr>
            <a:graphic>
              <a:graphicData uri="http://schemas.openxmlformats.org/drawingml/2006/picture">
                <pic:pic>
                  <pic:nvPicPr>
                    <pic:cNvPr id="0" name="admin_dashboard.png"/>
                    <pic:cNvPicPr/>
                  </pic:nvPicPr>
                  <pic:blipFill>
                    <a:blip r:embed="rId28"/>
                    <a:stretch>
                      <a:fillRect/>
                    </a:stretch>
                  </pic:blipFill>
                  <pic:spPr>
                    <a:xfrm>
                      <a:off x="0" y="0"/>
                      <a:ext cx="5852160" cy="3471620"/>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18: </w:t>
      </w:r>
      <w:r>
        <w:rPr>
          <w:rFonts w:ascii="Calibri" w:hAnsi="Calibri"/>
          <w:i/>
          <w:color w:val="4B5563"/>
          <w:sz w:val="19"/>
        </w:rPr>
        <w:t>Administrator Intelligence Command Center with Platform KPIs and Crop Analytics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18 illustrates the Administrator Command Center. The top metric strip presents four platform KPIs: Total Registered Users (with farmer vs. admin breakdown), Total Predictions Executed, Average Forecasted Yield across all sessions (Kg/ha), and Active User Sessions. Below the KPI cards, interactive graphical widgets showcase: Most Frequently Forecasted Crops (bar chart showing Rice, Wheat, Cotton, Maize, and Groundnut distribution), Top Active States &amp; Districts (geographic activity map), and Recent System Activity Feed. An administrative action bar enables one-click broadcast announcements, database backups, and global report exports.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When an administrator accesses `/admin`, the React application calls `GET /api/admin/stats`. The FastAPI backend verifies that the caller's JWT token contains `role: 'admin'`. If a non-admin attempts to access this endpoint, FastAPI returns an HTTP 403 Forbidden exception. The backend computes platform aggregates by reading `data/users.json` and `data/predictions.json`, calculating real-time frequency distributions, active account tallies, and mean yields in memory within 40 milliseconds.</w:t>
      </w:r>
    </w:p>
    <w:p>
      <w:pPr>
        <w:spacing w:before="40" w:after="80" w:line="276" w:lineRule="auto"/>
        <w:jc w:val="left"/>
      </w:pPr>
      <w:r>
        <w:rPr>
          <w:rFonts w:ascii="Calibri" w:hAnsi="Calibri"/>
          <w:b/>
          <w:color w:val="1F4E3D"/>
          <w:sz w:val="20"/>
        </w:rPr>
        <w:t xml:space="preserve">Governance Value &amp; Administrative Operations: </w:t>
      </w:r>
      <w:r>
        <w:rPr>
          <w:rFonts w:ascii="Calibri" w:hAnsi="Calibri"/>
          <w:color w:val="1F2937"/>
          <w:sz w:val="20"/>
        </w:rPr>
        <w:t>The command center gives platform managers real-time visibility into agricultural demand and user engagement. Administrators can identify which regions or crops are experiencing peak advisory demand, allowing extension agencies and agricultural cooperatives to align physical resources (such as fertilizer stock or hybrid seed supplies) with actual farmer interest.</w:t>
      </w:r>
    </w:p>
    <w:p>
      <w:pPr>
        <w:spacing w:before="0" w:after="80" w:line="276" w:lineRule="auto"/>
        <w:jc w:val="left"/>
      </w:pPr>
    </w:p>
    <w:p>
      <w:pPr>
        <w:keepNext/>
        <w:spacing w:before="220" w:after="80" w:line="264" w:lineRule="auto"/>
        <w:jc w:val="left"/>
      </w:pPr>
      <w:r>
        <w:rPr>
          <w:rFonts w:ascii="Calibri" w:hAnsi="Calibri"/>
          <w:b/>
          <w:color w:val="1F4E3D"/>
          <w:sz w:val="26"/>
        </w:rPr>
        <w:t>7.2 User Lifecycle Administration &amp; Role-Based Access Control</w:t>
      </w:r>
    </w:p>
    <w:p>
      <w:pPr>
        <w:keepNext/>
        <w:spacing w:before="160" w:after="60" w:line="276" w:lineRule="auto"/>
        <w:jc w:val="center"/>
      </w:pPr>
      <w:r>
        <w:drawing>
          <wp:inline xmlns:a="http://schemas.openxmlformats.org/drawingml/2006/main" xmlns:pic="http://schemas.openxmlformats.org/drawingml/2006/picture">
            <wp:extent cx="5852160" cy="2894565"/>
            <wp:docPr id="19" name="Picture 19"/>
            <wp:cNvGraphicFramePr>
              <a:graphicFrameLocks noChangeAspect="1"/>
            </wp:cNvGraphicFramePr>
            <a:graphic>
              <a:graphicData uri="http://schemas.openxmlformats.org/drawingml/2006/picture">
                <pic:pic>
                  <pic:nvPicPr>
                    <pic:cNvPr id="0" name="user_management.png"/>
                    <pic:cNvPicPr/>
                  </pic:nvPicPr>
                  <pic:blipFill>
                    <a:blip r:embed="rId29"/>
                    <a:stretch>
                      <a:fillRect/>
                    </a:stretch>
                  </pic:blipFill>
                  <pic:spPr>
                    <a:xfrm>
                      <a:off x="0" y="0"/>
                      <a:ext cx="5852160" cy="2894565"/>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19: </w:t>
      </w:r>
      <w:r>
        <w:rPr>
          <w:rFonts w:ascii="Calibri" w:hAnsi="Calibri"/>
          <w:i/>
          <w:color w:val="4B5563"/>
          <w:sz w:val="19"/>
        </w:rPr>
        <w:t>User Lifecycle Management Table with Role Assignment and Status Controls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19 displays the User Management Administration panel. The interface consists of a responsive data table listing all registered accounts with columns: User UUID, Full Name, Email Address, Role (Farmer / Admin), Account Status (Active / Pending / Disabled), Registration Date, and an Action Menu. A global search bar enables instant filtering by name or email, while role and status filter chips narrow down account lists. Action buttons allow administrators to toggle account status (Activate, Suspend, Disable), reassign user roles, or reset account lockout states.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Account modifications trigger `PATCH /api/admin/users/{user_id}`. The FastAPI endpoint enforces strict security constraints: an administrator cannot delete or disable their own active account, preventing accidental platform lockout. Role promotions or status suspensions are immediately saved to `data/users.json`, and an immutable event record is created in the administrative audit log detailing who modified the account, the prior state, the new state, and the timestamp.</w:t>
      </w:r>
    </w:p>
    <w:p>
      <w:pPr>
        <w:spacing w:before="40" w:after="80" w:line="276" w:lineRule="auto"/>
        <w:jc w:val="left"/>
      </w:pPr>
      <w:r>
        <w:rPr>
          <w:rFonts w:ascii="Calibri" w:hAnsi="Calibri"/>
          <w:b/>
          <w:color w:val="1F4E3D"/>
          <w:sz w:val="20"/>
        </w:rPr>
        <w:t xml:space="preserve">Governance Value &amp; Administrative Operations: </w:t>
      </w:r>
      <w:r>
        <w:rPr>
          <w:rFonts w:ascii="Calibri" w:hAnsi="Calibri"/>
          <w:color w:val="1F2937"/>
          <w:sz w:val="20"/>
        </w:rPr>
        <w:t>User management provides granular access control and fraud mitigation. If an account exhibits abusive behavior, abnormal API traffic, or credential compromise, administrators can immediately suspend the account, preventing malicious access to platform prediction microservices while preserving historical audit records.</w:t>
      </w:r>
    </w:p>
    <w:p>
      <w:pPr>
        <w:spacing w:before="0" w:after="80" w:line="276" w:lineRule="auto"/>
        <w:jc w:val="left"/>
      </w:pPr>
    </w:p>
    <w:p>
      <w:pPr>
        <w:keepNext/>
        <w:spacing w:before="220" w:after="80" w:line="264" w:lineRule="auto"/>
        <w:jc w:val="left"/>
      </w:pPr>
      <w:r>
        <w:rPr>
          <w:rFonts w:ascii="Calibri" w:hAnsi="Calibri"/>
          <w:b/>
          <w:color w:val="1F4E3D"/>
          <w:sz w:val="26"/>
        </w:rPr>
        <w:t>7.3 Platform-Wide Prediction Activity Telemetry &amp; Monitoring</w:t>
      </w:r>
    </w:p>
    <w:p>
      <w:pPr>
        <w:keepNext/>
        <w:spacing w:before="160" w:after="60" w:line="276" w:lineRule="auto"/>
        <w:jc w:val="center"/>
      </w:pPr>
      <w:r>
        <w:drawing>
          <wp:inline xmlns:a="http://schemas.openxmlformats.org/drawingml/2006/main" xmlns:pic="http://schemas.openxmlformats.org/drawingml/2006/picture">
            <wp:extent cx="5852160" cy="3743033"/>
            <wp:docPr id="20" name="Picture 20"/>
            <wp:cNvGraphicFramePr>
              <a:graphicFrameLocks noChangeAspect="1"/>
            </wp:cNvGraphicFramePr>
            <a:graphic>
              <a:graphicData uri="http://schemas.openxmlformats.org/drawingml/2006/picture">
                <pic:pic>
                  <pic:nvPicPr>
                    <pic:cNvPr id="0" name="prediction_monitoring.png"/>
                    <pic:cNvPicPr/>
                  </pic:nvPicPr>
                  <pic:blipFill>
                    <a:blip r:embed="rId30"/>
                    <a:stretch>
                      <a:fillRect/>
                    </a:stretch>
                  </pic:blipFill>
                  <pic:spPr>
                    <a:xfrm>
                      <a:off x="0" y="0"/>
                      <a:ext cx="5852160" cy="3743033"/>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20: </w:t>
      </w:r>
      <w:r>
        <w:rPr>
          <w:rFonts w:ascii="Calibri" w:hAnsi="Calibri"/>
          <w:i/>
          <w:color w:val="4B5563"/>
          <w:sz w:val="19"/>
        </w:rPr>
        <w:t>Global Prediction Monitoring Table with Filtering and CSV Report Export</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20 illustrates the Global Prediction Activity Monitoring interface. This screen provides an exhaustive, platform-wide record of every yield forecast generated across all farmers. The data table displays: Prediction ID, Farmer Name &amp; Email, State &amp; District, Crop Variety, Target Harvest Year, Cultivated Area (ha), Forecasted Yield (Kg/ha), Total Production (MT), AI Provider Mode utilized, and Timestamp. Comprehensive multi-criteria filters enable administrators to query predictions by date range, specific crop, state, or area threshold. A prominent 'Export CSV Report' button downloads the filtered dataset.</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table queries `GET /api/admin/predictions` with optional query parameters (`crop`, `state`, `year`, `limit`, `offset`). The FastAPI handler applies server-side filtering across `data/predictions.json`. For CSV exports, the backend streams the filtered dataset formatted in RFC 4180 compliant CSV format, complete with appropriate `Content-Disposition: attachment; filename=agri_predictions_report.csv` response headers.</w:t>
      </w:r>
    </w:p>
    <w:p>
      <w:pPr>
        <w:spacing w:before="40" w:after="80" w:line="276" w:lineRule="auto"/>
        <w:jc w:val="left"/>
      </w:pPr>
      <w:r>
        <w:rPr>
          <w:rFonts w:ascii="Calibri" w:hAnsi="Calibri"/>
          <w:b/>
          <w:color w:val="1F4E3D"/>
          <w:sz w:val="20"/>
        </w:rPr>
        <w:t xml:space="preserve">Governance Value &amp; Administrative Operations: </w:t>
      </w:r>
      <w:r>
        <w:rPr>
          <w:rFonts w:ascii="Calibri" w:hAnsi="Calibri"/>
          <w:color w:val="1F2937"/>
          <w:sz w:val="20"/>
        </w:rPr>
        <w:t>Global prediction monitoring transforms individual farmer queries into macro-level agricultural intelligence. District agricultural officers and policy makers can analyze aggregated crop demand, forecast regional grain surpluses or deficits, and plan regional grain procurement and storage infrastructure well in advance of the harvest season.</w:t>
      </w:r>
    </w:p>
    <w:p>
      <w:pPr>
        <w:spacing w:before="0" w:after="80" w:line="276" w:lineRule="auto"/>
        <w:jc w:val="left"/>
      </w:pPr>
    </w:p>
    <w:p>
      <w:pPr>
        <w:keepNext/>
        <w:spacing w:before="220" w:after="80" w:line="264" w:lineRule="auto"/>
        <w:jc w:val="left"/>
      </w:pPr>
      <w:r>
        <w:rPr>
          <w:rFonts w:ascii="Calibri" w:hAnsi="Calibri"/>
          <w:b/>
          <w:color w:val="1F4E3D"/>
          <w:sz w:val="26"/>
        </w:rPr>
        <w:t>7.4 Security Audit Trail &amp; Authentication Event Logging</w:t>
      </w:r>
    </w:p>
    <w:p>
      <w:pPr>
        <w:keepNext/>
        <w:spacing w:before="160" w:after="60" w:line="276" w:lineRule="auto"/>
        <w:jc w:val="center"/>
      </w:pPr>
      <w:r>
        <w:drawing>
          <wp:inline xmlns:a="http://schemas.openxmlformats.org/drawingml/2006/main" xmlns:pic="http://schemas.openxmlformats.org/drawingml/2006/picture">
            <wp:extent cx="5852160" cy="3639563"/>
            <wp:docPr id="21" name="Picture 21"/>
            <wp:cNvGraphicFramePr>
              <a:graphicFrameLocks noChangeAspect="1"/>
            </wp:cNvGraphicFramePr>
            <a:graphic>
              <a:graphicData uri="http://schemas.openxmlformats.org/drawingml/2006/picture">
                <pic:pic>
                  <pic:nvPicPr>
                    <pic:cNvPr id="0" name="authentication_login_audit_trail_logs.png"/>
                    <pic:cNvPicPr/>
                  </pic:nvPicPr>
                  <pic:blipFill>
                    <a:blip r:embed="rId31"/>
                    <a:stretch>
                      <a:fillRect/>
                    </a:stretch>
                  </pic:blipFill>
                  <pic:spPr>
                    <a:xfrm>
                      <a:off x="0" y="0"/>
                      <a:ext cx="5852160" cy="3639563"/>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21: </w:t>
      </w:r>
      <w:r>
        <w:rPr>
          <w:rFonts w:ascii="Calibri" w:hAnsi="Calibri"/>
          <w:i/>
          <w:color w:val="4B5563"/>
          <w:sz w:val="19"/>
        </w:rPr>
        <w:t>Security Audit Trail Displaying Login Events, IP Addresses, and Lockouts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21 showcases the Security Audit Trail and Authentication Log interface. The table provides an immutable record of security and administrative operations across the platform. Columns detail: Event ID, Event Type (Login Success, Login Failure, Account Lockout, User Role Modified, Announcement Published, Dataset Version Registered), Initiator Email &amp; Role, Client IP Address, User Agent / Browser Details, Timestamp (ISO-8601), and Event Outcome Status (Success / Warning / Failure). Color-coded badges highlight security-sensitive events, such as brute-force lockout triggers.</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Every authentication attempt, role alteration, and administrative configuration change triggers an internal event dispatch to `backend/admin_operations.py`. The audit logger writes an append-only JSON record to `data/audit_log.json` and `data/login_history.json`. These files operate under thread-safe file locking to prevent race conditions during concurrent access. The admin UI fetches these records via `GET /api/admin/audit-log` and `GET /api/admin/login-history`.</w:t>
      </w:r>
    </w:p>
    <w:p>
      <w:pPr>
        <w:spacing w:before="40" w:after="80" w:line="276" w:lineRule="auto"/>
        <w:jc w:val="left"/>
      </w:pPr>
      <w:r>
        <w:rPr>
          <w:rFonts w:ascii="Calibri" w:hAnsi="Calibri"/>
          <w:b/>
          <w:color w:val="1F4E3D"/>
          <w:sz w:val="20"/>
        </w:rPr>
        <w:t xml:space="preserve">Governance Value &amp; Administrative Operations: </w:t>
      </w:r>
      <w:r>
        <w:rPr>
          <w:rFonts w:ascii="Calibri" w:hAnsi="Calibri"/>
          <w:color w:val="1F2937"/>
          <w:sz w:val="20"/>
        </w:rPr>
        <w:t>Comprehensive audit trails are essential for regulatory compliance, data integrity, and cyber-security forensics. If an unauthorized attempt is made to breach an administrative account or scrape prediction endpoints, the audit log captures the attacker's IP address, timestamp, and attempt frequency, allowing administrators to implement network-level blocks or review security policies.</w:t>
      </w:r>
    </w:p>
    <w:p>
      <w:pPr>
        <w:spacing w:before="0" w:after="80" w:line="276" w:lineRule="auto"/>
        <w:jc w:val="left"/>
      </w:pPr>
    </w:p>
    <w:p>
      <w:r>
        <w:br w:type="page"/>
      </w:r>
    </w:p>
    <w:p>
      <w:pPr>
        <w:keepNext/>
        <w:spacing w:before="320" w:after="120" w:line="264" w:lineRule="auto"/>
        <w:jc w:val="left"/>
      </w:pPr>
      <w:r>
        <w:rPr>
          <w:rFonts w:ascii="Calibri" w:hAnsi="Calibri"/>
          <w:b/>
          <w:color w:val="0B6E4F"/>
          <w:sz w:val="33"/>
        </w:rPr>
        <w:t>8. Backend REST API Architecture &amp; Endpoints</w:t>
      </w:r>
    </w:p>
    <w:p>
      <w:pPr>
        <w:spacing w:before="0" w:after="80" w:line="276" w:lineRule="auto"/>
        <w:jc w:val="left"/>
      </w:pPr>
      <w:r>
        <w:rPr>
          <w:rFonts w:ascii="Calibri" w:hAnsi="Calibri"/>
          <w:b w:val="0"/>
          <w:i w:val="0"/>
          <w:color w:val="1F2937"/>
          <w:sz w:val="21"/>
        </w:rPr>
        <w:t>The AgriYield AI backend is engineered using FastAPI, a high-performance Python web framework based on Starlette and Pydantic. The API follows strict REST architectural standards, utilizing JSON request and response payloads, descriptive HTTP status codes (200 OK, 201 Created, 400 Bad Request, 401 Unauthorized, 403 Forbidden, 422 Unprocessable Entity, 500 Internal Server Error), and JWT bearer authorization headers for protected routes.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HTTP Method &amp; Endpoint</w:t>
            </w:r>
          </w:p>
        </w:tc>
        <w:tc>
          <w:tcPr>
            <w:tcW w:type="dxa" w:w="158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Required Role</w:t>
            </w:r>
          </w:p>
        </w:tc>
        <w:tc>
          <w:tcPr>
            <w:tcW w:type="dxa" w:w="244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Input Schema</w:t>
            </w:r>
          </w:p>
        </w:tc>
        <w:tc>
          <w:tcPr>
            <w:tcW w:type="dxa" w:w="316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Core Functionality &amp; Responses</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POST /api/auth/register</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UserRegister (name, email, password, role)</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Registers new user, enforces 8-char password, hashes with Bcrypt, returns JWT token (201).</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POST /api/auth/login</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UserLogin (email, password)</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Authenticates user, checks lockout count, verifies Bcrypt hash, issues signed JWT token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/api/auth/me</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Authenticated</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Bearer Token Header</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Resolves user UUID, full name, email, role, and permissions for current session context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POST /api/predict</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 Admin</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PredictionRequest (state, dist, crop, year, area, lags, ai_mode)</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Executes XGBoost inference, computes production, synthesizes bounded AI advisory, saves record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/api/predictions/history</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Query: limit, offset, crop</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Fetches chronological list of predictions generated by the authenticated farmer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/api/states</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None</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Returns deduplicated list of all 20 Indian agricultural states available in ICRISAT dataset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/api/districts/{state}</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Path: state (string)</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Returns sorted list of 311 valid districts belonging to specified state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/api/crops</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Public</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None</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Returns list of supported agricultural crops with seasonal classification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POST /api/assistant/chat</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Authenticated</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ChatRequest (message, context, lang)</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Routes agricultural question to Gemini 1.5 / Groq with local fallback knowledge base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/api/admin/stats</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Bearer Token (Admin)</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Returns aggregate platform metrics: user counts, total predictions, mean yields, active sessions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/api/admin/users</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Query: search, role, status</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Returns paginated list of all registered platform users with status indicators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PATCH /api/admin/users/{id}</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UserUpdate (status, role)</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Updates account status (Active/Pending/Disabled) or role; prevents self-demotion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/api/admin/predictions</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Query: crop, state, year</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Global telemetry query across all farmer predictions with optional CSV export stream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/api/admin/audit-log</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Query: event_type, limit</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Retrieves immutable administrative security audit trail and system modifications (200).</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GET /api/admin/login-history</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Query: limit</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Retrieves complete login history log with client IPs, timestamps, and lockout states (200).</w:t>
            </w:r>
          </w:p>
        </w:tc>
      </w:tr>
      <w:tr>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POST /api/admin/announcements</w:t>
            </w:r>
          </w:p>
        </w:tc>
        <w:tc>
          <w:tcPr>
            <w:tcW w:type="dxa" w:w="158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AnnouncementCreate (title, msg, target)</w:t>
            </w:r>
          </w:p>
        </w:tc>
        <w:tc>
          <w:tcPr>
            <w:tcW w:type="dxa" w:w="316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Publishes platform-wide alerts to farmers, admins, or all users (201).</w:t>
            </w:r>
          </w:p>
        </w:tc>
      </w:tr>
      <w:tr>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POST /api/admin/dataset-versions</w:t>
            </w:r>
          </w:p>
        </w:tc>
        <w:tc>
          <w:tcPr>
            <w:tcW w:type="dxa" w:w="158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w:t>
            </w:r>
          </w:p>
        </w:tc>
        <w:tc>
          <w:tcPr>
            <w:tcW w:type="dxa" w:w="244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DatasetVersionCreate (name, source, notes)</w:t>
            </w:r>
          </w:p>
        </w:tc>
        <w:tc>
          <w:tcPr>
            <w:tcW w:type="dxa" w:w="316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Records dataset schema versions, source provenance, and retraining metadata (201).</w:t>
            </w:r>
          </w:p>
        </w:tc>
      </w:tr>
    </w:tbl>
    <w:p>
      <w:pPr>
        <w:spacing w:before="0" w:after="60" w:line="276" w:lineRule="auto"/>
        <w:jc w:val="left"/>
      </w:pPr>
    </w:p>
    <w:p>
      <w:pPr>
        <w:keepNext/>
        <w:spacing w:before="220" w:after="80" w:line="264" w:lineRule="auto"/>
        <w:jc w:val="left"/>
      </w:pPr>
      <w:r>
        <w:rPr>
          <w:rFonts w:ascii="Calibri" w:hAnsi="Calibri"/>
          <w:b/>
          <w:color w:val="1F4E3D"/>
          <w:sz w:val="26"/>
        </w:rPr>
        <w:t>8.1 Request Validation &amp; Schema Serialization</w:t>
      </w:r>
    </w:p>
    <w:p>
      <w:pPr>
        <w:spacing w:before="0" w:after="80" w:line="276" w:lineRule="auto"/>
        <w:jc w:val="left"/>
      </w:pPr>
      <w:r>
        <w:rPr>
          <w:rFonts w:ascii="Calibri" w:hAnsi="Calibri"/>
          <w:b w:val="0"/>
          <w:i w:val="0"/>
          <w:color w:val="1F2937"/>
          <w:sz w:val="21"/>
        </w:rPr>
        <w:t>All API inputs are strictly validated at runtime using Pydantic models. For instance, the `PredictionRequest` schema enforces type safety, non-negative area constraints (`confloat(gt=0)`), valid target years (`conint(ge=1979, le=2030)`), and validated crop names. If a client transmits malformed or out-of-range data, FastAPI automatically halts execution and returns a detailed 422 Unprocessable Entity response pinpointing the exact offending field, protecting backend ML algorithms from runtime crashes.</w:t>
      </w:r>
    </w:p>
    <w:p>
      <w:r>
        <w:br w:type="page"/>
      </w:r>
    </w:p>
    <w:p>
      <w:pPr>
        <w:keepNext/>
        <w:spacing w:before="320" w:after="120" w:line="264" w:lineRule="auto"/>
        <w:jc w:val="left"/>
      </w:pPr>
      <w:r>
        <w:rPr>
          <w:rFonts w:ascii="Calibri" w:hAnsi="Calibri"/>
          <w:b/>
          <w:color w:val="0B6E4F"/>
          <w:sz w:val="33"/>
        </w:rPr>
        <w:t>9. System Testing, Verification &amp; API Evidence</w:t>
      </w:r>
    </w:p>
    <w:p>
      <w:pPr>
        <w:spacing w:before="0" w:after="80" w:line="276" w:lineRule="auto"/>
        <w:jc w:val="left"/>
      </w:pPr>
      <w:r>
        <w:rPr>
          <w:rFonts w:ascii="Calibri" w:hAnsi="Calibri"/>
          <w:b w:val="0"/>
          <w:i w:val="0"/>
          <w:color w:val="1F2937"/>
          <w:sz w:val="21"/>
        </w:rPr>
        <w:t>To guarantee software reliability, operational security, and high-performance inference, AgriYield AI was subjected to an exhaustive testing suite encompassing unit compilation tests, isolated backend microservice validation, API contract verification using Swagger UI / Postman / curl, security stress tests, and frontend production build validation. Figures 22 through 24 document real API testing evidence captured from the operational testing workflow.</w:t>
      </w:r>
    </w:p>
    <w:p>
      <w:pPr>
        <w:keepNext/>
        <w:spacing w:before="220" w:after="80" w:line="264" w:lineRule="auto"/>
        <w:jc w:val="left"/>
      </w:pPr>
      <w:r>
        <w:rPr>
          <w:rFonts w:ascii="Calibri" w:hAnsi="Calibri"/>
          <w:b/>
          <w:color w:val="1F4E3D"/>
          <w:sz w:val="26"/>
        </w:rPr>
        <w:t>9.1 Automated API Verification: User Registration Endpoint</w:t>
      </w:r>
    </w:p>
    <w:p>
      <w:pPr>
        <w:keepNext/>
        <w:spacing w:before="160" w:after="60" w:line="276" w:lineRule="auto"/>
        <w:jc w:val="center"/>
      </w:pPr>
      <w:r>
        <w:drawing>
          <wp:inline xmlns:a="http://schemas.openxmlformats.org/drawingml/2006/main" xmlns:pic="http://schemas.openxmlformats.org/drawingml/2006/picture">
            <wp:extent cx="4663440" cy="4722621"/>
            <wp:docPr id="22" name="Picture 22"/>
            <wp:cNvGraphicFramePr>
              <a:graphicFrameLocks noChangeAspect="1"/>
            </wp:cNvGraphicFramePr>
            <a:graphic>
              <a:graphicData uri="http://schemas.openxmlformats.org/drawingml/2006/picture">
                <pic:pic>
                  <pic:nvPicPr>
                    <pic:cNvPr id="0" name="api_testing_register_endpoint.png"/>
                    <pic:cNvPicPr/>
                  </pic:nvPicPr>
                  <pic:blipFill>
                    <a:blip r:embed="rId32"/>
                    <a:stretch>
                      <a:fillRect/>
                    </a:stretch>
                  </pic:blipFill>
                  <pic:spPr>
                    <a:xfrm>
                      <a:off x="0" y="0"/>
                      <a:ext cx="4663440" cy="4722621"/>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22: </w:t>
      </w:r>
      <w:r>
        <w:rPr>
          <w:rFonts w:ascii="Calibri" w:hAnsi="Calibri"/>
          <w:i/>
          <w:color w:val="4B5563"/>
          <w:sz w:val="19"/>
        </w:rPr>
        <w:t>API Verification: POST /api/auth/register Endpoint Validation and Token Issuance</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22 captures the API testing console validating the `POST /api/auth/register` endpoint. The request payload contains: `name: 'Varun Farmer'`, `email: 'varun.test@agriyield.ai'`, `password: 'SecurePass@2026'`, and `role: 'farmer'`. The response panel confirms an HTTP 201 Created status code. The returned JSON payload contains the newly generated user object (UUID, email, name, role: 'farmer', status: 'active') along with an issued JWT Bearer access token and expiration timestamp.</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test verifies that the registration pipeline successfully executes four critical microservices: (1) schema deserialization and validation via Pydantic; (2) email uniqueness verification against `data/users.json`; (3) cryptographic password hashing using Bcrypt with an automatic 12-round salt; and (4) token serialization using HMAC-SHA256 (`pyjwt`). The entire registration transaction executes in 82 milliseconds.</w:t>
      </w:r>
    </w:p>
    <w:p>
      <w:pPr>
        <w:spacing w:before="40" w:after="80" w:line="276" w:lineRule="auto"/>
        <w:jc w:val="left"/>
      </w:pPr>
      <w:r>
        <w:rPr>
          <w:rFonts w:ascii="Calibri" w:hAnsi="Calibri"/>
          <w:b/>
          <w:color w:val="1F4E3D"/>
          <w:sz w:val="20"/>
        </w:rPr>
        <w:t xml:space="preserve">Validation Outcome &amp; Quality Assurance: </w:t>
      </w:r>
      <w:r>
        <w:rPr>
          <w:rFonts w:ascii="Calibri" w:hAnsi="Calibri"/>
          <w:color w:val="1F2937"/>
          <w:sz w:val="20"/>
        </w:rPr>
        <w:t>The registration endpoint passed all boundary condition checks: duplicate email attempts correctly returned HTTP 400 Bad Request; passwords shorter than 8 characters correctly returned HTTP 422 Unprocessable Entity; and valid submissions generated fully compliant JWT tokens.</w:t>
      </w:r>
    </w:p>
    <w:p>
      <w:pPr>
        <w:spacing w:before="0" w:after="80" w:line="276" w:lineRule="auto"/>
        <w:jc w:val="left"/>
      </w:pPr>
    </w:p>
    <w:p>
      <w:pPr>
        <w:keepNext/>
        <w:spacing w:before="220" w:after="80" w:line="264" w:lineRule="auto"/>
        <w:jc w:val="left"/>
      </w:pPr>
      <w:r>
        <w:rPr>
          <w:rFonts w:ascii="Calibri" w:hAnsi="Calibri"/>
          <w:b/>
          <w:color w:val="1F4E3D"/>
          <w:sz w:val="26"/>
        </w:rPr>
        <w:t>9.2 Automated API Verification: Authentication Sign-In Endpoint</w:t>
      </w:r>
    </w:p>
    <w:p>
      <w:pPr>
        <w:keepNext/>
        <w:spacing w:before="160" w:after="60" w:line="276" w:lineRule="auto"/>
        <w:jc w:val="center"/>
      </w:pPr>
      <w:r>
        <w:drawing>
          <wp:inline xmlns:a="http://schemas.openxmlformats.org/drawingml/2006/main" xmlns:pic="http://schemas.openxmlformats.org/drawingml/2006/picture">
            <wp:extent cx="4663440" cy="4599157"/>
            <wp:docPr id="23" name="Picture 23"/>
            <wp:cNvGraphicFramePr>
              <a:graphicFrameLocks noChangeAspect="1"/>
            </wp:cNvGraphicFramePr>
            <a:graphic>
              <a:graphicData uri="http://schemas.openxmlformats.org/drawingml/2006/picture">
                <pic:pic>
                  <pic:nvPicPr>
                    <pic:cNvPr id="0" name="api_testing_login_endpoint.png"/>
                    <pic:cNvPicPr/>
                  </pic:nvPicPr>
                  <pic:blipFill>
                    <a:blip r:embed="rId33"/>
                    <a:stretch>
                      <a:fillRect/>
                    </a:stretch>
                  </pic:blipFill>
                  <pic:spPr>
                    <a:xfrm>
                      <a:off x="0" y="0"/>
                      <a:ext cx="4663440" cy="4599157"/>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23: </w:t>
      </w:r>
      <w:r>
        <w:rPr>
          <w:rFonts w:ascii="Calibri" w:hAnsi="Calibri"/>
          <w:i/>
          <w:color w:val="4B5563"/>
          <w:sz w:val="19"/>
        </w:rPr>
        <w:t>API Verification: POST /api/auth/login Credential Authentication and Role Extraction</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23 shows the verification of the `POST /api/auth/login` endpoint. The request submits the registered user's credentials (`email` and `password`). The response displays an HTTP 200 OK status code. The response body confirms successful authentication, returning the user's profile metadata, verified role permissions, token type ('bearer'), and the cryptographic access token.</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testing workflow verifies the complete authentication pipeline: checking whether the account is currently locked out in `backend/auth.py`; verifying the plain-text password against the stored Bcrypt hash using `bcrypt.checkpw()`; resetting failed login counters upon success; logging the authentication event into `data/login_history.json` with client IP and timestamp; and generating an updated JWT token containing fresh session claims.</w:t>
      </w:r>
    </w:p>
    <w:p>
      <w:pPr>
        <w:spacing w:before="40" w:after="80" w:line="276" w:lineRule="auto"/>
        <w:jc w:val="left"/>
      </w:pPr>
      <w:r>
        <w:rPr>
          <w:rFonts w:ascii="Calibri" w:hAnsi="Calibri"/>
          <w:b/>
          <w:color w:val="1F4E3D"/>
          <w:sz w:val="20"/>
        </w:rPr>
        <w:t xml:space="preserve">Validation Outcome &amp; Quality Assurance: </w:t>
      </w:r>
      <w:r>
        <w:rPr>
          <w:rFonts w:ascii="Calibri" w:hAnsi="Calibri"/>
          <w:color w:val="1F2937"/>
          <w:sz w:val="20"/>
        </w:rPr>
        <w:t>The authentication endpoint demonstrated robust security resilience: submitting an incorrect password returned HTTP 401 Unauthorized; attempting to log in to a disabled account returned HTTP 403 Forbidden; and five consecutive invalid password attempts successfully triggered an HTTP 429 / 403 temporary lockout message.</w:t>
      </w:r>
    </w:p>
    <w:p>
      <w:pPr>
        <w:spacing w:before="0" w:after="80" w:line="276" w:lineRule="auto"/>
        <w:jc w:val="left"/>
      </w:pPr>
    </w:p>
    <w:p>
      <w:pPr>
        <w:keepNext/>
        <w:spacing w:before="220" w:after="80" w:line="264" w:lineRule="auto"/>
        <w:jc w:val="left"/>
      </w:pPr>
      <w:r>
        <w:rPr>
          <w:rFonts w:ascii="Calibri" w:hAnsi="Calibri"/>
          <w:b/>
          <w:color w:val="1F4E3D"/>
          <w:sz w:val="26"/>
        </w:rPr>
        <w:t>9.3 Automated API Verification: Machine Learning Inference Endpoint</w:t>
      </w:r>
    </w:p>
    <w:p>
      <w:pPr>
        <w:keepNext/>
        <w:spacing w:before="160" w:after="60" w:line="276" w:lineRule="auto"/>
        <w:jc w:val="center"/>
      </w:pPr>
      <w:r>
        <w:drawing>
          <wp:inline xmlns:a="http://schemas.openxmlformats.org/drawingml/2006/main" xmlns:pic="http://schemas.openxmlformats.org/drawingml/2006/picture">
            <wp:extent cx="4114800" cy="5772150"/>
            <wp:docPr id="24" name="Picture 24"/>
            <wp:cNvGraphicFramePr>
              <a:graphicFrameLocks noChangeAspect="1"/>
            </wp:cNvGraphicFramePr>
            <a:graphic>
              <a:graphicData uri="http://schemas.openxmlformats.org/drawingml/2006/picture">
                <pic:pic>
                  <pic:nvPicPr>
                    <pic:cNvPr id="0" name="api_testing_predict_endpoint.png"/>
                    <pic:cNvPicPr/>
                  </pic:nvPicPr>
                  <pic:blipFill>
                    <a:blip r:embed="rId34"/>
                    <a:stretch>
                      <a:fillRect/>
                    </a:stretch>
                  </pic:blipFill>
                  <pic:spPr>
                    <a:xfrm>
                      <a:off x="0" y="0"/>
                      <a:ext cx="4114800" cy="5772150"/>
                    </a:xfrm>
                    <a:prstGeom prst="rect"/>
                  </pic:spPr>
                </pic:pic>
              </a:graphicData>
            </a:graphic>
          </wp:inline>
        </w:drawing>
      </w:r>
    </w:p>
    <w:p>
      <w:pPr>
        <w:keepNext/>
        <w:spacing w:before="40" w:after="120" w:line="276" w:lineRule="auto"/>
        <w:jc w:val="center"/>
      </w:pPr>
      <w:r>
        <w:rPr>
          <w:rFonts w:ascii="Calibri" w:hAnsi="Calibri"/>
          <w:b/>
          <w:color w:val="0B6E4F"/>
          <w:sz w:val="19"/>
        </w:rPr>
        <w:t xml:space="preserve">Figure 24: </w:t>
      </w:r>
      <w:r>
        <w:rPr>
          <w:rFonts w:ascii="Calibri" w:hAnsi="Calibri"/>
          <w:i/>
          <w:color w:val="4B5563"/>
          <w:sz w:val="19"/>
        </w:rPr>
        <w:t>API Verification: POST /api/predict Machine Learning Inference &amp; Advisory Synthesis</w:t>
      </w:r>
    </w:p>
    <w:p>
      <w:pPr>
        <w:spacing w:before="40" w:after="80" w:line="276" w:lineRule="auto"/>
        <w:jc w:val="left"/>
      </w:pPr>
      <w:r>
        <w:rPr>
          <w:rFonts w:ascii="Calibri" w:hAnsi="Calibri"/>
          <w:b/>
          <w:color w:val="1F4E3D"/>
          <w:sz w:val="20"/>
        </w:rPr>
        <w:t xml:space="preserve">Interface Architecture &amp; Visual Elements: </w:t>
      </w:r>
      <w:r>
        <w:rPr>
          <w:rFonts w:ascii="Calibri" w:hAnsi="Calibri"/>
          <w:color w:val="1F2937"/>
          <w:sz w:val="20"/>
        </w:rPr>
        <w:t>Figure 24 illustrates the testing of the core Machine Learning prediction endpoint `POST /api/predict`. The test payload provides complete agronomic parameters: `state: 'Andhra Pradesh'`, `dist: 'Guntur'`, `crop: 'Rice'`, `year: 2024`, `area: 4.5`, `previous_yield: 2800.0`, `previous_area: 4.5`, `previous_production: 12600.0`, and `ai_provider: 'local'`. The response returns an HTTP 200 OK status with a structured JSON object containing: `predicted_yield: 2845.50`, `total_production: 12.80`, `unit: 'Kg/ha'`, `confidence_range: [2650.0, 3040.0]`, and a detailed categorized `advisory` dictionary.</w:t>
      </w:r>
    </w:p>
    <w:p>
      <w:pPr>
        <w:spacing w:before="40" w:after="80" w:line="276" w:lineRule="auto"/>
        <w:jc w:val="left"/>
      </w:pPr>
      <w:r>
        <w:rPr>
          <w:rFonts w:ascii="Calibri" w:hAnsi="Calibri"/>
          <w:b/>
          <w:color w:val="1F4E3D"/>
          <w:sz w:val="20"/>
        </w:rPr>
        <w:t xml:space="preserve">Backend Processing &amp; Microservices Flow: </w:t>
      </w:r>
      <w:r>
        <w:rPr>
          <w:rFonts w:ascii="Calibri" w:hAnsi="Calibri"/>
          <w:color w:val="1F2937"/>
          <w:sz w:val="20"/>
        </w:rPr>
        <w:t>The API test validates high-speed model execution: the input values are encoded and fed to `agri_yield_xgboost.joblib` via Joblib. Numerical inference completes in 14 milliseconds. In 'local' mode, the deterministic rule engine generates agronomic advisories without external network calls, yielding a total end-to-end API response time of only 38 milliseconds. The prediction record is verified to persist in `data/predictions.json`.</w:t>
      </w:r>
    </w:p>
    <w:p>
      <w:pPr>
        <w:spacing w:before="40" w:after="80" w:line="276" w:lineRule="auto"/>
        <w:jc w:val="left"/>
      </w:pPr>
      <w:r>
        <w:rPr>
          <w:rFonts w:ascii="Calibri" w:hAnsi="Calibri"/>
          <w:b/>
          <w:color w:val="1F4E3D"/>
          <w:sz w:val="20"/>
        </w:rPr>
        <w:t xml:space="preserve">Validation Outcome &amp; Quality Assurance: </w:t>
      </w:r>
      <w:r>
        <w:rPr>
          <w:rFonts w:ascii="Calibri" w:hAnsi="Calibri"/>
          <w:color w:val="1F2937"/>
          <w:sz w:val="20"/>
        </w:rPr>
        <w:t>The prediction endpoint passed extensive boundary tests: negative area inputs were rejected with HTTP 422; invalid district-state pairings were flagged; and local fallback mode proved 100% resilient when simulated external network disconnections occurred.</w:t>
      </w:r>
    </w:p>
    <w:p>
      <w:pPr>
        <w:spacing w:before="0" w:after="80" w:line="276" w:lineRule="auto"/>
        <w:jc w:val="left"/>
      </w:pPr>
    </w:p>
    <w:p>
      <w:pPr>
        <w:keepNext/>
        <w:spacing w:before="220" w:after="80" w:line="264" w:lineRule="auto"/>
        <w:jc w:val="left"/>
      </w:pPr>
      <w:r>
        <w:rPr>
          <w:rFonts w:ascii="Calibri" w:hAnsi="Calibri"/>
          <w:b/>
          <w:color w:val="1F4E3D"/>
          <w:sz w:val="26"/>
        </w:rPr>
        <w:t>9.4 Comprehensive Test Suite Summary</w:t>
      </w:r>
    </w:p>
    <w:p>
      <w:pPr>
        <w:spacing w:before="0" w:after="80" w:line="276" w:lineRule="auto"/>
        <w:jc w:val="left"/>
      </w:pPr>
      <w:r>
        <w:rPr>
          <w:rFonts w:ascii="Calibri" w:hAnsi="Calibri"/>
          <w:b w:val="0"/>
          <w:i w:val="0"/>
          <w:color w:val="1F2937"/>
          <w:sz w:val="21"/>
        </w:rPr>
        <w:t>The complete verification matrix across all modules and sub-systems is summarized below:</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Testing Area</w:t>
            </w:r>
          </w:p>
        </w:tc>
        <w:tc>
          <w:tcPr>
            <w:tcW w:type="dxa" w:w="331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Test Case Description</w:t>
            </w:r>
          </w:p>
        </w:tc>
        <w:tc>
          <w:tcPr>
            <w:tcW w:type="dxa" w:w="3600"/>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Validation Standard</w:t>
            </w:r>
          </w:p>
        </w:tc>
        <w:tc>
          <w:tcPr>
            <w:tcW w:type="dxa" w:w="100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Test Outcome</w:t>
            </w:r>
          </w:p>
        </w:tc>
      </w:tr>
      <w:tr>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Authentication</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&amp; Admin registration with 8-char password enforcement</w:t>
            </w:r>
          </w:p>
        </w:tc>
        <w:tc>
          <w:tcPr>
            <w:tcW w:type="dxa" w:w="360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HTTP 201 Created; JWT token returned with correct claims</w:t>
            </w:r>
          </w:p>
        </w:tc>
        <w:tc>
          <w:tcPr>
            <w:tcW w:type="dxa" w:w="100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Authentication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Sign-in with valid credentials; invalid password rejection</w:t>
            </w:r>
          </w:p>
        </w:tc>
        <w:tc>
          <w:tcPr>
            <w:tcW w:type="dxa" w:w="360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HTTP 200 on success; HTTP 401 on incorrect password</w:t>
            </w:r>
          </w:p>
        </w:tc>
        <w:tc>
          <w:tcPr>
            <w:tcW w:type="dxa" w:w="100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Security</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Five consecutive invalid sign-ins from same email/IP</w:t>
            </w:r>
          </w:p>
        </w:tc>
        <w:tc>
          <w:tcPr>
            <w:tcW w:type="dxa" w:w="360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15-minute temporary lockout enforced; HTTP 429/403 returned</w:t>
            </w:r>
          </w:p>
        </w:tc>
        <w:tc>
          <w:tcPr>
            <w:tcW w:type="dxa" w:w="100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Authorization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attempting to access /api/admin/* endpoints</w:t>
            </w:r>
          </w:p>
        </w:tc>
        <w:tc>
          <w:tcPr>
            <w:tcW w:type="dxa" w:w="360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HTTP 403 Forbidden; request halted by JWT dependency</w:t>
            </w:r>
          </w:p>
        </w:tc>
        <w:tc>
          <w:tcPr>
            <w:tcW w:type="dxa" w:w="100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ML Prediction</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POST /api/predict in Instant ML mode (local rule engine)</w:t>
            </w:r>
          </w:p>
        </w:tc>
        <w:tc>
          <w:tcPr>
            <w:tcW w:type="dxa" w:w="360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HTTP 200 OK; valid XGBoost yield in &lt;20ms; advisory attached</w:t>
            </w:r>
          </w:p>
        </w:tc>
        <w:tc>
          <w:tcPr>
            <w:tcW w:type="dxa" w:w="100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ML Prediction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POST /api/predict with external LLM timeout simulation (&gt;8s)</w:t>
            </w:r>
          </w:p>
        </w:tc>
        <w:tc>
          <w:tcPr>
            <w:tcW w:type="dxa" w:w="360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Graceful fallback to local advisory; zero client-facing errors</w:t>
            </w:r>
          </w:p>
        </w:tc>
        <w:tc>
          <w:tcPr>
            <w:tcW w:type="dxa" w:w="100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Administration</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Account status toggle (Active -&gt; Pending -&gt; Disabled)</w:t>
            </w:r>
          </w:p>
        </w:tc>
        <w:tc>
          <w:tcPr>
            <w:tcW w:type="dxa" w:w="360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Immediate persistence in users.json; audit record logged</w:t>
            </w:r>
          </w:p>
        </w:tc>
        <w:tc>
          <w:tcPr>
            <w:tcW w:type="dxa" w:w="100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Administration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Administrator attempting to disable own active account</w:t>
            </w:r>
          </w:p>
        </w:tc>
        <w:tc>
          <w:tcPr>
            <w:tcW w:type="dxa" w:w="360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HTTP 400 Bad Request; self-demotion/disable prevented</w:t>
            </w:r>
          </w:p>
        </w:tc>
        <w:tc>
          <w:tcPr>
            <w:tcW w:type="dxa" w:w="100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Audit Logging</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Security, announcement, and dataset version events</w:t>
            </w:r>
          </w:p>
        </w:tc>
        <w:tc>
          <w:tcPr>
            <w:tcW w:type="dxa" w:w="360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Append-only write to audit_log.json with timestamp and IP</w:t>
            </w:r>
          </w:p>
        </w:tc>
        <w:tc>
          <w:tcPr>
            <w:tcW w:type="dxa" w:w="100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r>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Frontend Build</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Vite production compilation (`npm run build`)</w:t>
            </w:r>
          </w:p>
        </w:tc>
        <w:tc>
          <w:tcPr>
            <w:tcW w:type="dxa" w:w="360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Zero JSX/TSX syntax errors; bundle size optimized (&lt;450KB)</w:t>
            </w:r>
          </w:p>
        </w:tc>
        <w:tc>
          <w:tcPr>
            <w:tcW w:type="dxa" w:w="100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PASS</w:t>
            </w:r>
          </w:p>
        </w:tc>
      </w:tr>
    </w:tbl>
    <w:p>
      <w:pPr>
        <w:spacing w:before="0" w:after="60" w:line="276" w:lineRule="auto"/>
        <w:jc w:val="left"/>
      </w:pPr>
    </w:p>
    <w:p>
      <w:r>
        <w:br w:type="page"/>
      </w:r>
    </w:p>
    <w:p>
      <w:pPr>
        <w:keepNext/>
        <w:spacing w:before="320" w:after="120" w:line="264" w:lineRule="auto"/>
        <w:jc w:val="left"/>
      </w:pPr>
      <w:r>
        <w:rPr>
          <w:rFonts w:ascii="Calibri" w:hAnsi="Calibri"/>
          <w:b/>
          <w:color w:val="0B6E4F"/>
          <w:sz w:val="33"/>
        </w:rPr>
        <w:t>10. Security Controls, Reliability &amp; Performance Engineering</w:t>
      </w:r>
    </w:p>
    <w:p>
      <w:pPr>
        <w:spacing w:before="0" w:after="80" w:line="276" w:lineRule="auto"/>
        <w:jc w:val="left"/>
      </w:pPr>
      <w:r>
        <w:rPr>
          <w:rFonts w:ascii="Calibri" w:hAnsi="Calibri"/>
          <w:b w:val="0"/>
          <w:i w:val="0"/>
          <w:color w:val="1F2937"/>
          <w:sz w:val="21"/>
        </w:rPr>
        <w:t>AgriYield AI incorporates enterprise-grade security engineering, defensive programming, and reliability patterns across every tier of the platform to protect user credentials, secure agricultural telemetry, and maintain high service availability.</w:t>
      </w:r>
    </w:p>
    <w:p>
      <w:pPr>
        <w:keepNext/>
        <w:spacing w:before="220" w:after="80" w:line="264" w:lineRule="auto"/>
        <w:jc w:val="left"/>
      </w:pPr>
      <w:r>
        <w:rPr>
          <w:rFonts w:ascii="Calibri" w:hAnsi="Calibri"/>
          <w:b/>
          <w:color w:val="1F4E3D"/>
          <w:sz w:val="26"/>
        </w:rPr>
        <w:t>10.1 Cryptographic Password Hashing &amp; Salt Generation</w:t>
      </w:r>
    </w:p>
    <w:p>
      <w:pPr>
        <w:spacing w:before="0" w:after="80" w:line="276" w:lineRule="auto"/>
        <w:jc w:val="left"/>
      </w:pPr>
      <w:r>
        <w:rPr>
          <w:rFonts w:ascii="Calibri" w:hAnsi="Calibri"/>
          <w:b w:val="0"/>
          <w:i w:val="0"/>
          <w:color w:val="1F2937"/>
          <w:sz w:val="21"/>
        </w:rPr>
        <w:t>User passwords are never stored in plaintext or reversible formats. The platform utilizes Bcrypt (`bcrypt`), an adaptive cryptographic key-derivation function based on the Blowfish cipher. Bcrypt automatically generates a unique 128-bit cryptographic salt for each password and executes 12 rounds of hashing (work factor = 12), providing strong resistance against rainbow table and GPU-accelerated brute-force attacks.</w:t>
      </w:r>
    </w:p>
    <w:p>
      <w:pPr>
        <w:keepNext/>
        <w:spacing w:before="220" w:after="80" w:line="264" w:lineRule="auto"/>
        <w:jc w:val="left"/>
      </w:pPr>
      <w:r>
        <w:rPr>
          <w:rFonts w:ascii="Calibri" w:hAnsi="Calibri"/>
          <w:b/>
          <w:color w:val="1F4E3D"/>
          <w:sz w:val="26"/>
        </w:rPr>
        <w:t>10.2 JSON Web Token (JWT) Bearer Authentication</w:t>
      </w:r>
    </w:p>
    <w:p>
      <w:pPr>
        <w:spacing w:before="0" w:after="80" w:line="276" w:lineRule="auto"/>
        <w:jc w:val="left"/>
      </w:pPr>
      <w:r>
        <w:rPr>
          <w:rFonts w:ascii="Calibri" w:hAnsi="Calibri"/>
          <w:b w:val="0"/>
          <w:i w:val="0"/>
          <w:color w:val="1F2937"/>
          <w:sz w:val="21"/>
        </w:rPr>
        <w:t>Sessions are managed through stateless JSON Web Tokens signed with HMAC-SHA256 (`HS256`) using an enterprise-strength secret key configured in `backend/config.py`. Tokens encapsulate user UUID, email, assigned role, and an expiration timestamp (default: 24 hours). FastAPI routes inject the `get_current_user` dependency, which validates token signatures, verifies expiration, and enforces role requirements before executing business logic.</w:t>
      </w:r>
    </w:p>
    <w:p>
      <w:pPr>
        <w:keepNext/>
        <w:spacing w:before="220" w:after="80" w:line="264" w:lineRule="auto"/>
        <w:jc w:val="left"/>
      </w:pPr>
      <w:r>
        <w:rPr>
          <w:rFonts w:ascii="Calibri" w:hAnsi="Calibri"/>
          <w:b/>
          <w:color w:val="1F4E3D"/>
          <w:sz w:val="26"/>
        </w:rPr>
        <w:t>10.3 Brute-Force Defense: Five-Strike Account Lockout Policy</w:t>
      </w:r>
    </w:p>
    <w:p>
      <w:pPr>
        <w:spacing w:before="0" w:after="80" w:line="276" w:lineRule="auto"/>
        <w:jc w:val="left"/>
      </w:pPr>
      <w:r>
        <w:rPr>
          <w:rFonts w:ascii="Calibri" w:hAnsi="Calibri"/>
          <w:b w:val="0"/>
          <w:i w:val="0"/>
          <w:color w:val="1F2937"/>
          <w:sz w:val="21"/>
        </w:rPr>
        <w:t>To neutralize automated credential-stuffing attacks, `backend/auth.py` maintains an in-memory and persisted failed-login tracker. If an account records five consecutive failed authentication attempts within a 15-minute sliding window, the account is temporarily locked for 15 minutes. Even if the correct password is subsequently submitted during the lockout window, the system rejects authentication, logs a security warning in the audit trail, and informs the user of the lockout duration.</w:t>
      </w:r>
    </w:p>
    <w:p>
      <w:pPr>
        <w:keepNext/>
        <w:spacing w:before="220" w:after="80" w:line="264" w:lineRule="auto"/>
        <w:jc w:val="left"/>
      </w:pPr>
      <w:r>
        <w:rPr>
          <w:rFonts w:ascii="Calibri" w:hAnsi="Calibri"/>
          <w:b/>
          <w:color w:val="1F4E3D"/>
          <w:sz w:val="26"/>
        </w:rPr>
        <w:t>10.4 Resilience Engineering: Bounded Timeouts &amp; Instant ML Fallback</w:t>
      </w:r>
    </w:p>
    <w:p>
      <w:pPr>
        <w:spacing w:before="0" w:after="80" w:line="276" w:lineRule="auto"/>
        <w:jc w:val="left"/>
      </w:pPr>
      <w:r>
        <w:rPr>
          <w:rFonts w:ascii="Calibri" w:hAnsi="Calibri"/>
          <w:b w:val="0"/>
          <w:i w:val="0"/>
          <w:color w:val="1F2937"/>
          <w:sz w:val="21"/>
        </w:rPr>
        <w:t>External generative AI APIs (Google Gemini and Groq) are subject to network latency, regional throttling, or provider outages. Relying synchronously on remote APIs would compromise system availability. AgriYield AI solves this via defensive resilience patterns:</w:t>
      </w:r>
    </w:p>
    <w:p>
      <w:pPr>
        <w:pStyle w:val="ListBullet"/>
        <w:spacing w:before="20" w:after="60" w:line="276" w:lineRule="auto"/>
        <w:jc w:val="left"/>
      </w:pPr>
      <w:r>
        <w:rPr>
          <w:rFonts w:ascii="Calibri" w:hAnsi="Calibri"/>
          <w:b/>
          <w:color w:val="1F2937"/>
          <w:sz w:val="21"/>
        </w:rPr>
        <w:t>1. Bounded Timeouts (8 Seconds):</w:t>
      </w:r>
      <w:r>
        <w:rPr>
          <w:rFonts w:ascii="Calibri" w:hAnsi="Calibri"/>
          <w:color w:val="1F2937"/>
          <w:sz w:val="21"/>
        </w:rPr>
        <w:t xml:space="preserve"> Remote calls to Google Gemini and Groq are bounded by an 8-second execution timeout. If the remote service fails to return a complete response within 8 seconds, the HTTP request is aborted.</w:t>
      </w:r>
    </w:p>
    <w:p>
      <w:pPr>
        <w:pStyle w:val="ListBullet"/>
        <w:spacing w:before="20" w:after="60" w:line="276" w:lineRule="auto"/>
        <w:jc w:val="left"/>
      </w:pPr>
      <w:r>
        <w:rPr>
          <w:rFonts w:ascii="Calibri" w:hAnsi="Calibri"/>
          <w:b/>
          <w:color w:val="1F2937"/>
          <w:sz w:val="21"/>
        </w:rPr>
        <w:t>2. Zero-Latency Fallback Engine:</w:t>
      </w:r>
      <w:r>
        <w:rPr>
          <w:rFonts w:ascii="Calibri" w:hAnsi="Calibri"/>
          <w:color w:val="1F2937"/>
          <w:sz w:val="21"/>
        </w:rPr>
        <w:t xml:space="preserve"> Upon remote timeout or connection failure, the system falls back seamlessly to an in-memory deterministic rule engine. The rule engine generates scientifically sound agronomic advice based on crop type and NPK requirements, ensuring the farmer receives their forecast without disruption.</w:t>
      </w:r>
    </w:p>
    <w:p>
      <w:pPr>
        <w:pStyle w:val="ListBullet"/>
        <w:spacing w:before="20" w:after="60" w:line="276" w:lineRule="auto"/>
        <w:jc w:val="left"/>
      </w:pPr>
      <w:r>
        <w:rPr>
          <w:rFonts w:ascii="Calibri" w:hAnsi="Calibri"/>
          <w:b/>
          <w:color w:val="1F2937"/>
          <w:sz w:val="21"/>
        </w:rPr>
        <w:t>3. Instant ML Mode:</w:t>
      </w:r>
      <w:r>
        <w:rPr>
          <w:rFonts w:ascii="Calibri" w:hAnsi="Calibri"/>
          <w:color w:val="1F2937"/>
          <w:sz w:val="21"/>
        </w:rPr>
        <w:t xml:space="preserve"> Farmers can explicitly select 'Instant ML Mode' in the Yield Predictor UI, bypassing external AI services entirely for instant (&lt;20ms) local inference.</w:t>
      </w:r>
    </w:p>
    <w:p>
      <w:r>
        <w:br w:type="page"/>
      </w:r>
    </w:p>
    <w:p>
      <w:pPr>
        <w:keepNext/>
        <w:spacing w:before="320" w:after="120" w:line="264" w:lineRule="auto"/>
        <w:jc w:val="left"/>
      </w:pPr>
      <w:r>
        <w:rPr>
          <w:rFonts w:ascii="Calibri" w:hAnsi="Calibri"/>
          <w:b/>
          <w:color w:val="0B6E4F"/>
          <w:sz w:val="33"/>
        </w:rPr>
        <w:t>11. Results, Agronomic Impact &amp; Usability Analysis</w:t>
      </w:r>
    </w:p>
    <w:p>
      <w:pPr>
        <w:spacing w:before="0" w:after="80" w:line="276" w:lineRule="auto"/>
        <w:jc w:val="left"/>
      </w:pPr>
      <w:r>
        <w:rPr>
          <w:rFonts w:ascii="Calibri" w:hAnsi="Calibri"/>
          <w:b w:val="0"/>
          <w:i w:val="0"/>
          <w:color w:val="1F2937"/>
          <w:sz w:val="21"/>
        </w:rPr>
        <w:t>The empirical outcomes and operational performance of AgriYield AI demonstrate that modern data science, gradient-boosted regression, and generative AI can be successfully combined into an accessible, practical agricultural decision-support system.</w:t>
      </w:r>
    </w:p>
    <w:p>
      <w:pPr>
        <w:keepNext/>
        <w:spacing w:before="220" w:after="80" w:line="264" w:lineRule="auto"/>
        <w:jc w:val="left"/>
      </w:pPr>
      <w:r>
        <w:rPr>
          <w:rFonts w:ascii="Calibri" w:hAnsi="Calibri"/>
          <w:b/>
          <w:color w:val="1F4E3D"/>
          <w:sz w:val="26"/>
        </w:rPr>
        <w:t>11.1 Model Performance Across Major Indian Crops</w:t>
      </w:r>
    </w:p>
    <w:p>
      <w:pPr>
        <w:spacing w:before="0" w:after="80" w:line="276" w:lineRule="auto"/>
        <w:jc w:val="left"/>
      </w:pPr>
      <w:r>
        <w:rPr>
          <w:rFonts w:ascii="Calibri" w:hAnsi="Calibri"/>
          <w:b w:val="0"/>
          <w:i w:val="0"/>
          <w:color w:val="1F2937"/>
          <w:sz w:val="21"/>
        </w:rPr>
        <w:t>The XGBoost model was evaluated across diverse cropping systems represented in the ICRISAT test split (2010–2017). The model demonstrated high predictive consistency across both food grains and commercial cash crops: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Crop Category</w:t>
            </w:r>
          </w:p>
        </w:tc>
        <w:tc>
          <w:tcPr>
            <w:tcW w:type="dxa" w:w="259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Evaluated Crops</w:t>
            </w:r>
          </w:p>
        </w:tc>
        <w:tc>
          <w:tcPr>
            <w:tcW w:type="dxa" w:w="187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Mean Actual Yield</w:t>
            </w:r>
          </w:p>
        </w:tc>
        <w:tc>
          <w:tcPr>
            <w:tcW w:type="dxa" w:w="1728"/>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Model MAE (Kg/ha)</w:t>
            </w:r>
          </w:p>
        </w:tc>
        <w:tc>
          <w:tcPr>
            <w:tcW w:type="dxa" w:w="1440"/>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Accuracy (1 - MAPE)</w:t>
            </w:r>
          </w:p>
        </w:tc>
      </w:tr>
      <w:tr>
        <w:tc>
          <w:tcPr>
            <w:tcW w:type="dxa" w:w="216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Cereals</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Rice, Wheat, Maize, Sorghum</w:t>
            </w:r>
          </w:p>
        </w:tc>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2,450 Kg/ha</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215.30</w:t>
            </w:r>
          </w:p>
        </w:tc>
        <w:tc>
          <w:tcPr>
            <w:tcW w:type="dxa" w:w="14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91.2%</w:t>
            </w:r>
          </w:p>
        </w:tc>
      </w:tr>
      <w:tr>
        <w:tc>
          <w:tcPr>
            <w:tcW w:type="dxa" w:w="216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Pulses</w:t>
            </w:r>
          </w:p>
        </w:tc>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Chickpea, Pigeonpea, Lentil</w:t>
            </w:r>
          </w:p>
        </w:tc>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890 Kg/ha</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98.40</w:t>
            </w:r>
          </w:p>
        </w:tc>
        <w:tc>
          <w:tcPr>
            <w:tcW w:type="dxa" w:w="14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88.9%</w:t>
            </w:r>
          </w:p>
        </w:tc>
      </w:tr>
      <w:tr>
        <w:tc>
          <w:tcPr>
            <w:tcW w:type="dxa" w:w="216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Oilseeds</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Groundnut, Mustard, Soybean</w:t>
            </w:r>
          </w:p>
        </w:tc>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1,340 Kg/ha</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142.10</w:t>
            </w:r>
          </w:p>
        </w:tc>
        <w:tc>
          <w:tcPr>
            <w:tcW w:type="dxa" w:w="14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89.4%</w:t>
            </w:r>
          </w:p>
        </w:tc>
      </w:tr>
      <w:tr>
        <w:tc>
          <w:tcPr>
            <w:tcW w:type="dxa" w:w="216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Cash / Fiber Crops</w:t>
            </w:r>
          </w:p>
        </w:tc>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Cotton, Sugarcane</w:t>
            </w:r>
          </w:p>
        </w:tc>
        <w:tc>
          <w:tcPr>
            <w:tcW w:type="dxa" w:w="187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3,820 Kg/ha</w:t>
            </w:r>
          </w:p>
        </w:tc>
        <w:tc>
          <w:tcPr>
            <w:tcW w:type="dxa" w:w="1728"/>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380.60</w:t>
            </w:r>
          </w:p>
        </w:tc>
        <w:tc>
          <w:tcPr>
            <w:tcW w:type="dxa" w:w="1440"/>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90.0%</w:t>
            </w:r>
          </w:p>
        </w:tc>
      </w:tr>
      <w:tr>
        <w:tc>
          <w:tcPr>
            <w:tcW w:type="dxa" w:w="216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Overall Weighted Average</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All 311 Districts / 20 States</w:t>
            </w:r>
          </w:p>
        </w:tc>
        <w:tc>
          <w:tcPr>
            <w:tcW w:type="dxa" w:w="187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2,125 Kg/ha</w:t>
            </w:r>
          </w:p>
        </w:tc>
        <w:tc>
          <w:tcPr>
            <w:tcW w:type="dxa" w:w="1728"/>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237.72</w:t>
            </w:r>
          </w:p>
        </w:tc>
        <w:tc>
          <w:tcPr>
            <w:tcW w:type="dxa" w:w="1440"/>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88.8%</w:t>
            </w:r>
          </w:p>
        </w:tc>
      </w:tr>
    </w:tbl>
    <w:p>
      <w:pPr>
        <w:spacing w:before="0" w:after="60" w:line="276" w:lineRule="auto"/>
        <w:jc w:val="left"/>
      </w:pPr>
    </w:p>
    <w:p>
      <w:pPr>
        <w:keepNext/>
        <w:spacing w:before="220" w:after="80" w:line="264" w:lineRule="auto"/>
        <w:jc w:val="left"/>
      </w:pPr>
      <w:r>
        <w:rPr>
          <w:rFonts w:ascii="Calibri" w:hAnsi="Calibri"/>
          <w:b/>
          <w:color w:val="1F4E3D"/>
          <w:sz w:val="26"/>
        </w:rPr>
        <w:t>11.2 Quantifiable Agronomic &amp; Economic Benefits</w:t>
      </w:r>
    </w:p>
    <w:p>
      <w:pPr>
        <w:spacing w:before="0" w:after="80" w:line="276" w:lineRule="auto"/>
        <w:jc w:val="left"/>
      </w:pPr>
      <w:r>
        <w:rPr>
          <w:rFonts w:ascii="Calibri" w:hAnsi="Calibri"/>
          <w:b w:val="0"/>
          <w:i w:val="0"/>
          <w:color w:val="1F2937"/>
          <w:sz w:val="21"/>
        </w:rPr>
        <w:t>When deployed within practical farming workflows, the platform delivers three major quantifiable benefits:</w:t>
      </w:r>
    </w:p>
    <w:p>
      <w:pPr>
        <w:pStyle w:val="ListBullet"/>
        <w:spacing w:before="20" w:after="60" w:line="276" w:lineRule="auto"/>
        <w:jc w:val="left"/>
      </w:pPr>
      <w:r>
        <w:rPr>
          <w:rFonts w:ascii="Calibri" w:hAnsi="Calibri"/>
          <w:b/>
          <w:color w:val="1F2937"/>
          <w:sz w:val="21"/>
        </w:rPr>
        <w:t>1. Fertilizer Input Cost Optimization:</w:t>
      </w:r>
      <w:r>
        <w:rPr>
          <w:rFonts w:ascii="Calibri" w:hAnsi="Calibri"/>
          <w:color w:val="1F2937"/>
          <w:sz w:val="21"/>
        </w:rPr>
        <w:t xml:space="preserve"> By calculating precise elemental deficits and converting them into exact commercial fertilizer quantities, the Soil NPK module eliminates unnecessary urea over-application, reducing chemical expenditure by 15% to 25% while safeguarding soil structure.</w:t>
      </w:r>
    </w:p>
    <w:p>
      <w:pPr>
        <w:pStyle w:val="ListBullet"/>
        <w:spacing w:before="20" w:after="60" w:line="276" w:lineRule="auto"/>
        <w:jc w:val="left"/>
      </w:pPr>
      <w:r>
        <w:rPr>
          <w:rFonts w:ascii="Calibri" w:hAnsi="Calibri"/>
          <w:b/>
          <w:color w:val="1F2937"/>
          <w:sz w:val="21"/>
        </w:rPr>
        <w:t>2. Informed Crop Planning &amp; Revenue Hedging:</w:t>
      </w:r>
      <w:r>
        <w:rPr>
          <w:rFonts w:ascii="Calibri" w:hAnsi="Calibri"/>
          <w:color w:val="1F2937"/>
          <w:sz w:val="21"/>
        </w:rPr>
        <w:t xml:space="preserve"> The Multi-Crop Comparator allows farmers to evaluate projected revenues against water requirements before sowing, encouraging informed crop diversification and reducing vulnerability to monoculture market crashes.</w:t>
      </w:r>
    </w:p>
    <w:p>
      <w:pPr>
        <w:pStyle w:val="ListBullet"/>
        <w:spacing w:before="20" w:after="60" w:line="276" w:lineRule="auto"/>
        <w:jc w:val="left"/>
      </w:pPr>
      <w:r>
        <w:rPr>
          <w:rFonts w:ascii="Calibri" w:hAnsi="Calibri"/>
          <w:b/>
          <w:color w:val="1F2937"/>
          <w:sz w:val="21"/>
        </w:rPr>
        <w:t>3. Proactive Weather &amp; Pest Risk Management:</w:t>
      </w:r>
      <w:r>
        <w:rPr>
          <w:rFonts w:ascii="Calibri" w:hAnsi="Calibri"/>
          <w:color w:val="1F2937"/>
          <w:sz w:val="21"/>
        </w:rPr>
        <w:t xml:space="preserve"> Pairing 7-day meteorological trends with pest diagnostic guidance helps farmers avoid spraying pesticides immediately prior to rainfall events, preventing chemical wash-off and protecting crop canopies.</w:t>
      </w:r>
    </w:p>
    <w:p>
      <w:r>
        <w:br w:type="page"/>
      </w:r>
    </w:p>
    <w:p>
      <w:pPr>
        <w:keepNext/>
        <w:spacing w:before="320" w:after="120" w:line="264" w:lineRule="auto"/>
        <w:jc w:val="left"/>
      </w:pPr>
      <w:r>
        <w:rPr>
          <w:rFonts w:ascii="Calibri" w:hAnsi="Calibri"/>
          <w:b/>
          <w:color w:val="0B6E4F"/>
          <w:sz w:val="33"/>
        </w:rPr>
        <w:t>12. Limitations &amp; Edge Cases</w:t>
      </w:r>
    </w:p>
    <w:p>
      <w:pPr>
        <w:spacing w:before="0" w:after="80" w:line="276" w:lineRule="auto"/>
        <w:jc w:val="left"/>
      </w:pPr>
      <w:r>
        <w:rPr>
          <w:rFonts w:ascii="Calibri" w:hAnsi="Calibri"/>
          <w:b w:val="0"/>
          <w:i w:val="0"/>
          <w:color w:val="1F2937"/>
          <w:sz w:val="21"/>
        </w:rPr>
        <w:t>While AgriYield AI demonstrates high predictive accuracy and robust operational engineering, several technical and domain limitations must be recognized to guide responsible deployment and future iterations:</w:t>
      </w:r>
    </w:p>
    <w:p>
      <w:pPr>
        <w:pStyle w:val="ListBullet"/>
        <w:spacing w:before="20" w:after="60" w:line="276" w:lineRule="auto"/>
        <w:jc w:val="left"/>
      </w:pPr>
      <w:r>
        <w:rPr>
          <w:rFonts w:ascii="Calibri" w:hAnsi="Calibri"/>
          <w:b/>
          <w:color w:val="1F2937"/>
          <w:sz w:val="21"/>
        </w:rPr>
        <w:t>1. Macro-Level Spatial Granularity:</w:t>
      </w:r>
      <w:r>
        <w:rPr>
          <w:rFonts w:ascii="Calibri" w:hAnsi="Calibri"/>
          <w:color w:val="1F2937"/>
          <w:sz w:val="21"/>
        </w:rPr>
        <w:t xml:space="preserve"> The ICRISAT dataset is compiled at the administrative district level. Consequently, the model captures macro-level district trends but cannot inherently account for micro-topographical variations (e.g., hillside elevation, local soil compaction) on an individual half-acre plot without manual farmer parameter overrides.</w:t>
      </w:r>
    </w:p>
    <w:p>
      <w:pPr>
        <w:pStyle w:val="ListBullet"/>
        <w:spacing w:before="20" w:after="60" w:line="276" w:lineRule="auto"/>
        <w:jc w:val="left"/>
      </w:pPr>
      <w:r>
        <w:rPr>
          <w:rFonts w:ascii="Calibri" w:hAnsi="Calibri"/>
          <w:b/>
          <w:color w:val="1F2937"/>
          <w:sz w:val="21"/>
        </w:rPr>
        <w:t>2. Extreme Black-Swan Weather Events:</w:t>
      </w:r>
      <w:r>
        <w:rPr>
          <w:rFonts w:ascii="Calibri" w:hAnsi="Calibri"/>
          <w:color w:val="1F2937"/>
          <w:sz w:val="21"/>
        </w:rPr>
        <w:t xml:space="preserve"> Machine learning predictions represent historical statistical expectations based on past agricultural patterns. Extreme unpredictable climate shocks—such as flash floods, hailstorms, or catastrophic locust invasions—cannot be forecasted by historical statistical models alone.</w:t>
      </w:r>
    </w:p>
    <w:p>
      <w:pPr>
        <w:pStyle w:val="ListBullet"/>
        <w:spacing w:before="20" w:after="60" w:line="276" w:lineRule="auto"/>
        <w:jc w:val="left"/>
      </w:pPr>
      <w:r>
        <w:rPr>
          <w:rFonts w:ascii="Calibri" w:hAnsi="Calibri"/>
          <w:b/>
          <w:color w:val="1F2937"/>
          <w:sz w:val="21"/>
        </w:rPr>
        <w:t>3. JSON Persistence Scalability:</w:t>
      </w:r>
      <w:r>
        <w:rPr>
          <w:rFonts w:ascii="Calibri" w:hAnsi="Calibri"/>
          <w:color w:val="1F2937"/>
          <w:sz w:val="21"/>
        </w:rPr>
        <w:t xml:space="preserve"> The project utilizes structured JSON operational stores (`data/*.json`) with thread-safe file locking. While this architecture is highly transparent and sufficient for project evaluation and moderate user loads, it does not support high-concurrency transactional ACID writes required for massive enterprise production.</w:t>
      </w:r>
    </w:p>
    <w:p>
      <w:pPr>
        <w:pStyle w:val="ListBullet"/>
        <w:spacing w:before="20" w:after="60" w:line="276" w:lineRule="auto"/>
        <w:jc w:val="left"/>
      </w:pPr>
      <w:r>
        <w:rPr>
          <w:rFonts w:ascii="Calibri" w:hAnsi="Calibri"/>
          <w:b/>
          <w:color w:val="1F2937"/>
          <w:sz w:val="21"/>
        </w:rPr>
        <w:t>4. Third-Party API Dependence:</w:t>
      </w:r>
      <w:r>
        <w:rPr>
          <w:rFonts w:ascii="Calibri" w:hAnsi="Calibri"/>
          <w:color w:val="1F2937"/>
          <w:sz w:val="21"/>
        </w:rPr>
        <w:t xml:space="preserve"> While the Instant ML fallback ensures 100% advisory availability, deep conversational inquiries via the AI Assistant remain partially dependent on third-party API availability and network bandwidth.</w:t>
      </w:r>
    </w:p>
    <w:p>
      <w:pPr>
        <w:pStyle w:val="ListBullet"/>
        <w:spacing w:before="20" w:after="60" w:line="276" w:lineRule="auto"/>
        <w:jc w:val="left"/>
      </w:pPr>
      <w:r>
        <w:rPr>
          <w:rFonts w:ascii="Calibri" w:hAnsi="Calibri"/>
          <w:b/>
          <w:color w:val="1F2937"/>
          <w:sz w:val="21"/>
        </w:rPr>
        <w:t>5. Symptom Checklist vs. Image Classification:</w:t>
      </w:r>
      <w:r>
        <w:rPr>
          <w:rFonts w:ascii="Calibri" w:hAnsi="Calibri"/>
          <w:color w:val="1F2937"/>
          <w:sz w:val="21"/>
        </w:rPr>
        <w:t xml:space="preserve"> The current Pest &amp; Disease Diagnostic module operates via a comprehensive symptom checklist. While scientifically accurate, it does not yet include on-device smartphone camera computer vision for automated leaf image classification.</w:t>
      </w:r>
    </w:p>
    <w:p>
      <w:r>
        <w:br w:type="page"/>
      </w:r>
    </w:p>
    <w:p>
      <w:pPr>
        <w:keepNext/>
        <w:spacing w:before="320" w:after="120" w:line="264" w:lineRule="auto"/>
        <w:jc w:val="left"/>
      </w:pPr>
      <w:r>
        <w:rPr>
          <w:rFonts w:ascii="Calibri" w:hAnsi="Calibri"/>
          <w:b/>
          <w:color w:val="0B6E4F"/>
          <w:sz w:val="33"/>
        </w:rPr>
        <w:t>13. Future Roadmap &amp; Commercialization Prospects</w:t>
      </w:r>
    </w:p>
    <w:p>
      <w:pPr>
        <w:spacing w:before="0" w:after="80" w:line="276" w:lineRule="auto"/>
        <w:jc w:val="left"/>
      </w:pPr>
      <w:r>
        <w:rPr>
          <w:rFonts w:ascii="Calibri" w:hAnsi="Calibri"/>
          <w:b w:val="0"/>
          <w:i w:val="0"/>
          <w:color w:val="1F2937"/>
          <w:sz w:val="21"/>
        </w:rPr>
        <w:t>To transition AgriYield AI from a successful academic capstone into a commercialized agro-tech platform, a structured three-phase development roadmap has been established:</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Phase &amp; Horizon</w:t>
            </w:r>
          </w:p>
        </w:tc>
        <w:tc>
          <w:tcPr>
            <w:tcW w:type="dxa" w:w="2592"/>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Strategic Focus</w:t>
            </w:r>
          </w:p>
        </w:tc>
        <w:tc>
          <w:tcPr>
            <w:tcW w:type="dxa" w:w="4896"/>
            <w:shd w:fill="0B6E4F"/>
            <w:tcMar>
              <w:top w:w="100" w:type="dxa"/>
              <w:bottom w:w="100" w:type="dxa"/>
              <w:left w:w="120" w:type="dxa"/>
              <w:right w:w="120" w:type="dxa"/>
            </w:tcMar>
            <w:vAlign w:val="center"/>
          </w:tcPr>
          <w:p>
            <w:pPr>
              <w:spacing w:before="60" w:after="60" w:line="276" w:lineRule="auto"/>
              <w:jc w:val="center"/>
            </w:pPr>
            <w:r/>
            <w:r>
              <w:rPr>
                <w:rFonts w:ascii="Calibri" w:hAnsi="Calibri"/>
                <w:b/>
                <w:color w:val="FFFFFF"/>
                <w:sz w:val="20"/>
              </w:rPr>
              <w:t>Target Engineering Deliverables</w:t>
            </w:r>
          </w:p>
        </w:tc>
      </w:tr>
      <w:tr>
        <w:tc>
          <w:tcPr>
            <w:tcW w:type="dxa" w:w="230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Phase 1: Database &amp; Cloud Migration (Months 1–3)</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Enterprise Infrastructure</w:t>
            </w:r>
          </w:p>
        </w:tc>
        <w:tc>
          <w:tcPr>
            <w:tcW w:type="dxa" w:w="48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Migrate JSON stores to PostgreSQL with Alembic migrations; implement Redis distributed caching; deploy containerized Docker containers on AWS/GCP.</w:t>
            </w:r>
          </w:p>
        </w:tc>
      </w:tr>
      <w:tr>
        <w:tc>
          <w:tcPr>
            <w:tcW w:type="dxa" w:w="2304"/>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Phase 2: Remote Sensing &amp; IoT Telemetry (Months 4–7)</w:t>
            </w:r>
          </w:p>
        </w:tc>
        <w:tc>
          <w:tcPr>
            <w:tcW w:type="dxa" w:w="259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Data Enrichment &amp; Sensing</w:t>
            </w:r>
          </w:p>
        </w:tc>
        <w:tc>
          <w:tcPr>
            <w:tcW w:type="dxa" w:w="4896"/>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Integrate European Space Agency Sentinel-2 satellite imagery (NDVI / NDWI indices); ingest real-time IoT soil moisture sensor telemetry.</w:t>
            </w:r>
          </w:p>
        </w:tc>
      </w:tr>
      <w:tr>
        <w:tc>
          <w:tcPr>
            <w:tcW w:type="dxa" w:w="2304"/>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b/>
                <w:color w:val="1F2937"/>
                <w:sz w:val="19"/>
              </w:rPr>
              <w:t>Phase 3: Mobile Apps &amp; Low-Bandwidth Channels (Months 8–12)</w:t>
            </w:r>
          </w:p>
        </w:tc>
        <w:tc>
          <w:tcPr>
            <w:tcW w:type="dxa" w:w="259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Farmer Accessibility</w:t>
            </w:r>
          </w:p>
        </w:tc>
        <w:tc>
          <w:tcPr>
            <w:tcW w:type="dxa" w:w="4896"/>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vAlign w:val="center"/>
          </w:tcPr>
          <w:p>
            <w:pPr>
              <w:spacing w:before="40" w:after="40" w:line="276" w:lineRule="auto"/>
              <w:jc w:val="left"/>
            </w:pPr>
            <w:r/>
            <w:r>
              <w:rPr>
                <w:rFonts w:ascii="Calibri" w:hAnsi="Calibri"/>
                <w:color w:val="1F2937"/>
                <w:sz w:val="19"/>
              </w:rPr>
              <w:t>Develop React Native / Flutter cross-platform mobile apps with offline caching; launch Twilio WhatsApp and SMS bots for non-smartphone users.</w:t>
            </w:r>
          </w:p>
        </w:tc>
      </w:tr>
    </w:tbl>
    <w:p>
      <w:pPr>
        <w:spacing w:before="0" w:after="60" w:line="276" w:lineRule="auto"/>
        <w:jc w:val="left"/>
      </w:pPr>
    </w:p>
    <w:p>
      <w:pPr>
        <w:keepNext/>
        <w:spacing w:before="220" w:after="80" w:line="264" w:lineRule="auto"/>
        <w:jc w:val="left"/>
      </w:pPr>
      <w:r>
        <w:rPr>
          <w:rFonts w:ascii="Calibri" w:hAnsi="Calibri"/>
          <w:b/>
          <w:color w:val="1F4E3D"/>
          <w:sz w:val="26"/>
        </w:rPr>
        <w:t>13.1 Commercialization &amp; B2B Integration Potential</w:t>
      </w:r>
    </w:p>
    <w:p>
      <w:pPr>
        <w:spacing w:before="0" w:after="80" w:line="276" w:lineRule="auto"/>
        <w:jc w:val="left"/>
      </w:pPr>
      <w:r>
        <w:rPr>
          <w:rFonts w:ascii="Calibri" w:hAnsi="Calibri"/>
          <w:b w:val="0"/>
          <w:i w:val="0"/>
          <w:color w:val="1F2937"/>
          <w:sz w:val="21"/>
        </w:rPr>
        <w:t>Beyond individual smallholders, AgriYield AI possesses significant commercial viability across three institutional sectors:</w:t>
      </w:r>
    </w:p>
    <w:p>
      <w:pPr>
        <w:pStyle w:val="ListBullet"/>
        <w:spacing w:before="20" w:after="60" w:line="276" w:lineRule="auto"/>
        <w:jc w:val="left"/>
      </w:pPr>
      <w:r>
        <w:rPr>
          <w:rFonts w:ascii="Calibri" w:hAnsi="Calibri"/>
          <w:b/>
          <w:color w:val="1F2937"/>
          <w:sz w:val="21"/>
        </w:rPr>
        <w:t>• Agricultural Credit &amp; Micro-Finance:</w:t>
      </w:r>
      <w:r>
        <w:rPr>
          <w:rFonts w:ascii="Calibri" w:hAnsi="Calibri"/>
          <w:color w:val="1F2937"/>
          <w:sz w:val="21"/>
        </w:rPr>
        <w:t xml:space="preserve"> Commercial banks and micro-lending institutions can use the platform's objective yield forecasting engine to assess borrower crop feasibility and underwrite agricultural loans with reduced default risk.</w:t>
      </w:r>
    </w:p>
    <w:p>
      <w:pPr>
        <w:pStyle w:val="ListBullet"/>
        <w:spacing w:before="20" w:after="60" w:line="276" w:lineRule="auto"/>
        <w:jc w:val="left"/>
      </w:pPr>
      <w:r>
        <w:rPr>
          <w:rFonts w:ascii="Calibri" w:hAnsi="Calibri"/>
          <w:b/>
          <w:color w:val="1F2937"/>
          <w:sz w:val="21"/>
        </w:rPr>
        <w:t>• Crop Insurance &amp; Claim Settlement:</w:t>
      </w:r>
      <w:r>
        <w:rPr>
          <w:rFonts w:ascii="Calibri" w:hAnsi="Calibri"/>
          <w:color w:val="1F2937"/>
          <w:sz w:val="21"/>
        </w:rPr>
        <w:t xml:space="preserve"> Crop insurers (such as PMFBY) can cross-reference predicted baseline yields against post-disaster claims, reducing fraudulent payouts and speeding up claim processing for genuinely affected farmers.</w:t>
      </w:r>
    </w:p>
    <w:p>
      <w:pPr>
        <w:pStyle w:val="ListBullet"/>
        <w:spacing w:before="20" w:after="60" w:line="276" w:lineRule="auto"/>
        <w:jc w:val="left"/>
      </w:pPr>
      <w:r>
        <w:rPr>
          <w:rFonts w:ascii="Calibri" w:hAnsi="Calibri"/>
          <w:b/>
          <w:color w:val="1F2937"/>
          <w:sz w:val="21"/>
        </w:rPr>
        <w:t>• Agro-Commodity Supply Chain Logistics:</w:t>
      </w:r>
      <w:r>
        <w:rPr>
          <w:rFonts w:ascii="Calibri" w:hAnsi="Calibri"/>
          <w:color w:val="1F2937"/>
          <w:sz w:val="21"/>
        </w:rPr>
        <w:t xml:space="preserve"> Agro-processing enterprises (flour mills, sugar factories, textile mills) can utilize district-level harvest forecasts to project seasonal procurement volumes, optimize warehouse storage, and hedge market price fluctuations.</w:t>
      </w:r>
    </w:p>
    <w:p>
      <w:r>
        <w:br w:type="page"/>
      </w:r>
    </w:p>
    <w:p>
      <w:pPr>
        <w:keepNext/>
        <w:spacing w:before="320" w:after="120" w:line="264" w:lineRule="auto"/>
        <w:jc w:val="left"/>
      </w:pPr>
      <w:r>
        <w:rPr>
          <w:rFonts w:ascii="Calibri" w:hAnsi="Calibri"/>
          <w:b/>
          <w:color w:val="0B6E4F"/>
          <w:sz w:val="33"/>
        </w:rPr>
        <w:t>14. Conclusion</w:t>
      </w:r>
    </w:p>
    <w:p>
      <w:pPr>
        <w:spacing w:before="0" w:after="80" w:line="276" w:lineRule="auto"/>
        <w:jc w:val="left"/>
      </w:pPr>
      <w:r>
        <w:rPr>
          <w:rFonts w:ascii="Calibri" w:hAnsi="Calibri"/>
          <w:b w:val="0"/>
          <w:i w:val="0"/>
          <w:color w:val="1F2937"/>
          <w:sz w:val="21"/>
        </w:rPr>
        <w:t>AgriYield AI successfully demonstrates an end-to-end, applied artificial intelligence web platform bridging historical agricultural data and modern precision farming. By harmonizing four decades of empirical ICRISAT district records with Extreme Gradient Boosting, the system achieves an exceptional predictive accuracy of R² = 0.8540 and MAE = 237.72 Kg/ha, outperforming traditional statistical regression baselines.</w:t>
      </w:r>
    </w:p>
    <w:p>
      <w:pPr>
        <w:spacing w:before="0" w:after="80" w:line="276" w:lineRule="auto"/>
        <w:jc w:val="left"/>
      </w:pPr>
      <w:r>
        <w:rPr>
          <w:rFonts w:ascii="Calibri" w:hAnsi="Calibri"/>
          <w:b w:val="0"/>
          <w:i w:val="0"/>
          <w:color w:val="1F2937"/>
          <w:sz w:val="21"/>
        </w:rPr>
        <w:t>More importantly, the project proves that machine learning models must not exist in isolation. By pairing numerical yield forecasts with generative AI agronomic advisory, a rich multilingual user interface, specialized farm calculators (NPK balancing, crop rotation, seed rates, pest diagnosis), and enterprise administrative governance, AgriYield AI transforms raw data science into tangible, everyday empowerment for Indian farmers.</w:t>
      </w:r>
    </w:p>
    <w:p>
      <w:pPr>
        <w:spacing w:before="0" w:after="80" w:line="276" w:lineRule="auto"/>
        <w:jc w:val="left"/>
      </w:pPr>
      <w:r>
        <w:rPr>
          <w:rFonts w:ascii="Calibri" w:hAnsi="Calibri"/>
          <w:b w:val="0"/>
          <w:i w:val="0"/>
          <w:color w:val="1F2937"/>
          <w:sz w:val="21"/>
        </w:rPr>
        <w:t>The defensive engineering incorporated into the platform—including 8-second bounded AI timeouts, zero-latency local fallback advisories, Bcrypt password hashing, signed JWT authentication, and automated 5-strike brute-force lockouts—ensures that the system is resilient, secure, and ready for progressive production deployment. AgriYield AI represents a significant step toward climate-smart, data-driven, and equitable agricultural intelligence.</w:t>
      </w:r>
    </w:p>
    <w:p>
      <w:r>
        <w:br w:type="page"/>
      </w:r>
    </w:p>
    <w:p>
      <w:pPr>
        <w:keepNext/>
        <w:spacing w:before="320" w:after="120" w:line="264" w:lineRule="auto"/>
        <w:jc w:val="left"/>
      </w:pPr>
      <w:r>
        <w:rPr>
          <w:rFonts w:ascii="Calibri" w:hAnsi="Calibri"/>
          <w:b/>
          <w:color w:val="0B6E4F"/>
          <w:sz w:val="33"/>
        </w:rPr>
        <w:t>15. References &amp; Data Sources</w:t>
      </w:r>
    </w:p>
    <w:p>
      <w:pPr>
        <w:spacing w:before="40" w:after="80" w:line="276" w:lineRule="auto"/>
      </w:pPr>
      <w:r>
        <w:rPr>
          <w:rFonts w:ascii="Calibri" w:hAnsi="Calibri"/>
          <w:b/>
          <w:color w:val="0B6E4F"/>
          <w:sz w:val="20"/>
        </w:rPr>
        <w:t xml:space="preserve">1. ICRISAT Meso-Level Database: </w:t>
      </w:r>
      <w:r>
        <w:rPr>
          <w:rFonts w:ascii="Calibri" w:hAnsi="Calibri"/>
          <w:color w:val="1F2937"/>
          <w:sz w:val="19"/>
        </w:rPr>
        <w:t>International Crops Research Institute for the Semi-Arid Tropics (ICRISAT). District-Level Agricultural Data for India (1966–2017). Hyderabad, India. Available: http://data.icrisat.org</w:t>
      </w:r>
    </w:p>
    <w:p>
      <w:pPr>
        <w:spacing w:before="40" w:after="80" w:line="276" w:lineRule="auto"/>
      </w:pPr>
      <w:r>
        <w:rPr>
          <w:rFonts w:ascii="Calibri" w:hAnsi="Calibri"/>
          <w:b/>
          <w:color w:val="0B6E4F"/>
          <w:sz w:val="20"/>
        </w:rPr>
        <w:t xml:space="preserve">2. Chen, T., &amp; Guestrin, C. (2016): </w:t>
      </w:r>
      <w:r>
        <w:rPr>
          <w:rFonts w:ascii="Calibri" w:hAnsi="Calibri"/>
          <w:color w:val="1F2937"/>
          <w:sz w:val="19"/>
        </w:rPr>
        <w:t>'XGBoost: A Scalable Tree Boosting System.' Proceedings of the 22nd ACM SIGKDD International Conference on Knowledge Discovery and Data Mining, pp. 785–794.</w:t>
      </w:r>
    </w:p>
    <w:p>
      <w:pPr>
        <w:spacing w:before="40" w:after="80" w:line="276" w:lineRule="auto"/>
      </w:pPr>
      <w:r>
        <w:rPr>
          <w:rFonts w:ascii="Calibri" w:hAnsi="Calibri"/>
          <w:b/>
          <w:color w:val="0B6E4F"/>
          <w:sz w:val="20"/>
        </w:rPr>
        <w:t xml:space="preserve">3. Indian Council of Agricultural Research (ICAR): </w:t>
      </w:r>
      <w:r>
        <w:rPr>
          <w:rFonts w:ascii="Calibri" w:hAnsi="Calibri"/>
          <w:color w:val="1F2937"/>
          <w:sz w:val="19"/>
        </w:rPr>
        <w:t>Handbook of Agriculture: Facts and Figures for Farmers, Students and All Interested in Farming. Directorate of Knowledge Management in Agriculture, New Delhi, India.</w:t>
      </w:r>
    </w:p>
    <w:p>
      <w:pPr>
        <w:spacing w:before="40" w:after="80" w:line="276" w:lineRule="auto"/>
      </w:pPr>
      <w:r>
        <w:rPr>
          <w:rFonts w:ascii="Calibri" w:hAnsi="Calibri"/>
          <w:b/>
          <w:color w:val="0B6E4F"/>
          <w:sz w:val="20"/>
        </w:rPr>
        <w:t xml:space="preserve">4. Pedregosa, F., et al. (2011): </w:t>
      </w:r>
      <w:r>
        <w:rPr>
          <w:rFonts w:ascii="Calibri" w:hAnsi="Calibri"/>
          <w:color w:val="1F2937"/>
          <w:sz w:val="19"/>
        </w:rPr>
        <w:t>'Scikit-learn: Machine Learning in Python.' Journal of Machine Learning Research, 12, pp. 2825–2830.</w:t>
      </w:r>
    </w:p>
    <w:p>
      <w:pPr>
        <w:spacing w:before="40" w:after="80" w:line="276" w:lineRule="auto"/>
      </w:pPr>
      <w:r>
        <w:rPr>
          <w:rFonts w:ascii="Calibri" w:hAnsi="Calibri"/>
          <w:b/>
          <w:color w:val="0B6E4F"/>
          <w:sz w:val="20"/>
        </w:rPr>
        <w:t xml:space="preserve">5. Tiangolo, S. (2019): </w:t>
      </w:r>
      <w:r>
        <w:rPr>
          <w:rFonts w:ascii="Calibri" w:hAnsi="Calibri"/>
          <w:color w:val="1F2937"/>
          <w:sz w:val="19"/>
        </w:rPr>
        <w:t>FastAPI: High Performance Web Framework for Python 3.8+. Available: https://fastapi.tiangolo.com/</w:t>
      </w:r>
    </w:p>
    <w:p>
      <w:pPr>
        <w:spacing w:before="40" w:after="80" w:line="276" w:lineRule="auto"/>
      </w:pPr>
      <w:r>
        <w:rPr>
          <w:rFonts w:ascii="Calibri" w:hAnsi="Calibri"/>
          <w:b/>
          <w:color w:val="0B6E4F"/>
          <w:sz w:val="20"/>
        </w:rPr>
        <w:t xml:space="preserve">6. Meta Open Source (2024): </w:t>
      </w:r>
      <w:r>
        <w:rPr>
          <w:rFonts w:ascii="Calibri" w:hAnsi="Calibri"/>
          <w:color w:val="1F2937"/>
          <w:sz w:val="19"/>
        </w:rPr>
        <w:t>React 19 Documentation &amp; Concurrent Rendering Architecture. Available: https://react.dev/</w:t>
      </w:r>
    </w:p>
    <w:p>
      <w:pPr>
        <w:spacing w:before="40" w:after="80" w:line="276" w:lineRule="auto"/>
      </w:pPr>
      <w:r>
        <w:rPr>
          <w:rFonts w:ascii="Calibri" w:hAnsi="Calibri"/>
          <w:b/>
          <w:color w:val="0B6E4F"/>
          <w:sz w:val="20"/>
        </w:rPr>
        <w:t xml:space="preserve">7. Google DeepMind (2024): </w:t>
      </w:r>
      <w:r>
        <w:rPr>
          <w:rFonts w:ascii="Calibri" w:hAnsi="Calibri"/>
          <w:color w:val="1F2937"/>
          <w:sz w:val="19"/>
        </w:rPr>
        <w:t>Gemini 1.5: Unlocking Multimodal Understanding Across Millions of Tokens of Context. Google Research Technical Report.</w:t>
      </w:r>
    </w:p>
    <w:p>
      <w:pPr>
        <w:spacing w:before="40" w:after="80" w:line="276" w:lineRule="auto"/>
      </w:pPr>
      <w:r>
        <w:rPr>
          <w:rFonts w:ascii="Calibri" w:hAnsi="Calibri"/>
          <w:b/>
          <w:color w:val="0B6E4F"/>
          <w:sz w:val="20"/>
        </w:rPr>
        <w:t xml:space="preserve">8. Groq Cloud (2024): </w:t>
      </w:r>
      <w:r>
        <w:rPr>
          <w:rFonts w:ascii="Calibri" w:hAnsi="Calibri"/>
          <w:color w:val="1F2937"/>
          <w:sz w:val="19"/>
        </w:rPr>
        <w:t>LPU Inference Engine &amp; Ultra-Low Latency LLM Serving Architecture. Groq Inc. Available: https://groq.com/</w:t>
      </w:r>
    </w:p>
    <w:p>
      <w:pPr>
        <w:spacing w:before="40" w:after="80" w:line="276" w:lineRule="auto"/>
      </w:pPr>
      <w:r>
        <w:rPr>
          <w:rFonts w:ascii="Calibri" w:hAnsi="Calibri"/>
          <w:b/>
          <w:color w:val="0B6E4F"/>
          <w:sz w:val="20"/>
        </w:rPr>
        <w:t xml:space="preserve">9. Ministry of Agriculture &amp; Farmers Welfare: </w:t>
      </w:r>
      <w:r>
        <w:rPr>
          <w:rFonts w:ascii="Calibri" w:hAnsi="Calibri"/>
          <w:color w:val="1F2937"/>
          <w:sz w:val="19"/>
        </w:rPr>
        <w:t>Agricultural Statistics at a Glance 2023. Department of Agriculture and Farmers Welfare, Government of India, New Delhi.</w:t>
      </w:r>
    </w:p>
    <w:p>
      <w:pPr>
        <w:spacing w:before="40" w:after="80" w:line="276" w:lineRule="auto"/>
      </w:pPr>
      <w:r>
        <w:rPr>
          <w:rFonts w:ascii="Calibri" w:hAnsi="Calibri"/>
          <w:b/>
          <w:color w:val="0B6E4F"/>
          <w:sz w:val="20"/>
        </w:rPr>
        <w:t xml:space="preserve">10. Resnick, P., et al. (2000): </w:t>
      </w:r>
      <w:r>
        <w:rPr>
          <w:rFonts w:ascii="Calibri" w:hAnsi="Calibri"/>
          <w:color w:val="1F2937"/>
          <w:sz w:val="19"/>
        </w:rPr>
        <w:t>'RFC 4180: Common Format and MIME Type for Comma-Separated Values (CSV) Files.' Internet Engineering Task Force (IETF).</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Calibri" w:hAnsi="Calibri"/>
        <w:color w:val="4B5563"/>
        <w:sz w:val="17"/>
      </w:rPr>
      <w:t>AgriYield AI — Final Project Report | OVS VARUN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rPr>
        <w:rFonts w:ascii="Calibri" w:hAnsi="Calibri"/>
        <w:color w:val="4B5563"/>
        <w:sz w:val="17"/>
      </w:rPr>
      <w:t>AgriYield AI: AI-Powered Crop Yield Forecasting &amp; Decision Support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AgriYield AI — Final Project Report</dc:title>
  <dc:subject/>
  <dc:creator>OVS VARUN</dc:creator>
  <cp:keywords/>
  <dc:description>Comprehensive Final Project Report for AgriYield AI Platform</dc:description>
  <cp:lastModifiedBy/>
  <cp:revision>1</cp:revision>
  <dcterms:created xsi:type="dcterms:W3CDTF">2013-12-23T23:15:00Z</dcterms:created>
  <dcterms:modified xsi:type="dcterms:W3CDTF">2013-12-23T23:15:00Z</dcterms:modified>
  <cp:category/>
</cp:coreProperties>
</file>