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36"/>
      </w:tblGrid>
      <w:tr>
        <w:tc>
          <w:tcPr>
            <w:tcW w:type="dxa" w:w="9936"/>
            <w:shd w:fill="0F172A"/>
            <w:tcMar>
              <w:top w:w="200" w:type="dxa"/>
              <w:bottom w:w="200" w:type="dxa"/>
              <w:left w:w="200" w:type="dxa"/>
              <w:right w:w="200" w:type="dxa"/>
            </w:tcMar>
          </w:tcPr>
          <w:p>
            <w:pPr>
              <w:jc w:val="left"/>
            </w:pPr>
            <w:r>
              <w:rPr>
                <w:b/>
                <w:color w:val="34D399"/>
                <w:sz w:val="18"/>
              </w:rPr>
              <w:t>OFFICIAL PROJECT REPORT  •  AGRIYIELD AI</w:t>
              <w:br/>
            </w:r>
            <w:r>
              <w:rPr>
                <w:b/>
                <w:color w:val="FFFFFF"/>
                <w:sz w:val="36"/>
              </w:rPr>
              <w:t>AI-Based Agricultural Crop-Yield Prediction System</w:t>
              <w:br/>
            </w:r>
            <w:r>
              <w:rPr>
                <w:color w:val="94A3B8"/>
                <w:sz w:val="22"/>
              </w:rPr>
              <w:t>Milestone Report: Machine Learning Model, FastAPI Backend &amp; React Frontend Integration</w:t>
            </w:r>
          </w:p>
        </w:tc>
      </w:tr>
    </w:tbl>
    <w:p>
      <w:pPr>
        <w:spacing w:after="200"/>
      </w:pPr>
    </w:p>
    <w:tbl>
      <w:tblPr>
        <w:tblW w:type="auto" w:w="0"/>
        <w:jc w:val="center"/>
        <w:tblLayout w:type="fixed"/>
        <w:tblLook w:firstColumn="1" w:firstRow="1" w:lastColumn="0" w:lastRow="0" w:noHBand="0" w:noVBand="1" w:val="04A0"/>
      </w:tblPr>
      <w:tblGrid>
        <w:gridCol w:w="4968"/>
        <w:gridCol w:w="4968"/>
      </w:tblGrid>
      <w:tr>
        <w:tc>
          <w:tcPr>
            <w:tcW w:type="dxa" w:w="3168"/>
            <w:shd w:fill="F8FAFC"/>
            <w:tcMar>
              <w:top w:w="80" w:type="dxa"/>
              <w:bottom w:w="80" w:type="dxa"/>
              <w:left w:w="120" w:type="dxa"/>
              <w:right w:w="120" w:type="dxa"/>
            </w:tcMar>
          </w:tcPr>
          <w:p>
            <w:r>
              <w:rPr>
                <w:b/>
                <w:sz w:val="19"/>
              </w:rPr>
              <w:t>Submitted by:</w:t>
            </w:r>
          </w:p>
        </w:tc>
        <w:tc>
          <w:tcPr>
            <w:tcW w:type="dxa" w:w="6768"/>
            <w:shd w:fill="F8FAFC"/>
            <w:tcMar>
              <w:top w:w="80" w:type="dxa"/>
              <w:bottom w:w="80" w:type="dxa"/>
              <w:left w:w="120" w:type="dxa"/>
              <w:right w:w="120" w:type="dxa"/>
            </w:tcMar>
          </w:tcPr>
          <w:p>
            <w:r>
              <w:rPr>
                <w:sz w:val="19"/>
              </w:rPr>
              <w:t>OVS VARUN (orugantivarun.2007@gmail.com)</w:t>
            </w:r>
          </w:p>
        </w:tc>
      </w:tr>
      <w:tr>
        <w:tc>
          <w:tcPr>
            <w:tcW w:type="dxa" w:w="3168"/>
            <w:shd w:fill="FFFFFF"/>
            <w:tcMar>
              <w:top w:w="80" w:type="dxa"/>
              <w:bottom w:w="80" w:type="dxa"/>
              <w:left w:w="120" w:type="dxa"/>
              <w:right w:w="120" w:type="dxa"/>
            </w:tcMar>
          </w:tcPr>
          <w:p>
            <w:r>
              <w:rPr>
                <w:b/>
                <w:sz w:val="19"/>
              </w:rPr>
              <w:t>Project:</w:t>
            </w:r>
          </w:p>
        </w:tc>
        <w:tc>
          <w:tcPr>
            <w:tcW w:type="dxa" w:w="6768"/>
            <w:shd w:fill="FFFFFF"/>
            <w:tcMar>
              <w:top w:w="80" w:type="dxa"/>
              <w:bottom w:w="80" w:type="dxa"/>
              <w:left w:w="120" w:type="dxa"/>
              <w:right w:w="120" w:type="dxa"/>
            </w:tcMar>
          </w:tcPr>
          <w:p>
            <w:r>
              <w:rPr>
                <w:sz w:val="19"/>
              </w:rPr>
              <w:t>AgriYield AI (v2.0 Dual-AI)</w:t>
            </w:r>
          </w:p>
        </w:tc>
      </w:tr>
      <w:tr>
        <w:tc>
          <w:tcPr>
            <w:tcW w:type="dxa" w:w="3168"/>
            <w:shd w:fill="F8FAFC"/>
            <w:tcMar>
              <w:top w:w="80" w:type="dxa"/>
              <w:bottom w:w="80" w:type="dxa"/>
              <w:left w:w="120" w:type="dxa"/>
              <w:right w:w="120" w:type="dxa"/>
            </w:tcMar>
          </w:tcPr>
          <w:p>
            <w:r>
              <w:rPr>
                <w:b/>
                <w:sz w:val="19"/>
              </w:rPr>
              <w:t>Primary Model &amp; Backend:</w:t>
            </w:r>
          </w:p>
        </w:tc>
        <w:tc>
          <w:tcPr>
            <w:tcW w:type="dxa" w:w="6768"/>
            <w:shd w:fill="F8FAFC"/>
            <w:tcMar>
              <w:top w:w="80" w:type="dxa"/>
              <w:bottom w:w="80" w:type="dxa"/>
              <w:left w:w="120" w:type="dxa"/>
              <w:right w:w="120" w:type="dxa"/>
            </w:tcMar>
          </w:tcPr>
          <w:p>
            <w:r>
              <w:rPr>
                <w:sz w:val="19"/>
              </w:rPr>
              <w:t>XGBoost Regressor (R² = 0.8540)  |  FastAPI Backend</w:t>
            </w:r>
          </w:p>
        </w:tc>
      </w:tr>
      <w:tr>
        <w:tc>
          <w:tcPr>
            <w:tcW w:type="dxa" w:w="3168"/>
            <w:shd w:fill="FFFFFF"/>
            <w:tcMar>
              <w:top w:w="80" w:type="dxa"/>
              <w:bottom w:w="80" w:type="dxa"/>
              <w:left w:w="120" w:type="dxa"/>
              <w:right w:w="120" w:type="dxa"/>
            </w:tcMar>
          </w:tcPr>
          <w:p>
            <w:r>
              <w:rPr>
                <w:b/>
                <w:sz w:val="19"/>
              </w:rPr>
              <w:t>Frontend &amp; Presentation:</w:t>
            </w:r>
          </w:p>
        </w:tc>
        <w:tc>
          <w:tcPr>
            <w:tcW w:type="dxa" w:w="6768"/>
            <w:shd w:fill="FFFFFF"/>
            <w:tcMar>
              <w:top w:w="80" w:type="dxa"/>
              <w:bottom w:w="80" w:type="dxa"/>
              <w:left w:w="120" w:type="dxa"/>
              <w:right w:w="120" w:type="dxa"/>
            </w:tcMar>
          </w:tcPr>
          <w:p>
            <w:r>
              <w:rPr>
                <w:sz w:val="19"/>
              </w:rPr>
              <w:t>React 19 + Vite 6 (Glassmorphism Dark UI, 7-Language i18n)</w:t>
            </w:r>
          </w:p>
        </w:tc>
      </w:tr>
    </w:tbl>
    <w:p>
      <w:pPr>
        <w:spacing w:after="280"/>
      </w:pPr>
    </w:p>
    <w:p>
      <w:pPr>
        <w:spacing w:before="320" w:after="120"/>
      </w:pPr>
      <w:r>
        <w:rPr>
          <w:b/>
          <w:color w:val="059669"/>
          <w:sz w:val="26"/>
        </w:rPr>
        <w:t>1. Executive Summary</w:t>
      </w:r>
    </w:p>
    <w:p>
      <w:pPr>
        <w:spacing w:after="120"/>
      </w:pPr>
      <w:r>
        <w:t>AgriYield AI is an end-to-end crop-yield prediction and agronomic decision-support platform built from historical district-level agricultural data across India. This milestone converts data preparation work into a working machine-learning workflow, an API-ready FastAPI backend, and an interactive React 19 frontend user interface.</w:t>
      </w:r>
    </w:p>
    <w:p>
      <w:pPr>
        <w:spacing w:after="200"/>
      </w:pPr>
      <w:r>
        <w:t>The project reshapes wide district-level source data into crop-wise observations, creates previous-year agricultural lag features, and evaluates several regression algorithms using a chronological train/test split. The selected production model is an XGBoost regressor achieving MAE = 237.72 kg/ha, RMSE = 583.04 kg/ha, and R² = 0.8540 on the held-out test period (2010–2017). The trained pipeline is saved via Joblib, served through FastAPI, and presented via a modern React glassmorphic web dashboard.</w:t>
      </w:r>
    </w:p>
    <w:p>
      <w:pPr>
        <w:spacing w:before="320" w:after="120"/>
      </w:pPr>
      <w:r>
        <w:rPr>
          <w:b/>
          <w:color w:val="059669"/>
          <w:sz w:val="26"/>
        </w:rPr>
        <w:t>2. Objectives of Milestone 2</w:t>
      </w:r>
    </w:p>
    <w:p>
      <w:pPr>
        <w:pStyle w:val="ListBullet"/>
        <w:spacing w:after="60"/>
      </w:pPr>
      <w:r>
        <w:rPr>
          <w:sz w:val="19"/>
        </w:rPr>
        <w:t>Convert wide agricultural source dataset into a crop-level modelling table;</w:t>
      </w:r>
    </w:p>
    <w:p>
      <w:pPr>
        <w:pStyle w:val="ListBullet"/>
        <w:spacing w:after="60"/>
      </w:pPr>
      <w:r>
        <w:rPr>
          <w:sz w:val="19"/>
        </w:rPr>
        <w:t>Create historical lag features (Previous_Year_Yield, Area, Production) for each district and crop;</w:t>
      </w:r>
    </w:p>
    <w:p>
      <w:pPr>
        <w:pStyle w:val="ListBullet"/>
        <w:spacing w:after="60"/>
      </w:pPr>
      <w:r>
        <w:rPr>
          <w:sz w:val="19"/>
        </w:rPr>
        <w:t>Train and compare multiple regression models (Linear Regression, Decision Tree, Random Forest, Extra Trees, Gradient Boosting, XGBoost);</w:t>
      </w:r>
    </w:p>
    <w:p>
      <w:pPr>
        <w:pStyle w:val="ListBullet"/>
        <w:spacing w:after="60"/>
      </w:pPr>
      <w:r>
        <w:rPr>
          <w:sz w:val="19"/>
        </w:rPr>
        <w:t>Use a time-based split (1979–2009 train vs 2010–2017 test) to evaluate unseen future years;</w:t>
      </w:r>
    </w:p>
    <w:p>
      <w:pPr>
        <w:pStyle w:val="ListBullet"/>
        <w:spacing w:after="60"/>
      </w:pPr>
      <w:r>
        <w:rPr>
          <w:sz w:val="19"/>
        </w:rPr>
        <w:t>Tune Random Forest and XGBoost candidate models using cross-validation;</w:t>
      </w:r>
    </w:p>
    <w:p>
      <w:pPr>
        <w:pStyle w:val="ListBullet"/>
        <w:spacing w:after="60"/>
      </w:pPr>
      <w:r>
        <w:rPr>
          <w:sz w:val="19"/>
        </w:rPr>
        <w:t>Save the selected XGBoost production pipeline and metadata artifacts;</w:t>
      </w:r>
    </w:p>
    <w:p>
      <w:pPr>
        <w:pStyle w:val="ListBullet"/>
        <w:spacing w:after="60"/>
      </w:pPr>
      <w:r>
        <w:rPr>
          <w:sz w:val="19"/>
        </w:rPr>
        <w:t>Expose prediction and supporting endpoints through a validated FastAPI backend; and</w:t>
      </w:r>
    </w:p>
    <w:p>
      <w:pPr>
        <w:pStyle w:val="ListBullet"/>
        <w:spacing w:after="60"/>
      </w:pPr>
      <w:r>
        <w:rPr>
          <w:sz w:val="19"/>
        </w:rPr>
        <w:t>Integrate a responsive React 19 frontend with dual AI explanation layers (Groq LLaMA 3.3 &amp; Google Gemini 3.8).</w:t>
      </w:r>
    </w:p>
    <w:p>
      <w:pPr>
        <w:spacing w:after="200"/>
      </w:pPr>
    </w:p>
    <w:p>
      <w:pPr>
        <w:spacing w:before="320" w:after="120"/>
      </w:pPr>
      <w:r>
        <w:rPr>
          <w:b/>
          <w:color w:val="059669"/>
          <w:sz w:val="26"/>
        </w:rPr>
        <w:t>3. Dataset and Modelling Table</w:t>
      </w:r>
    </w:p>
    <w:p>
      <w:pPr>
        <w:spacing w:after="120"/>
      </w:pPr>
      <w:r>
        <w:t>The modelling source is datasets/ICRISAT_District_Level_Data.csv containing 12,418 district-year records, 80 columns, 20 states, and 311 district names. The wide format dataset was transformed by identifying 23 yield columns ending with YIELD (Kg per ha), aligning corresponding area and production fields.</w:t>
      </w:r>
    </w:p>
    <w:tbl>
      <w:tblPr>
        <w:tblW w:type="auto" w:w="0"/>
        <w:jc w:val="center"/>
        <w:tblLayout w:type="fixed"/>
        <w:tblLook w:firstColumn="1" w:firstRow="1" w:lastColumn="0" w:lastRow="0" w:noHBand="0" w:noVBand="1" w:val="04A0"/>
      </w:tblPr>
      <w:tblGrid>
        <w:gridCol w:w="4968"/>
        <w:gridCol w:w="4968"/>
      </w:tblGrid>
      <w:tr>
        <w:tc>
          <w:tcPr>
            <w:tcW w:type="dxa" w:w="4968"/>
            <w:shd w:fill="1E293B"/>
          </w:tcPr>
          <w:p>
            <w:r>
              <w:rPr>
                <w:b/>
                <w:color w:val="FFFFFF"/>
              </w:rPr>
              <w:t>Dataset Item</w:t>
            </w:r>
          </w:p>
        </w:tc>
        <w:tc>
          <w:tcPr>
            <w:tcW w:type="dxa" w:w="4968"/>
            <w:shd w:fill="1E293B"/>
          </w:tcPr>
          <w:p>
            <w:r>
              <w:rPr>
                <w:b/>
                <w:color w:val="FFFFFF"/>
              </w:rPr>
              <w:t>Result / Metric</w:t>
            </w:r>
          </w:p>
        </w:tc>
      </w:tr>
      <w:tr>
        <w:tc>
          <w:tcPr>
            <w:tcW w:type="dxa" w:w="4896"/>
            <w:shd w:fill="F8FAFC"/>
            <w:tcMar>
              <w:top w:w="80" w:type="dxa"/>
              <w:bottom w:w="80" w:type="dxa"/>
              <w:left w:w="120" w:type="dxa"/>
              <w:right w:w="120" w:type="dxa"/>
            </w:tcMar>
          </w:tcPr>
          <w:p>
            <w:r>
              <w:rPr>
                <w:sz w:val="19"/>
              </w:rPr>
              <w:t>Source district-year records</w:t>
            </w:r>
          </w:p>
        </w:tc>
        <w:tc>
          <w:tcPr>
            <w:tcW w:type="dxa" w:w="5040"/>
            <w:shd w:fill="F8FAFC"/>
            <w:tcMar>
              <w:top w:w="80" w:type="dxa"/>
              <w:bottom w:w="80" w:type="dxa"/>
              <w:left w:w="120" w:type="dxa"/>
              <w:right w:w="120" w:type="dxa"/>
            </w:tcMar>
          </w:tcPr>
          <w:p>
            <w:r>
              <w:rPr>
                <w:b/>
                <w:sz w:val="19"/>
              </w:rPr>
              <w:t>12,418</w:t>
            </w:r>
          </w:p>
        </w:tc>
      </w:tr>
      <w:tr>
        <w:tc>
          <w:tcPr>
            <w:tcW w:type="dxa" w:w="4896"/>
            <w:shd w:fill="FFFFFF"/>
            <w:tcMar>
              <w:top w:w="80" w:type="dxa"/>
              <w:bottom w:w="80" w:type="dxa"/>
              <w:left w:w="120" w:type="dxa"/>
              <w:right w:w="120" w:type="dxa"/>
            </w:tcMar>
          </w:tcPr>
          <w:p>
            <w:r>
              <w:rPr>
                <w:sz w:val="19"/>
              </w:rPr>
              <w:t>Crop-wise records before lag creation</w:t>
            </w:r>
          </w:p>
        </w:tc>
        <w:tc>
          <w:tcPr>
            <w:tcW w:type="dxa" w:w="5040"/>
            <w:shd w:fill="FFFFFF"/>
            <w:tcMar>
              <w:top w:w="80" w:type="dxa"/>
              <w:bottom w:w="80" w:type="dxa"/>
              <w:left w:w="120" w:type="dxa"/>
              <w:right w:w="120" w:type="dxa"/>
            </w:tcMar>
          </w:tcPr>
          <w:p>
            <w:r>
              <w:rPr>
                <w:b/>
                <w:sz w:val="19"/>
              </w:rPr>
              <w:t>285,614</w:t>
            </w:r>
          </w:p>
        </w:tc>
      </w:tr>
      <w:tr>
        <w:tc>
          <w:tcPr>
            <w:tcW w:type="dxa" w:w="4896"/>
            <w:shd w:fill="F8FAFC"/>
            <w:tcMar>
              <w:top w:w="80" w:type="dxa"/>
              <w:bottom w:w="80" w:type="dxa"/>
              <w:left w:w="120" w:type="dxa"/>
              <w:right w:w="120" w:type="dxa"/>
            </w:tcMar>
          </w:tcPr>
          <w:p>
            <w:r>
              <w:rPr>
                <w:sz w:val="19"/>
              </w:rPr>
              <w:t>Records after removing missing previous-year yield</w:t>
            </w:r>
          </w:p>
        </w:tc>
        <w:tc>
          <w:tcPr>
            <w:tcW w:type="dxa" w:w="5040"/>
            <w:shd w:fill="F8FAFC"/>
            <w:tcMar>
              <w:top w:w="80" w:type="dxa"/>
              <w:bottom w:w="80" w:type="dxa"/>
              <w:left w:w="120" w:type="dxa"/>
              <w:right w:w="120" w:type="dxa"/>
            </w:tcMar>
          </w:tcPr>
          <w:p>
            <w:r>
              <w:rPr>
                <w:b/>
                <w:sz w:val="19"/>
              </w:rPr>
              <w:t>278,461</w:t>
            </w:r>
          </w:p>
        </w:tc>
      </w:tr>
      <w:tr>
        <w:tc>
          <w:tcPr>
            <w:tcW w:type="dxa" w:w="4896"/>
            <w:shd w:fill="FFFFFF"/>
            <w:tcMar>
              <w:top w:w="80" w:type="dxa"/>
              <w:bottom w:w="80" w:type="dxa"/>
              <w:left w:w="120" w:type="dxa"/>
              <w:right w:w="120" w:type="dxa"/>
            </w:tcMar>
          </w:tcPr>
          <w:p>
            <w:r>
              <w:rPr>
                <w:sz w:val="19"/>
              </w:rPr>
              <w:t>Crops modelled</w:t>
            </w:r>
          </w:p>
        </w:tc>
        <w:tc>
          <w:tcPr>
            <w:tcW w:type="dxa" w:w="5040"/>
            <w:shd w:fill="FFFFFF"/>
            <w:tcMar>
              <w:top w:w="80" w:type="dxa"/>
              <w:bottom w:w="80" w:type="dxa"/>
              <w:left w:w="120" w:type="dxa"/>
              <w:right w:w="120" w:type="dxa"/>
            </w:tcMar>
          </w:tcPr>
          <w:p>
            <w:r>
              <w:rPr>
                <w:b/>
                <w:sz w:val="19"/>
              </w:rPr>
              <w:t>23</w:t>
            </w:r>
          </w:p>
        </w:tc>
      </w:tr>
      <w:tr>
        <w:tc>
          <w:tcPr>
            <w:tcW w:type="dxa" w:w="4896"/>
            <w:shd w:fill="F8FAFC"/>
            <w:tcMar>
              <w:top w:w="80" w:type="dxa"/>
              <w:bottom w:w="80" w:type="dxa"/>
              <w:left w:w="120" w:type="dxa"/>
              <w:right w:w="120" w:type="dxa"/>
            </w:tcMar>
          </w:tcPr>
          <w:p>
            <w:r>
              <w:rPr>
                <w:sz w:val="19"/>
              </w:rPr>
              <w:t>Year range after lag creation</w:t>
            </w:r>
          </w:p>
        </w:tc>
        <w:tc>
          <w:tcPr>
            <w:tcW w:type="dxa" w:w="5040"/>
            <w:shd w:fill="F8FAFC"/>
            <w:tcMar>
              <w:top w:w="80" w:type="dxa"/>
              <w:bottom w:w="80" w:type="dxa"/>
              <w:left w:w="120" w:type="dxa"/>
              <w:right w:w="120" w:type="dxa"/>
            </w:tcMar>
          </w:tcPr>
          <w:p>
            <w:r>
              <w:rPr>
                <w:b/>
                <w:sz w:val="19"/>
              </w:rPr>
              <w:t>1979–2017</w:t>
            </w:r>
          </w:p>
        </w:tc>
      </w:tr>
      <w:tr>
        <w:tc>
          <w:tcPr>
            <w:tcW w:type="dxa" w:w="4896"/>
            <w:shd w:fill="FFFFFF"/>
            <w:tcMar>
              <w:top w:w="80" w:type="dxa"/>
              <w:bottom w:w="80" w:type="dxa"/>
              <w:left w:w="120" w:type="dxa"/>
              <w:right w:w="120" w:type="dxa"/>
            </w:tcMar>
          </w:tcPr>
          <w:p>
            <w:r>
              <w:rPr>
                <w:sz w:val="19"/>
              </w:rPr>
              <w:t>States covered</w:t>
            </w:r>
          </w:p>
        </w:tc>
        <w:tc>
          <w:tcPr>
            <w:tcW w:type="dxa" w:w="5040"/>
            <w:shd w:fill="FFFFFF"/>
            <w:tcMar>
              <w:top w:w="80" w:type="dxa"/>
              <w:bottom w:w="80" w:type="dxa"/>
              <w:left w:w="120" w:type="dxa"/>
              <w:right w:w="120" w:type="dxa"/>
            </w:tcMar>
          </w:tcPr>
          <w:p>
            <w:r>
              <w:rPr>
                <w:b/>
                <w:sz w:val="19"/>
              </w:rPr>
              <w:t>20</w:t>
            </w:r>
          </w:p>
        </w:tc>
      </w:tr>
      <w:tr>
        <w:tc>
          <w:tcPr>
            <w:tcW w:type="dxa" w:w="4896"/>
            <w:shd w:fill="F8FAFC"/>
            <w:tcMar>
              <w:top w:w="80" w:type="dxa"/>
              <w:bottom w:w="80" w:type="dxa"/>
              <w:left w:w="120" w:type="dxa"/>
              <w:right w:w="120" w:type="dxa"/>
            </w:tcMar>
          </w:tcPr>
          <w:p>
            <w:r>
              <w:rPr>
                <w:sz w:val="19"/>
              </w:rPr>
              <w:t>Districts covered</w:t>
            </w:r>
          </w:p>
        </w:tc>
        <w:tc>
          <w:tcPr>
            <w:tcW w:type="dxa" w:w="5040"/>
            <w:shd w:fill="F8FAFC"/>
            <w:tcMar>
              <w:top w:w="80" w:type="dxa"/>
              <w:bottom w:w="80" w:type="dxa"/>
              <w:left w:w="120" w:type="dxa"/>
              <w:right w:w="120" w:type="dxa"/>
            </w:tcMar>
          </w:tcPr>
          <w:p>
            <w:r>
              <w:rPr>
                <w:b/>
                <w:sz w:val="19"/>
              </w:rPr>
              <w:t>311</w:t>
            </w:r>
          </w:p>
        </w:tc>
      </w:tr>
    </w:tbl>
    <w:p>
      <w:pPr>
        <w:spacing w:before="240" w:after="80"/>
      </w:pPr>
      <w:r>
        <w:rPr>
          <w:b/>
          <w:color w:val="0F172A"/>
          <w:sz w:val="22"/>
        </w:rPr>
        <w:t>3.1 Feature Engineering</w:t>
      </w:r>
    </w:p>
    <w:p>
      <w:pPr>
        <w:spacing w:after="80"/>
      </w:pPr>
      <w:r>
        <w:t>Records were sorted chronologically by Dist Code, Crop, and Year. Grouped one-period shifts created previous-year features: Previous_Year_Yield, Previous_Year_Area, and Previous_Year_Production. Input feature sets consist of:</w:t>
      </w:r>
    </w:p>
    <w:tbl>
      <w:tblPr>
        <w:tblW w:type="auto" w:w="0"/>
        <w:jc w:val="center"/>
        <w:tblLayout w:type="fixed"/>
        <w:tblLook w:firstColumn="1" w:firstRow="1" w:lastColumn="0" w:lastRow="0" w:noHBand="0" w:noVBand="1" w:val="04A0"/>
      </w:tblPr>
      <w:tblGrid>
        <w:gridCol w:w="4968"/>
        <w:gridCol w:w="4968"/>
      </w:tblGrid>
      <w:tr>
        <w:tc>
          <w:tcPr>
            <w:tcW w:type="dxa" w:w="4968"/>
            <w:shd w:fill="059669"/>
          </w:tcPr>
          <w:p>
            <w:r>
              <w:rPr>
                <w:b/>
                <w:color w:val="FFFFFF"/>
              </w:rPr>
              <w:t>Feature Type</w:t>
            </w:r>
          </w:p>
        </w:tc>
        <w:tc>
          <w:tcPr>
            <w:tcW w:type="dxa" w:w="4968"/>
            <w:shd w:fill="059669"/>
          </w:tcPr>
          <w:p>
            <w:r>
              <w:rPr>
                <w:b/>
                <w:color w:val="FFFFFF"/>
              </w:rPr>
              <w:t>Variables</w:t>
            </w:r>
          </w:p>
        </w:tc>
      </w:tr>
      <w:tr>
        <w:tc>
          <w:tcPr>
            <w:tcW w:type="dxa" w:w="3168"/>
            <w:shd w:fill="F0FDF4"/>
            <w:tcMar>
              <w:top w:w="80" w:type="dxa"/>
              <w:bottom w:w="80" w:type="dxa"/>
              <w:left w:w="120" w:type="dxa"/>
              <w:right w:w="120" w:type="dxa"/>
            </w:tcMar>
          </w:tcPr>
          <w:p>
            <w:r>
              <w:rPr>
                <w:b/>
                <w:sz w:val="19"/>
              </w:rPr>
              <w:t>Numerical Features</w:t>
            </w:r>
          </w:p>
        </w:tc>
        <w:tc>
          <w:tcPr>
            <w:tcW w:type="dxa" w:w="6768"/>
            <w:shd w:fill="F0FDF4"/>
            <w:tcMar>
              <w:top w:w="80" w:type="dxa"/>
              <w:bottom w:w="80" w:type="dxa"/>
              <w:left w:w="120" w:type="dxa"/>
              <w:right w:w="120" w:type="dxa"/>
            </w:tcMar>
          </w:tcPr>
          <w:p>
            <w:r>
              <w:rPr>
                <w:sz w:val="19"/>
              </w:rPr>
              <w:t>Year, Area, Previous_Year_Yield, Previous_Year_Area, Previous_Year_Production</w:t>
            </w:r>
          </w:p>
        </w:tc>
      </w:tr>
      <w:tr>
        <w:tc>
          <w:tcPr>
            <w:tcW w:type="dxa" w:w="3168"/>
            <w:shd w:fill="FFFFFF"/>
            <w:tcMar>
              <w:top w:w="80" w:type="dxa"/>
              <w:bottom w:w="80" w:type="dxa"/>
              <w:left w:w="120" w:type="dxa"/>
              <w:right w:w="120" w:type="dxa"/>
            </w:tcMar>
          </w:tcPr>
          <w:p>
            <w:r>
              <w:rPr>
                <w:b/>
                <w:sz w:val="19"/>
              </w:rPr>
              <w:t>Categorical Features</w:t>
            </w:r>
          </w:p>
        </w:tc>
        <w:tc>
          <w:tcPr>
            <w:tcW w:type="dxa" w:w="6768"/>
            <w:shd w:fill="FFFFFF"/>
            <w:tcMar>
              <w:top w:w="80" w:type="dxa"/>
              <w:bottom w:w="80" w:type="dxa"/>
              <w:left w:w="120" w:type="dxa"/>
              <w:right w:w="120" w:type="dxa"/>
            </w:tcMar>
          </w:tcPr>
          <w:p>
            <w:r>
              <w:rPr>
                <w:sz w:val="19"/>
              </w:rPr>
              <w:t>State Name, Dist Name, Crop</w:t>
            </w:r>
          </w:p>
        </w:tc>
      </w:tr>
      <w:tr>
        <w:tc>
          <w:tcPr>
            <w:tcW w:type="dxa" w:w="3168"/>
            <w:shd w:fill="F0FDF4"/>
            <w:tcMar>
              <w:top w:w="80" w:type="dxa"/>
              <w:bottom w:w="80" w:type="dxa"/>
              <w:left w:w="120" w:type="dxa"/>
              <w:right w:w="120" w:type="dxa"/>
            </w:tcMar>
          </w:tcPr>
          <w:p>
            <w:r>
              <w:rPr>
                <w:b/>
                <w:sz w:val="19"/>
              </w:rPr>
              <w:t>Prediction Target</w:t>
            </w:r>
          </w:p>
        </w:tc>
        <w:tc>
          <w:tcPr>
            <w:tcW w:type="dxa" w:w="6768"/>
            <w:shd w:fill="F0FDF4"/>
            <w:tcMar>
              <w:top w:w="80" w:type="dxa"/>
              <w:bottom w:w="80" w:type="dxa"/>
              <w:left w:w="120" w:type="dxa"/>
              <w:right w:w="120" w:type="dxa"/>
            </w:tcMar>
          </w:tcPr>
          <w:p>
            <w:r>
              <w:rPr>
                <w:sz w:val="19"/>
              </w:rPr>
              <w:t>Yield (Kg per ha)</w:t>
            </w:r>
          </w:p>
        </w:tc>
      </w:tr>
    </w:tbl>
    <w:p>
      <w:pPr>
        <w:spacing w:after="200"/>
      </w:pPr>
    </w:p>
    <w:p>
      <w:pPr>
        <w:spacing w:before="320" w:after="120"/>
      </w:pPr>
      <w:r>
        <w:rPr>
          <w:b/>
          <w:color w:val="059669"/>
          <w:sz w:val="26"/>
        </w:rPr>
        <w:t>4. Training Methodology</w:t>
      </w:r>
    </w:p>
    <w:p>
      <w:pPr>
        <w:spacing w:before="240" w:after="80"/>
      </w:pPr>
      <w:r>
        <w:rPr>
          <w:b/>
          <w:color w:val="0F172A"/>
          <w:sz w:val="22"/>
        </w:rPr>
        <w:t>4.1 Time-Aware Evaluation Split</w:t>
      </w:r>
    </w:p>
    <w:p>
      <w:pPr>
        <w:spacing w:after="80"/>
      </w:pPr>
      <w:r>
        <w:t>Years were ordered chronologically and split at 80% to prevent temporal data leakage. Earlier years were assigned to training and later years were reserved for testing.</w:t>
      </w:r>
    </w:p>
    <w:tbl>
      <w:tblPr>
        <w:tblW w:type="auto" w:w="0"/>
        <w:jc w:val="center"/>
        <w:tblLayout w:type="fixed"/>
        <w:tblLook w:firstColumn="1" w:firstRow="1" w:lastColumn="0" w:lastRow="0" w:noHBand="0" w:noVBand="1" w:val="04A0"/>
      </w:tblPr>
      <w:tblGrid>
        <w:gridCol w:w="3312"/>
        <w:gridCol w:w="3312"/>
        <w:gridCol w:w="3312"/>
      </w:tblGrid>
      <w:tr>
        <w:tc>
          <w:tcPr>
            <w:tcW w:type="dxa" w:w="3312"/>
            <w:shd w:fill="1E293B"/>
          </w:tcPr>
          <w:p>
            <w:r>
              <w:rPr>
                <w:b/>
                <w:color w:val="FFFFFF"/>
              </w:rPr>
              <w:t>Partition</w:t>
            </w:r>
          </w:p>
        </w:tc>
        <w:tc>
          <w:tcPr>
            <w:tcW w:type="dxa" w:w="3312"/>
            <w:shd w:fill="1E293B"/>
          </w:tcPr>
          <w:p>
            <w:r>
              <w:rPr>
                <w:b/>
                <w:color w:val="FFFFFF"/>
              </w:rPr>
              <w:t>Historical Period</w:t>
            </w:r>
          </w:p>
        </w:tc>
        <w:tc>
          <w:tcPr>
            <w:tcW w:type="dxa" w:w="3312"/>
            <w:shd w:fill="1E293B"/>
          </w:tcPr>
          <w:p>
            <w:r>
              <w:rPr>
                <w:b/>
                <w:color w:val="FFFFFF"/>
              </w:rPr>
              <w:t>Record Count</w:t>
            </w:r>
          </w:p>
        </w:tc>
      </w:tr>
      <w:tr>
        <w:tc>
          <w:tcPr>
            <w:tcW w:type="dxa" w:w="3312"/>
            <w:shd w:fill="F8FAFC"/>
            <w:tcMar>
              <w:top w:w="80" w:type="dxa"/>
              <w:bottom w:w="80" w:type="dxa"/>
              <w:left w:w="120" w:type="dxa"/>
              <w:right w:w="120" w:type="dxa"/>
            </w:tcMar>
          </w:tcPr>
          <w:p>
            <w:r>
              <w:rPr>
                <w:sz w:val="19"/>
              </w:rPr>
              <w:t>Training Partition</w:t>
            </w:r>
          </w:p>
        </w:tc>
        <w:tc>
          <w:tcPr>
            <w:tcW w:type="dxa" w:w="3312"/>
            <w:shd w:fill="F8FAFC"/>
            <w:tcMar>
              <w:top w:w="80" w:type="dxa"/>
              <w:bottom w:w="80" w:type="dxa"/>
              <w:left w:w="120" w:type="dxa"/>
              <w:right w:w="120" w:type="dxa"/>
            </w:tcMar>
          </w:tcPr>
          <w:p>
            <w:r>
              <w:rPr>
                <w:sz w:val="19"/>
              </w:rPr>
              <w:t>1979–2009</w:t>
            </w:r>
          </w:p>
        </w:tc>
        <w:tc>
          <w:tcPr>
            <w:tcW w:type="dxa" w:w="3312"/>
            <w:shd w:fill="F8FAFC"/>
            <w:tcMar>
              <w:top w:w="80" w:type="dxa"/>
              <w:bottom w:w="80" w:type="dxa"/>
              <w:left w:w="120" w:type="dxa"/>
              <w:right w:w="120" w:type="dxa"/>
            </w:tcMar>
          </w:tcPr>
          <w:p>
            <w:r>
              <w:rPr>
                <w:sz w:val="19"/>
              </w:rPr>
              <w:t>221,329 records</w:t>
            </w:r>
          </w:p>
        </w:tc>
      </w:tr>
      <w:tr>
        <w:tc>
          <w:tcPr>
            <w:tcW w:type="dxa" w:w="3312"/>
            <w:shd w:fill="FFFFFF"/>
            <w:tcMar>
              <w:top w:w="80" w:type="dxa"/>
              <w:bottom w:w="80" w:type="dxa"/>
              <w:left w:w="120" w:type="dxa"/>
              <w:right w:w="120" w:type="dxa"/>
            </w:tcMar>
          </w:tcPr>
          <w:p>
            <w:r>
              <w:rPr>
                <w:sz w:val="19"/>
              </w:rPr>
              <w:t>Testing Partition</w:t>
            </w:r>
          </w:p>
        </w:tc>
        <w:tc>
          <w:tcPr>
            <w:tcW w:type="dxa" w:w="3312"/>
            <w:shd w:fill="FFFFFF"/>
            <w:tcMar>
              <w:top w:w="80" w:type="dxa"/>
              <w:bottom w:w="80" w:type="dxa"/>
              <w:left w:w="120" w:type="dxa"/>
              <w:right w:w="120" w:type="dxa"/>
            </w:tcMar>
          </w:tcPr>
          <w:p>
            <w:r>
              <w:rPr>
                <w:sz w:val="19"/>
              </w:rPr>
              <w:t>2010–2017</w:t>
            </w:r>
          </w:p>
        </w:tc>
        <w:tc>
          <w:tcPr>
            <w:tcW w:type="dxa" w:w="3312"/>
            <w:shd w:fill="FFFFFF"/>
            <w:tcMar>
              <w:top w:w="80" w:type="dxa"/>
              <w:bottom w:w="80" w:type="dxa"/>
              <w:left w:w="120" w:type="dxa"/>
              <w:right w:w="120" w:type="dxa"/>
            </w:tcMar>
          </w:tcPr>
          <w:p>
            <w:r>
              <w:rPr>
                <w:sz w:val="19"/>
              </w:rPr>
              <w:t>57,132 records</w:t>
            </w:r>
          </w:p>
        </w:tc>
      </w:tr>
    </w:tbl>
    <w:p>
      <w:pPr>
        <w:spacing w:before="240" w:after="80"/>
      </w:pPr>
      <w:r>
        <w:rPr>
          <w:b/>
          <w:color w:val="0F172A"/>
          <w:sz w:val="22"/>
        </w:rPr>
        <w:t>4.2 Preprocessing Pipeline</w:t>
      </w:r>
    </w:p>
    <w:p>
      <w:r>
        <w:t>Preprocessing is encapsulated inside a scikit-learn Pipeline. Numerical features are scaled via StandardScaler, while categorical features (State Name, Dist Name, Crop) are transformed with OneHotEncoder(handle_unknown='ignore').</w:t>
      </w:r>
    </w:p>
    <w:p>
      <w:pPr>
        <w:spacing w:before="320" w:after="120"/>
      </w:pPr>
      <w:r>
        <w:rPr>
          <w:b/>
          <w:color w:val="059669"/>
          <w:sz w:val="26"/>
        </w:rPr>
        <w:t>5. Tuning and Final Model Results</w:t>
      </w:r>
    </w:p>
    <w:p>
      <w:pPr>
        <w:spacing w:after="80"/>
      </w:pPr>
      <w:r>
        <w:t>Grid search with 3-fold cross-validation evaluated Random Forest and XGBoost architectures. The production pipeline uses the tuned XGBoost configuration:</w:t>
      </w:r>
    </w:p>
    <w:tbl>
      <w:tblPr>
        <w:tblW w:type="auto" w:w="0"/>
        <w:jc w:val="center"/>
        <w:tblLayout w:type="fixed"/>
        <w:tblLook w:firstColumn="1" w:firstRow="1" w:lastColumn="0" w:lastRow="0" w:noHBand="0" w:noVBand="1" w:val="04A0"/>
      </w:tblPr>
      <w:tblGrid>
        <w:gridCol w:w="4968"/>
        <w:gridCol w:w="4968"/>
      </w:tblGrid>
      <w:tr>
        <w:tc>
          <w:tcPr>
            <w:tcW w:type="dxa" w:w="4968"/>
            <w:shd w:fill="059669"/>
          </w:tcPr>
          <w:p>
            <w:r>
              <w:rPr>
                <w:b/>
                <w:color w:val="FFFFFF"/>
              </w:rPr>
              <w:t>Hyperparameter</w:t>
            </w:r>
          </w:p>
        </w:tc>
        <w:tc>
          <w:tcPr>
            <w:tcW w:type="dxa" w:w="4968"/>
            <w:shd w:fill="059669"/>
          </w:tcPr>
          <w:p>
            <w:r>
              <w:rPr>
                <w:b/>
                <w:color w:val="FFFFFF"/>
              </w:rPr>
              <w:t>Selected Production Value</w:t>
            </w:r>
          </w:p>
        </w:tc>
      </w:tr>
      <w:tr>
        <w:tc>
          <w:tcPr>
            <w:tcW w:type="dxa" w:w="4896"/>
            <w:shd w:fill="F0FDF4"/>
            <w:tcMar>
              <w:top w:w="80" w:type="dxa"/>
              <w:bottom w:w="80" w:type="dxa"/>
              <w:left w:w="120" w:type="dxa"/>
              <w:right w:w="120" w:type="dxa"/>
            </w:tcMar>
          </w:tcPr>
          <w:p>
            <w:r>
              <w:rPr>
                <w:b/>
                <w:sz w:val="19"/>
              </w:rPr>
              <w:t>Objective Function</w:t>
            </w:r>
          </w:p>
        </w:tc>
        <w:tc>
          <w:tcPr>
            <w:tcW w:type="dxa" w:w="5040"/>
            <w:shd w:fill="F0FDF4"/>
            <w:tcMar>
              <w:top w:w="80" w:type="dxa"/>
              <w:bottom w:w="80" w:type="dxa"/>
              <w:left w:w="120" w:type="dxa"/>
              <w:right w:w="120" w:type="dxa"/>
            </w:tcMar>
          </w:tcPr>
          <w:p>
            <w:r>
              <w:rPr>
                <w:sz w:val="19"/>
              </w:rPr>
              <w:t>reg:squarederror</w:t>
            </w:r>
          </w:p>
        </w:tc>
      </w:tr>
      <w:tr>
        <w:tc>
          <w:tcPr>
            <w:tcW w:type="dxa" w:w="4896"/>
            <w:shd w:fill="FFFFFF"/>
            <w:tcMar>
              <w:top w:w="80" w:type="dxa"/>
              <w:bottom w:w="80" w:type="dxa"/>
              <w:left w:w="120" w:type="dxa"/>
              <w:right w:w="120" w:type="dxa"/>
            </w:tcMar>
          </w:tcPr>
          <w:p>
            <w:r>
              <w:rPr>
                <w:b/>
                <w:sz w:val="19"/>
              </w:rPr>
              <w:t>Learning Rate</w:t>
            </w:r>
          </w:p>
        </w:tc>
        <w:tc>
          <w:tcPr>
            <w:tcW w:type="dxa" w:w="5040"/>
            <w:shd w:fill="FFFFFF"/>
            <w:tcMar>
              <w:top w:w="80" w:type="dxa"/>
              <w:bottom w:w="80" w:type="dxa"/>
              <w:left w:w="120" w:type="dxa"/>
              <w:right w:w="120" w:type="dxa"/>
            </w:tcMar>
          </w:tcPr>
          <w:p>
            <w:r>
              <w:rPr>
                <w:sz w:val="19"/>
              </w:rPr>
              <w:t>0.05</w:t>
            </w:r>
          </w:p>
        </w:tc>
      </w:tr>
      <w:tr>
        <w:tc>
          <w:tcPr>
            <w:tcW w:type="dxa" w:w="4896"/>
            <w:shd w:fill="F0FDF4"/>
            <w:tcMar>
              <w:top w:w="80" w:type="dxa"/>
              <w:bottom w:w="80" w:type="dxa"/>
              <w:left w:w="120" w:type="dxa"/>
              <w:right w:w="120" w:type="dxa"/>
            </w:tcMar>
          </w:tcPr>
          <w:p>
            <w:r>
              <w:rPr>
                <w:b/>
                <w:sz w:val="19"/>
              </w:rPr>
              <w:t>Maximum Depth</w:t>
            </w:r>
          </w:p>
        </w:tc>
        <w:tc>
          <w:tcPr>
            <w:tcW w:type="dxa" w:w="5040"/>
            <w:shd w:fill="F0FDF4"/>
            <w:tcMar>
              <w:top w:w="80" w:type="dxa"/>
              <w:bottom w:w="80" w:type="dxa"/>
              <w:left w:w="120" w:type="dxa"/>
              <w:right w:w="120" w:type="dxa"/>
            </w:tcMar>
          </w:tcPr>
          <w:p>
            <w:r>
              <w:rPr>
                <w:sz w:val="19"/>
              </w:rPr>
              <w:t>4</w:t>
            </w:r>
          </w:p>
        </w:tc>
      </w:tr>
      <w:tr>
        <w:tc>
          <w:tcPr>
            <w:tcW w:type="dxa" w:w="4896"/>
            <w:shd w:fill="FFFFFF"/>
            <w:tcMar>
              <w:top w:w="80" w:type="dxa"/>
              <w:bottom w:w="80" w:type="dxa"/>
              <w:left w:w="120" w:type="dxa"/>
              <w:right w:w="120" w:type="dxa"/>
            </w:tcMar>
          </w:tcPr>
          <w:p>
            <w:r>
              <w:rPr>
                <w:b/>
                <w:sz w:val="19"/>
              </w:rPr>
              <w:t>Number of Estimators</w:t>
            </w:r>
          </w:p>
        </w:tc>
        <w:tc>
          <w:tcPr>
            <w:tcW w:type="dxa" w:w="5040"/>
            <w:shd w:fill="FFFFFF"/>
            <w:tcMar>
              <w:top w:w="80" w:type="dxa"/>
              <w:bottom w:w="80" w:type="dxa"/>
              <w:left w:w="120" w:type="dxa"/>
              <w:right w:w="120" w:type="dxa"/>
            </w:tcMar>
          </w:tcPr>
          <w:p>
            <w:r>
              <w:rPr>
                <w:sz w:val="19"/>
              </w:rPr>
              <w:t>200</w:t>
            </w:r>
          </w:p>
        </w:tc>
      </w:tr>
      <w:tr>
        <w:tc>
          <w:tcPr>
            <w:tcW w:type="dxa" w:w="4896"/>
            <w:shd w:fill="F0FDF4"/>
            <w:tcMar>
              <w:top w:w="80" w:type="dxa"/>
              <w:bottom w:w="80" w:type="dxa"/>
              <w:left w:w="120" w:type="dxa"/>
              <w:right w:w="120" w:type="dxa"/>
            </w:tcMar>
          </w:tcPr>
          <w:p>
            <w:r>
              <w:rPr>
                <w:b/>
                <w:sz w:val="19"/>
              </w:rPr>
              <w:t>Random State</w:t>
            </w:r>
          </w:p>
        </w:tc>
        <w:tc>
          <w:tcPr>
            <w:tcW w:type="dxa" w:w="5040"/>
            <w:shd w:fill="F0FDF4"/>
            <w:tcMar>
              <w:top w:w="80" w:type="dxa"/>
              <w:bottom w:w="80" w:type="dxa"/>
              <w:left w:w="120" w:type="dxa"/>
              <w:right w:w="120" w:type="dxa"/>
            </w:tcMar>
          </w:tcPr>
          <w:p>
            <w:r>
              <w:rPr>
                <w:sz w:val="19"/>
              </w:rPr>
              <w:t>42</w:t>
            </w:r>
          </w:p>
        </w:tc>
      </w:tr>
    </w:tbl>
    <w:p>
      <w:pPr>
        <w:spacing w:before="240" w:after="80"/>
      </w:pPr>
      <w:r>
        <w:rPr>
          <w:b/>
          <w:color w:val="0F172A"/>
          <w:sz w:val="22"/>
        </w:rPr>
        <w:t>5.1 Final Test Results (2010–2017)</w:t>
      </w:r>
    </w:p>
    <w:p>
      <w:r>
        <w:t>Evaluated on the untouched held-out 2010–2017 test partition, the production model achieved outstanding predictive performance:</w:t>
      </w:r>
    </w:p>
    <w:tbl>
      <w:tblPr>
        <w:tblW w:type="auto" w:w="0"/>
        <w:jc w:val="center"/>
        <w:tblLayout w:type="fixed"/>
        <w:tblLook w:firstColumn="1" w:firstRow="1" w:lastColumn="0" w:lastRow="0" w:noHBand="0" w:noVBand="1" w:val="04A0"/>
      </w:tblPr>
      <w:tblGrid>
        <w:gridCol w:w="4968"/>
        <w:gridCol w:w="4968"/>
      </w:tblGrid>
      <w:tr>
        <w:tc>
          <w:tcPr>
            <w:tcW w:type="dxa" w:w="4968"/>
            <w:shd w:fill="1E293B"/>
          </w:tcPr>
          <w:p>
            <w:r>
              <w:rPr>
                <w:b/>
                <w:color w:val="FFFFFF"/>
              </w:rPr>
              <w:t>Evaluation Metric</w:t>
            </w:r>
          </w:p>
        </w:tc>
        <w:tc>
          <w:tcPr>
            <w:tcW w:type="dxa" w:w="4968"/>
            <w:shd w:fill="1E293B"/>
          </w:tcPr>
          <w:p>
            <w:r>
              <w:rPr>
                <w:b/>
                <w:color w:val="FFFFFF"/>
              </w:rPr>
              <w:t>Test Performance Result</w:t>
            </w:r>
          </w:p>
        </w:tc>
      </w:tr>
      <w:tr>
        <w:tc>
          <w:tcPr>
            <w:tcW w:type="dxa" w:w="4896"/>
            <w:shd w:fill="F8FAFC"/>
            <w:tcMar>
              <w:top w:w="80" w:type="dxa"/>
              <w:bottom w:w="80" w:type="dxa"/>
              <w:left w:w="120" w:type="dxa"/>
              <w:right w:w="120" w:type="dxa"/>
            </w:tcMar>
          </w:tcPr>
          <w:p>
            <w:r>
              <w:rPr>
                <w:b/>
                <w:sz w:val="19"/>
              </w:rPr>
              <w:t>Mean Absolute Error (MAE)</w:t>
            </w:r>
          </w:p>
        </w:tc>
        <w:tc>
          <w:tcPr>
            <w:tcW w:type="dxa" w:w="5040"/>
            <w:shd w:fill="F8FAFC"/>
            <w:tcMar>
              <w:top w:w="80" w:type="dxa"/>
              <w:bottom w:w="80" w:type="dxa"/>
              <w:left w:w="120" w:type="dxa"/>
              <w:right w:w="120" w:type="dxa"/>
            </w:tcMar>
          </w:tcPr>
          <w:p>
            <w:r>
              <w:rPr>
                <w:b/>
                <w:color w:val="059669"/>
                <w:sz w:val="19"/>
              </w:rPr>
              <w:t>237.72 kg/ha</w:t>
            </w:r>
          </w:p>
        </w:tc>
      </w:tr>
      <w:tr>
        <w:tc>
          <w:tcPr>
            <w:tcW w:type="dxa" w:w="4896"/>
            <w:shd w:fill="FFFFFF"/>
            <w:tcMar>
              <w:top w:w="80" w:type="dxa"/>
              <w:bottom w:w="80" w:type="dxa"/>
              <w:left w:w="120" w:type="dxa"/>
              <w:right w:w="120" w:type="dxa"/>
            </w:tcMar>
          </w:tcPr>
          <w:p>
            <w:r>
              <w:rPr>
                <w:b/>
                <w:sz w:val="19"/>
              </w:rPr>
              <w:t>Root Mean Squared Error (RMSE)</w:t>
            </w:r>
          </w:p>
        </w:tc>
        <w:tc>
          <w:tcPr>
            <w:tcW w:type="dxa" w:w="5040"/>
            <w:shd w:fill="FFFFFF"/>
            <w:tcMar>
              <w:top w:w="80" w:type="dxa"/>
              <w:bottom w:w="80" w:type="dxa"/>
              <w:left w:w="120" w:type="dxa"/>
              <w:right w:w="120" w:type="dxa"/>
            </w:tcMar>
          </w:tcPr>
          <w:p>
            <w:r>
              <w:rPr>
                <w:b/>
                <w:color w:val="059669"/>
                <w:sz w:val="19"/>
              </w:rPr>
              <w:t>583.04 kg/ha</w:t>
            </w:r>
          </w:p>
        </w:tc>
      </w:tr>
      <w:tr>
        <w:tc>
          <w:tcPr>
            <w:tcW w:type="dxa" w:w="4896"/>
            <w:shd w:fill="F8FAFC"/>
            <w:tcMar>
              <w:top w:w="80" w:type="dxa"/>
              <w:bottom w:w="80" w:type="dxa"/>
              <w:left w:w="120" w:type="dxa"/>
              <w:right w:w="120" w:type="dxa"/>
            </w:tcMar>
          </w:tcPr>
          <w:p>
            <w:r>
              <w:rPr>
                <w:b/>
                <w:sz w:val="19"/>
              </w:rPr>
              <w:t>Coefficient of Determination (R²)</w:t>
            </w:r>
          </w:p>
        </w:tc>
        <w:tc>
          <w:tcPr>
            <w:tcW w:type="dxa" w:w="5040"/>
            <w:shd w:fill="F8FAFC"/>
            <w:tcMar>
              <w:top w:w="80" w:type="dxa"/>
              <w:bottom w:w="80" w:type="dxa"/>
              <w:left w:w="120" w:type="dxa"/>
              <w:right w:w="120" w:type="dxa"/>
            </w:tcMar>
          </w:tcPr>
          <w:p>
            <w:r>
              <w:rPr>
                <w:b/>
                <w:color w:val="059669"/>
                <w:sz w:val="19"/>
              </w:rPr>
              <w:t>0.8540 (85.4% Variance Explained)</w:t>
            </w:r>
          </w:p>
        </w:tc>
      </w:tr>
    </w:tbl>
    <w:p>
      <w:pPr>
        <w:spacing w:after="200"/>
      </w:pPr>
    </w:p>
    <w:p>
      <w:pPr>
        <w:spacing w:before="320" w:after="120"/>
      </w:pPr>
      <w:r>
        <w:rPr>
          <w:b/>
          <w:color w:val="059669"/>
          <w:sz w:val="26"/>
        </w:rPr>
        <w:t>6. Backend System Design &amp; FastAPI Endpoints</w:t>
      </w:r>
    </w:p>
    <w:p>
      <w:r>
        <w:t>The backend is built with FastAPI. At startup, the server initializes DatasetService (validating states, districts, crops, and years), YieldPredictor (loading the saved XGBoost Joblib artifact), and GroqService (AI explanation layer).</w:t>
      </w:r>
    </w:p>
    <w:tbl>
      <w:tblPr>
        <w:tblW w:type="auto" w:w="0"/>
        <w:jc w:val="center"/>
        <w:tblLayout w:type="fixed"/>
        <w:tblLook w:firstColumn="1" w:firstRow="1" w:lastColumn="0" w:lastRow="0" w:noHBand="0" w:noVBand="1" w:val="04A0"/>
      </w:tblPr>
      <w:tblGrid>
        <w:gridCol w:w="4968"/>
        <w:gridCol w:w="4968"/>
      </w:tblGrid>
      <w:tr>
        <w:tc>
          <w:tcPr>
            <w:tcW w:type="dxa" w:w="4968"/>
            <w:shd w:fill="059669"/>
          </w:tcPr>
          <w:p>
            <w:r>
              <w:rPr>
                <w:b/>
                <w:color w:val="FFFFFF"/>
              </w:rPr>
              <w:t>API Endpoint</w:t>
            </w:r>
          </w:p>
        </w:tc>
        <w:tc>
          <w:tcPr>
            <w:tcW w:type="dxa" w:w="4968"/>
            <w:shd w:fill="059669"/>
          </w:tcPr>
          <w:p>
            <w:r>
              <w:rPr>
                <w:b/>
                <w:color w:val="FFFFFF"/>
              </w:rPr>
              <w:t>Functional Purpose</w:t>
            </w:r>
          </w:p>
        </w:tc>
      </w:tr>
      <w:tr>
        <w:tc>
          <w:tcPr>
            <w:tcW w:type="dxa" w:w="3600"/>
            <w:shd w:fill="F0FDF4"/>
            <w:tcMar>
              <w:top w:w="80" w:type="dxa"/>
              <w:bottom w:w="80" w:type="dxa"/>
              <w:left w:w="120" w:type="dxa"/>
              <w:right w:w="120" w:type="dxa"/>
            </w:tcMar>
          </w:tcPr>
          <w:p>
            <w:r>
              <w:rPr>
                <w:b/>
                <w:sz w:val="18"/>
              </w:rPr>
              <w:t>GET /</w:t>
            </w:r>
          </w:p>
        </w:tc>
        <w:tc>
          <w:tcPr>
            <w:tcW w:type="dxa" w:w="6336"/>
            <w:shd w:fill="F0FDF4"/>
            <w:tcMar>
              <w:top w:w="80" w:type="dxa"/>
              <w:bottom w:w="80" w:type="dxa"/>
              <w:left w:w="120" w:type="dxa"/>
              <w:right w:w="120" w:type="dxa"/>
            </w:tcMar>
          </w:tcPr>
          <w:p>
            <w:r>
              <w:rPr>
                <w:sz w:val="18"/>
              </w:rPr>
              <w:t>Backend service status and version information</w:t>
            </w:r>
          </w:p>
        </w:tc>
      </w:tr>
      <w:tr>
        <w:tc>
          <w:tcPr>
            <w:tcW w:type="dxa" w:w="3600"/>
            <w:shd w:fill="FFFFFF"/>
            <w:tcMar>
              <w:top w:w="80" w:type="dxa"/>
              <w:bottom w:w="80" w:type="dxa"/>
              <w:left w:w="120" w:type="dxa"/>
              <w:right w:w="120" w:type="dxa"/>
            </w:tcMar>
          </w:tcPr>
          <w:p>
            <w:r>
              <w:rPr>
                <w:b/>
                <w:sz w:val="18"/>
              </w:rPr>
              <w:t>GET /api/health</w:t>
            </w:r>
          </w:p>
        </w:tc>
        <w:tc>
          <w:tcPr>
            <w:tcW w:type="dxa" w:w="6336"/>
            <w:shd w:fill="FFFFFF"/>
            <w:tcMar>
              <w:top w:w="80" w:type="dxa"/>
              <w:bottom w:w="80" w:type="dxa"/>
              <w:left w:w="120" w:type="dxa"/>
              <w:right w:w="120" w:type="dxa"/>
            </w:tcMar>
          </w:tcPr>
          <w:p>
            <w:r>
              <w:rPr>
                <w:sz w:val="18"/>
              </w:rPr>
              <w:t>Health check status, model name, and AI engine identification</w:t>
            </w:r>
          </w:p>
        </w:tc>
      </w:tr>
      <w:tr>
        <w:tc>
          <w:tcPr>
            <w:tcW w:type="dxa" w:w="3600"/>
            <w:shd w:fill="F0FDF4"/>
            <w:tcMar>
              <w:top w:w="80" w:type="dxa"/>
              <w:bottom w:w="80" w:type="dxa"/>
              <w:left w:w="120" w:type="dxa"/>
              <w:right w:w="120" w:type="dxa"/>
            </w:tcMar>
          </w:tcPr>
          <w:p>
            <w:r>
              <w:rPr>
                <w:b/>
                <w:sz w:val="18"/>
              </w:rPr>
              <w:t>GET /api/states</w:t>
            </w:r>
          </w:p>
        </w:tc>
        <w:tc>
          <w:tcPr>
            <w:tcW w:type="dxa" w:w="6336"/>
            <w:shd w:fill="F0FDF4"/>
            <w:tcMar>
              <w:top w:w="80" w:type="dxa"/>
              <w:bottom w:w="80" w:type="dxa"/>
              <w:left w:w="120" w:type="dxa"/>
              <w:right w:w="120" w:type="dxa"/>
            </w:tcMar>
          </w:tcPr>
          <w:p>
            <w:r>
              <w:rPr>
                <w:sz w:val="18"/>
              </w:rPr>
              <w:t>Returns list of valid supported Indian states</w:t>
            </w:r>
          </w:p>
        </w:tc>
      </w:tr>
      <w:tr>
        <w:tc>
          <w:tcPr>
            <w:tcW w:type="dxa" w:w="3600"/>
            <w:shd w:fill="FFFFFF"/>
            <w:tcMar>
              <w:top w:w="80" w:type="dxa"/>
              <w:bottom w:w="80" w:type="dxa"/>
              <w:left w:w="120" w:type="dxa"/>
              <w:right w:w="120" w:type="dxa"/>
            </w:tcMar>
          </w:tcPr>
          <w:p>
            <w:r>
              <w:rPr>
                <w:b/>
                <w:sz w:val="18"/>
              </w:rPr>
              <w:t>GET /api/districts/{state}</w:t>
            </w:r>
          </w:p>
        </w:tc>
        <w:tc>
          <w:tcPr>
            <w:tcW w:type="dxa" w:w="6336"/>
            <w:shd w:fill="FFFFFF"/>
            <w:tcMar>
              <w:top w:w="80" w:type="dxa"/>
              <w:bottom w:w="80" w:type="dxa"/>
              <w:left w:w="120" w:type="dxa"/>
              <w:right w:w="120" w:type="dxa"/>
            </w:tcMar>
          </w:tcPr>
          <w:p>
            <w:r>
              <w:rPr>
                <w:sz w:val="18"/>
              </w:rPr>
              <w:t>Returns valid districts for a specified state</w:t>
            </w:r>
          </w:p>
        </w:tc>
      </w:tr>
      <w:tr>
        <w:tc>
          <w:tcPr>
            <w:tcW w:type="dxa" w:w="3600"/>
            <w:shd w:fill="F0FDF4"/>
            <w:tcMar>
              <w:top w:w="80" w:type="dxa"/>
              <w:bottom w:w="80" w:type="dxa"/>
              <w:left w:w="120" w:type="dxa"/>
              <w:right w:w="120" w:type="dxa"/>
            </w:tcMar>
          </w:tcPr>
          <w:p>
            <w:r>
              <w:rPr>
                <w:b/>
                <w:sz w:val="18"/>
              </w:rPr>
              <w:t>GET /api/crops</w:t>
            </w:r>
          </w:p>
        </w:tc>
        <w:tc>
          <w:tcPr>
            <w:tcW w:type="dxa" w:w="6336"/>
            <w:shd w:fill="F0FDF4"/>
            <w:tcMar>
              <w:top w:w="80" w:type="dxa"/>
              <w:bottom w:w="80" w:type="dxa"/>
              <w:left w:w="120" w:type="dxa"/>
              <w:right w:w="120" w:type="dxa"/>
            </w:tcMar>
          </w:tcPr>
          <w:p>
            <w:r>
              <w:rPr>
                <w:sz w:val="18"/>
              </w:rPr>
              <w:t>Returns 23 supported crop categories</w:t>
            </w:r>
          </w:p>
        </w:tc>
      </w:tr>
      <w:tr>
        <w:tc>
          <w:tcPr>
            <w:tcW w:type="dxa" w:w="3600"/>
            <w:shd w:fill="FFFFFF"/>
            <w:tcMar>
              <w:top w:w="80" w:type="dxa"/>
              <w:bottom w:w="80" w:type="dxa"/>
              <w:left w:w="120" w:type="dxa"/>
              <w:right w:w="120" w:type="dxa"/>
            </w:tcMar>
          </w:tcPr>
          <w:p>
            <w:r>
              <w:rPr>
                <w:b/>
                <w:sz w:val="18"/>
              </w:rPr>
              <w:t>GET /api/years</w:t>
            </w:r>
          </w:p>
        </w:tc>
        <w:tc>
          <w:tcPr>
            <w:tcW w:type="dxa" w:w="6336"/>
            <w:shd w:fill="FFFFFF"/>
            <w:tcMar>
              <w:top w:w="80" w:type="dxa"/>
              <w:bottom w:w="80" w:type="dxa"/>
              <w:left w:w="120" w:type="dxa"/>
              <w:right w:w="120" w:type="dxa"/>
            </w:tcMar>
          </w:tcPr>
          <w:p>
            <w:r>
              <w:rPr>
                <w:sz w:val="18"/>
              </w:rPr>
              <w:t>Returns valid historical year range</w:t>
            </w:r>
          </w:p>
        </w:tc>
      </w:tr>
      <w:tr>
        <w:tc>
          <w:tcPr>
            <w:tcW w:type="dxa" w:w="3600"/>
            <w:shd w:fill="F0FDF4"/>
            <w:tcMar>
              <w:top w:w="80" w:type="dxa"/>
              <w:bottom w:w="80" w:type="dxa"/>
              <w:left w:w="120" w:type="dxa"/>
              <w:right w:w="120" w:type="dxa"/>
            </w:tcMar>
          </w:tcPr>
          <w:p>
            <w:r>
              <w:rPr>
                <w:b/>
                <w:sz w:val="18"/>
              </w:rPr>
              <w:t>POST /api/predict</w:t>
            </w:r>
          </w:p>
        </w:tc>
        <w:tc>
          <w:tcPr>
            <w:tcW w:type="dxa" w:w="6336"/>
            <w:shd w:fill="F0FDF4"/>
            <w:tcMar>
              <w:top w:w="80" w:type="dxa"/>
              <w:bottom w:w="80" w:type="dxa"/>
              <w:left w:w="120" w:type="dxa"/>
              <w:right w:w="120" w:type="dxa"/>
            </w:tcMar>
          </w:tcPr>
          <w:p>
            <w:r>
              <w:rPr>
                <w:sz w:val="18"/>
              </w:rPr>
              <w:t>Accepts Pydantic validated JSON request, executes XGBoost prediction, and returns structured yield advisory</w:t>
            </w:r>
          </w:p>
        </w:tc>
      </w:tr>
    </w:tbl>
    <w:p>
      <w:pPr>
        <w:spacing w:after="200"/>
      </w:pPr>
    </w:p>
    <w:p>
      <w:pPr>
        <w:spacing w:before="320" w:after="120"/>
      </w:pPr>
      <w:r>
        <w:rPr>
          <w:b/>
          <w:color w:val="059669"/>
          <w:sz w:val="26"/>
        </w:rPr>
        <w:t>7. AI Explanation Layer and Responsible Use</w:t>
      </w:r>
    </w:p>
    <w:p>
      <w:pPr>
        <w:spacing w:after="200"/>
      </w:pPr>
      <w:r>
        <w:t>Groq LLaMA 3.3 70B and Google Gemini 3.8 Flash serve as explanation layers rather than raw yield predictors. The language model interprets numerical output from XGBoost without overriding or recalculating the ML estimate. Constrained prompt guidelines ensure that missing local factors (e.g. unmeasured rainfall, pest outbreaks) are explicitly identified rather than fabricated.</w:t>
      </w:r>
    </w:p>
    <w:p>
      <w:pPr>
        <w:spacing w:before="320" w:after="120"/>
      </w:pPr>
      <w:r>
        <w:rPr>
          <w:b/>
          <w:color w:val="059669"/>
          <w:sz w:val="26"/>
        </w:rPr>
        <w:t>8. Frontend User Interface &amp; Application Modules</w:t>
      </w:r>
    </w:p>
    <w:p>
      <w:pPr>
        <w:spacing w:after="120"/>
      </w:pPr>
      <w:r>
        <w:t>The frontend is implemented with React 19 and Vite 6, incorporating a dark glassmorphic UI design, real-time micro-interactions, and instant 7-language localization.</w:t>
      </w:r>
    </w:p>
    <w:p>
      <w:pPr>
        <w:spacing w:before="240" w:after="80"/>
      </w:pPr>
      <w:r>
        <w:rPr>
          <w:b/>
          <w:color w:val="0F172A"/>
          <w:sz w:val="22"/>
        </w:rPr>
        <w:t>8.1 Farmer Command Center &amp; Dashboard</w:t>
      </w:r>
    </w:p>
    <w:p>
      <w:r>
        <w:t>Features personalized user profiles (Ramesh Kumar, Ludhiana, Punjab), real-time weather widgets, direct quick-tools navigation, and emergency support cards (Kisan Call Center, WhatsApp AI).</w:t>
      </w:r>
    </w:p>
    <w:p>
      <w:pPr>
        <w:spacing w:before="120" w:after="80"/>
        <w:jc w:val="center"/>
      </w:pPr>
      <w:r>
        <w:drawing>
          <wp:inline xmlns:a="http://schemas.openxmlformats.org/drawingml/2006/main" xmlns:pic="http://schemas.openxmlformats.org/drawingml/2006/picture">
            <wp:extent cx="5669280" cy="3338453"/>
            <wp:docPr id="1" name="Picture 1"/>
            <wp:cNvGraphicFramePr>
              <a:graphicFrameLocks noChangeAspect="1"/>
            </wp:cNvGraphicFramePr>
            <a:graphic>
              <a:graphicData uri="http://schemas.openxmlformats.org/drawingml/2006/picture">
                <pic:pic>
                  <pic:nvPicPr>
                    <pic:cNvPr id="0" name="farmer_dashboard.png"/>
                    <pic:cNvPicPr/>
                  </pic:nvPicPr>
                  <pic:blipFill>
                    <a:blip r:embed="rId9"/>
                    <a:stretch>
                      <a:fillRect/>
                    </a:stretch>
                  </pic:blipFill>
                  <pic:spPr>
                    <a:xfrm>
                      <a:off x="0" y="0"/>
                      <a:ext cx="5669280" cy="3338453"/>
                    </a:xfrm>
                    <a:prstGeom prst="rect"/>
                  </pic:spPr>
                </pic:pic>
              </a:graphicData>
            </a:graphic>
          </wp:inline>
        </w:drawing>
      </w:r>
    </w:p>
    <w:p>
      <w:pPr>
        <w:spacing w:after="240"/>
        <w:jc w:val="center"/>
      </w:pPr>
      <w:r>
        <w:rPr>
          <w:i/>
          <w:color w:val="64748B"/>
          <w:sz w:val="18"/>
        </w:rPr>
        <w:t>Figure 1: Farmer Dashboard — Navigation header, user profile context, and operational quick tool cards.</w:t>
      </w:r>
    </w:p>
    <w:p>
      <w:pPr>
        <w:spacing w:before="240" w:after="80"/>
      </w:pPr>
      <w:r>
        <w:rPr>
          <w:b/>
          <w:color w:val="0F172A"/>
          <w:sz w:val="22"/>
        </w:rPr>
        <w:t>8.2 Crop Yield Predictor &amp; Sowing Calendar</w:t>
      </w:r>
    </w:p>
    <w:p>
      <w:r>
        <w:t>Integrates automated weather auto-fill, planting season advice, seed rate recommendations (e.g. 100 kg/ha), and interactive parameter forms.</w:t>
      </w:r>
    </w:p>
    <w:p>
      <w:pPr>
        <w:spacing w:before="120" w:after="80"/>
        <w:jc w:val="center"/>
      </w:pPr>
      <w:r>
        <w:drawing>
          <wp:inline xmlns:a="http://schemas.openxmlformats.org/drawingml/2006/main" xmlns:pic="http://schemas.openxmlformats.org/drawingml/2006/picture">
            <wp:extent cx="5669280" cy="3355062"/>
            <wp:docPr id="2" name="Picture 2"/>
            <wp:cNvGraphicFramePr>
              <a:graphicFrameLocks noChangeAspect="1"/>
            </wp:cNvGraphicFramePr>
            <a:graphic>
              <a:graphicData uri="http://schemas.openxmlformats.org/drawingml/2006/picture">
                <pic:pic>
                  <pic:nvPicPr>
                    <pic:cNvPr id="0" name="yield_predictor.png"/>
                    <pic:cNvPicPr/>
                  </pic:nvPicPr>
                  <pic:blipFill>
                    <a:blip r:embed="rId10"/>
                    <a:stretch>
                      <a:fillRect/>
                    </a:stretch>
                  </pic:blipFill>
                  <pic:spPr>
                    <a:xfrm>
                      <a:off x="0" y="0"/>
                      <a:ext cx="5669280" cy="3355062"/>
                    </a:xfrm>
                    <a:prstGeom prst="rect"/>
                  </pic:spPr>
                </pic:pic>
              </a:graphicData>
            </a:graphic>
          </wp:inline>
        </w:drawing>
      </w:r>
    </w:p>
    <w:p>
      <w:pPr>
        <w:spacing w:after="240"/>
        <w:jc w:val="center"/>
      </w:pPr>
      <w:r>
        <w:rPr>
          <w:i/>
          <w:color w:val="64748B"/>
          <w:sz w:val="18"/>
        </w:rPr>
        <w:t>Figure 2: AI Crop Yield Predictor — Weather auto-fill, planting advice calendar, and farm parameter inputs.</w:t>
      </w:r>
    </w:p>
    <w:p>
      <w:pPr>
        <w:spacing w:before="240" w:after="80"/>
      </w:pPr>
      <w:r>
        <w:rPr>
          <w:b/>
          <w:color w:val="0F172A"/>
          <w:sz w:val="22"/>
        </w:rPr>
        <w:t>8.3 Admin Analytics Command Center &amp; Model Telemetry</w:t>
      </w:r>
    </w:p>
    <w:p>
      <w:r>
        <w:t>Tracks real-time system metrics, total farmer accounts, overall predictions, average yields, and operational statuses of XGBoost, Gemini, and Groq engines.</w:t>
      </w:r>
    </w:p>
    <w:p>
      <w:pPr>
        <w:spacing w:before="120" w:after="80"/>
        <w:jc w:val="center"/>
      </w:pPr>
      <w:r>
        <w:drawing>
          <wp:inline xmlns:a="http://schemas.openxmlformats.org/drawingml/2006/main" xmlns:pic="http://schemas.openxmlformats.org/drawingml/2006/picture">
            <wp:extent cx="5669280" cy="3172361"/>
            <wp:docPr id="3" name="Picture 3"/>
            <wp:cNvGraphicFramePr>
              <a:graphicFrameLocks noChangeAspect="1"/>
            </wp:cNvGraphicFramePr>
            <a:graphic>
              <a:graphicData uri="http://schemas.openxmlformats.org/drawingml/2006/picture">
                <pic:pic>
                  <pic:nvPicPr>
                    <pic:cNvPr id="0" name="admin_telemetry.png"/>
                    <pic:cNvPicPr/>
                  </pic:nvPicPr>
                  <pic:blipFill>
                    <a:blip r:embed="rId11"/>
                    <a:stretch>
                      <a:fillRect/>
                    </a:stretch>
                  </pic:blipFill>
                  <pic:spPr>
                    <a:xfrm>
                      <a:off x="0" y="0"/>
                      <a:ext cx="5669280" cy="3172361"/>
                    </a:xfrm>
                    <a:prstGeom prst="rect"/>
                  </pic:spPr>
                </pic:pic>
              </a:graphicData>
            </a:graphic>
          </wp:inline>
        </w:drawing>
      </w:r>
    </w:p>
    <w:p>
      <w:pPr>
        <w:spacing w:after="240"/>
        <w:jc w:val="center"/>
      </w:pPr>
      <w:r>
        <w:rPr>
          <w:i/>
          <w:color w:val="64748B"/>
          <w:sz w:val="18"/>
        </w:rPr>
        <w:t>Figure 3: Admin Command Center — Real-time telemetry, model diagnostics, and crop forecast demand distribution.</w:t>
      </w:r>
    </w:p>
    <w:p>
      <w:pPr>
        <w:spacing w:before="320" w:after="120"/>
      </w:pPr>
      <w:r>
        <w:rPr>
          <w:b/>
          <w:color w:val="059669"/>
          <w:sz w:val="26"/>
        </w:rPr>
        <w:t>9. Technology Stack and Dependencies</w:t>
      </w:r>
    </w:p>
    <w:p>
      <w:pPr>
        <w:spacing w:after="80"/>
      </w:pPr>
      <w:r>
        <w:t>The project combines robust Python machine learning dependencies with modern JavaScript web frameworks:</w:t>
      </w:r>
    </w:p>
    <w:tbl>
      <w:tblPr>
        <w:tblW w:type="auto" w:w="0"/>
        <w:jc w:val="center"/>
        <w:tblLayout w:type="fixed"/>
        <w:tblLook w:firstColumn="1" w:firstRow="1" w:lastColumn="0" w:lastRow="0" w:noHBand="0" w:noVBand="1" w:val="04A0"/>
      </w:tblPr>
      <w:tblGrid>
        <w:gridCol w:w="4968"/>
        <w:gridCol w:w="4968"/>
      </w:tblGrid>
      <w:tr>
        <w:tc>
          <w:tcPr>
            <w:tcW w:type="dxa" w:w="4968"/>
            <w:shd w:fill="1E293B"/>
          </w:tcPr>
          <w:p>
            <w:r>
              <w:rPr>
                <w:b/>
                <w:color w:val="FFFFFF"/>
              </w:rPr>
              <w:t>System Layer</w:t>
            </w:r>
          </w:p>
        </w:tc>
        <w:tc>
          <w:tcPr>
            <w:tcW w:type="dxa" w:w="4968"/>
            <w:shd w:fill="1E293B"/>
          </w:tcPr>
          <w:p>
            <w:r>
              <w:rPr>
                <w:b/>
                <w:color w:val="FFFFFF"/>
              </w:rPr>
              <w:t>Technologies Used</w:t>
            </w:r>
          </w:p>
        </w:tc>
      </w:tr>
      <w:tr>
        <w:tc>
          <w:tcPr>
            <w:tcW w:type="dxa" w:w="3600"/>
            <w:shd w:fill="F8FAFC"/>
            <w:tcMar>
              <w:top w:w="80" w:type="dxa"/>
              <w:bottom w:w="80" w:type="dxa"/>
              <w:left w:w="120" w:type="dxa"/>
              <w:right w:w="120" w:type="dxa"/>
            </w:tcMar>
          </w:tcPr>
          <w:p>
            <w:r>
              <w:rPr>
                <w:b/>
                <w:sz w:val="18"/>
              </w:rPr>
              <w:t>Data Processing &amp; Modeling</w:t>
            </w:r>
          </w:p>
        </w:tc>
        <w:tc>
          <w:tcPr>
            <w:tcW w:type="dxa" w:w="6336"/>
            <w:shd w:fill="F8FAFC"/>
            <w:tcMar>
              <w:top w:w="80" w:type="dxa"/>
              <w:bottom w:w="80" w:type="dxa"/>
              <w:left w:w="120" w:type="dxa"/>
              <w:right w:w="120" w:type="dxa"/>
            </w:tcMar>
          </w:tcPr>
          <w:p>
            <w:r>
              <w:rPr>
                <w:sz w:val="18"/>
              </w:rPr>
              <w:t>Python, pandas (3.0.5), NumPy, scikit-learn (1.7.2), XGBoost (3.4.1)</w:t>
            </w:r>
          </w:p>
        </w:tc>
      </w:tr>
      <w:tr>
        <w:tc>
          <w:tcPr>
            <w:tcW w:type="dxa" w:w="3600"/>
            <w:shd w:fill="FFFFFF"/>
            <w:tcMar>
              <w:top w:w="80" w:type="dxa"/>
              <w:bottom w:w="80" w:type="dxa"/>
              <w:left w:w="120" w:type="dxa"/>
              <w:right w:w="120" w:type="dxa"/>
            </w:tcMar>
          </w:tcPr>
          <w:p>
            <w:r>
              <w:rPr>
                <w:b/>
                <w:sz w:val="18"/>
              </w:rPr>
              <w:t>Model Persistence</w:t>
            </w:r>
          </w:p>
        </w:tc>
        <w:tc>
          <w:tcPr>
            <w:tcW w:type="dxa" w:w="6336"/>
            <w:shd w:fill="FFFFFF"/>
            <w:tcMar>
              <w:top w:w="80" w:type="dxa"/>
              <w:bottom w:w="80" w:type="dxa"/>
              <w:left w:w="120" w:type="dxa"/>
              <w:right w:w="120" w:type="dxa"/>
            </w:tcMar>
          </w:tcPr>
          <w:p>
            <w:r>
              <w:rPr>
                <w:sz w:val="18"/>
              </w:rPr>
              <w:t>Joblib (1.6.0)</w:t>
            </w:r>
          </w:p>
        </w:tc>
      </w:tr>
      <w:tr>
        <w:tc>
          <w:tcPr>
            <w:tcW w:type="dxa" w:w="3600"/>
            <w:shd w:fill="F8FAFC"/>
            <w:tcMar>
              <w:top w:w="80" w:type="dxa"/>
              <w:bottom w:w="80" w:type="dxa"/>
              <w:left w:w="120" w:type="dxa"/>
              <w:right w:w="120" w:type="dxa"/>
            </w:tcMar>
          </w:tcPr>
          <w:p>
            <w:r>
              <w:rPr>
                <w:b/>
                <w:sz w:val="18"/>
              </w:rPr>
              <w:t>Backend Framework</w:t>
            </w:r>
          </w:p>
        </w:tc>
        <w:tc>
          <w:tcPr>
            <w:tcW w:type="dxa" w:w="6336"/>
            <w:shd w:fill="F8FAFC"/>
            <w:tcMar>
              <w:top w:w="80" w:type="dxa"/>
              <w:bottom w:w="80" w:type="dxa"/>
              <w:left w:w="120" w:type="dxa"/>
              <w:right w:w="120" w:type="dxa"/>
            </w:tcMar>
          </w:tcPr>
          <w:p>
            <w:r>
              <w:rPr>
                <w:sz w:val="18"/>
              </w:rPr>
              <w:t>FastAPI (0.141.1), Pydantic, Uvicorn, python-dotenv</w:t>
            </w:r>
          </w:p>
        </w:tc>
      </w:tr>
      <w:tr>
        <w:tc>
          <w:tcPr>
            <w:tcW w:type="dxa" w:w="3600"/>
            <w:shd w:fill="FFFFFF"/>
            <w:tcMar>
              <w:top w:w="80" w:type="dxa"/>
              <w:bottom w:w="80" w:type="dxa"/>
              <w:left w:w="120" w:type="dxa"/>
              <w:right w:w="120" w:type="dxa"/>
            </w:tcMar>
          </w:tcPr>
          <w:p>
            <w:r>
              <w:rPr>
                <w:b/>
                <w:sz w:val="18"/>
              </w:rPr>
              <w:t>AI Advisory Layer</w:t>
            </w:r>
          </w:p>
        </w:tc>
        <w:tc>
          <w:tcPr>
            <w:tcW w:type="dxa" w:w="6336"/>
            <w:shd w:fill="FFFFFF"/>
            <w:tcMar>
              <w:top w:w="80" w:type="dxa"/>
              <w:bottom w:w="80" w:type="dxa"/>
              <w:left w:w="120" w:type="dxa"/>
              <w:right w:w="120" w:type="dxa"/>
            </w:tcMar>
          </w:tcPr>
          <w:p>
            <w:r>
              <w:rPr>
                <w:sz w:val="18"/>
              </w:rPr>
              <w:t>Groq Python SDK (1.7.0), Google Gemini API</w:t>
            </w:r>
          </w:p>
        </w:tc>
      </w:tr>
      <w:tr>
        <w:tc>
          <w:tcPr>
            <w:tcW w:type="dxa" w:w="3600"/>
            <w:shd w:fill="F8FAFC"/>
            <w:tcMar>
              <w:top w:w="80" w:type="dxa"/>
              <w:bottom w:w="80" w:type="dxa"/>
              <w:left w:w="120" w:type="dxa"/>
              <w:right w:w="120" w:type="dxa"/>
            </w:tcMar>
          </w:tcPr>
          <w:p>
            <w:r>
              <w:rPr>
                <w:b/>
                <w:sz w:val="18"/>
              </w:rPr>
              <w:t>Frontend Application</w:t>
            </w:r>
          </w:p>
        </w:tc>
        <w:tc>
          <w:tcPr>
            <w:tcW w:type="dxa" w:w="6336"/>
            <w:shd w:fill="F8FAFC"/>
            <w:tcMar>
              <w:top w:w="80" w:type="dxa"/>
              <w:bottom w:w="80" w:type="dxa"/>
              <w:left w:w="120" w:type="dxa"/>
              <w:right w:w="120" w:type="dxa"/>
            </w:tcMar>
          </w:tcPr>
          <w:p>
            <w:r>
              <w:rPr>
                <w:sz w:val="18"/>
              </w:rPr>
              <w:t>React 19, Vite 6, Lucide React, Custom Dark Glassmorphism CSS</w:t>
            </w:r>
          </w:p>
        </w:tc>
      </w:tr>
    </w:tbl>
    <w:p>
      <w:pPr>
        <w:spacing w:after="200"/>
      </w:pPr>
    </w:p>
    <w:p>
      <w:pPr>
        <w:spacing w:before="320" w:after="120"/>
      </w:pPr>
      <w:r>
        <w:rPr>
          <w:b/>
          <w:color w:val="059669"/>
          <w:sz w:val="26"/>
        </w:rPr>
        <w:t>10. Conclusion</w:t>
      </w:r>
    </w:p>
    <w:p>
      <w:pPr>
        <w:spacing w:after="320"/>
      </w:pPr>
      <w:r>
        <w:t>AgriYield AI delivers a robust, end-to-end predictive and decision-support capability. The project successfully transforms district-level agricultural data into a crop-wise regression dataset, evaluates multiple algorithms, and deploys a tuned XGBoost pipeline (R² = 0.8540). Served through FastAPI and presented via an interactive React 19 interface with dual AI explanation layers, AgriYield AI establishes a solid foundation for data-driven agricultural advisory.</w:t>
      </w:r>
    </w:p>
    <w:p>
      <w:pPr>
        <w:jc w:val="right"/>
      </w:pPr>
      <w:r>
        <w:rPr>
          <w:b/>
          <w:sz w:val="20"/>
        </w:rPr>
        <w:t>Submitted by: OVS VARUN</w:t>
        <w:br/>
      </w:r>
      <w:r>
        <w:rPr>
          <w:color w:val="64748B"/>
          <w:sz w:val="18"/>
        </w:rPr>
        <w:t>Email: orugantivarun.2007@gmail.com</w:t>
        <w:br/>
        <w:t>Project: AgriYield AI</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