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CLINISCAN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Lung-Abnormality Detection on Chest X-Rays Using AI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INFOSYS SPRINGBOARD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4: Final Evaluation, Model Export &amp; Deployment Demo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EEFF"/>
                <w:sz w:val="22"/>
                <w:szCs w:val="22"/>
              </w:rPr>
              <w:t xml:space="preserve">Submitted By: Ala Agastien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Milestone 4 represents the final stage of the CliniScan project, delivering a comprehensive evaluation of both the ResNet50 classification model and the YOLOv11s detection model trained in Milestone 3. This phase extends the work with per-class AUC analysis, full ROC curves for all 14 disease categories, confusion matrix visualization, and expanded Grad-CAM interpretability.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Beyond evaluation, Milestone 4 introduces production-readiness through model export (ONNX and TorchScript) and a functional Gradio web demo that runs the complete CliniScan inference pipeline — classification, detection, and Grad-CAM heatmap — on any uploaded chest X-ray image.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key deliverables in this milestone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classification evaluation with per-class F1, AUC table, ROC curves, and confusion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Grad-CAM gallery (8 validation samples) confirming anatomical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YOLOv11s detection evaluation on the held-out validation split from Milestone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export: ResNet50 → ONNX (opset 17) and TorchScript; YOLOv11s → ONNX.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Gradio deployment demo providing a single-image inference interface combining all components.</w:t>
      </w:r>
    </w:p>
    <w:p>
      <w:pPr>
        <w:spacing w:after="160"/>
      </w:pPr>
    </w:p>
    <w:p>
      <w:pPr>
        <w:pStyle w:val="Heading1"/>
      </w:pPr>
      <w:r>
        <w:t xml:space="preserve">2. DATA DESCRIPTION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Milestone 4 reuses the same VinDr-CXR dataset and 80/20 stratified train/validation split established in Milestone 3. No new data was collected or preprocessed. The validation set (20% of the single-label image pool after removing class 14) is the consistent evaluation benchmark across all M4 experiments.</w:t>
      </w:r>
    </w:p>
    <w:p>
      <w:pPr>
        <w:spacing w:after="80"/>
      </w:pPr>
    </w:p>
    <w:p>
      <w:pPr>
        <w:pStyle w:val="Heading2"/>
      </w:pPr>
      <w:r>
        <w:t xml:space="preserve">2.1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VinDr-CXR (via Kaggle: alaagastien/cliniscan2)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Annotation File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train.csv — image_id, class_id, x_min, y_min, x_max, y_max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File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train_meta.csv — dim0, dim1 (original image dimensions)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 at native resolution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disease categories (class IDs 0–13); class 14 (No Finding) excluded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 Input Size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 × 224 (ResNet50)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Detection Input Size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 × 640 (YOLOv11s)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/ Val Split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train / 20% val — stratified by class_id, random_state=42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DATA PREPROCESSING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preprocessing pipeline is identical to Milestone 3. For M4 evaluation, the validation split is reconstructed deterministically using the same random_state=42 to ensure consistency with the trained checkpoints.</w:t>
      </w:r>
    </w:p>
    <w:p>
      <w:pPr>
        <w:spacing w:after="80"/>
      </w:pPr>
    </w:p>
    <w:p>
      <w:pPr>
        <w:pStyle w:val="Heading2"/>
      </w:pPr>
      <w:r>
        <w:t xml:space="preserve">3.1 Data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Rows with class_id == 14 (No Finding) removed from the annotation dataframe.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Rows with null bounding box coordinates (x_min, y_min, x_max, y_max) dropped.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primary label per image assigned via groupby('image_id').first() sorted by image_id.</w:t>
      </w:r>
    </w:p>
    <w:p>
      <w:pPr>
        <w:spacing w:after="80"/>
      </w:pPr>
    </w:p>
    <w:p>
      <w:pPr>
        <w:pStyle w:val="Heading2"/>
      </w:pPr>
      <w:r>
        <w:t xml:space="preserve">3.2 Train / Validation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Stratified 80/20 split using sklearn.model_selection.train_test_split.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Stratification on class_id ensures proportional class distribution in both splits.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random_state=42 guarantees the same split across all milestones.</w:t>
      </w:r>
    </w:p>
    <w:p>
      <w:pPr>
        <w:spacing w:after="80"/>
      </w:pPr>
    </w:p>
    <w:p>
      <w:pPr>
        <w:pStyle w:val="Heading2"/>
      </w:pPr>
      <w:r>
        <w:t xml:space="preserve">3.3 Inference Transforms (M4 Evaluation)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final evaluation and Gradio deployment, only the validation-safe transforms are applied — no augmentation: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Resize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 × 224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Standardize input dimensions for ResNet50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mean=[0.485, 0.456, 0.406], std=[0.229, 0.224, 0.225]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ImageNet normalization for pretrained weights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ToTensorV2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numpy array to PyTorch tensor (C, H, W)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CLASSIFICATION MODEL (ResNet50 — Final Evaluation)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ResNet50 model with the custom two-layer MLP head trained in Milestone 3 is loaded from the best checkpoint and evaluated on the reconstruction of the M3 validation split. No additional training is performed in Milestone 4.</w:t>
      </w:r>
    </w:p>
    <w:p>
      <w:pPr>
        <w:spacing w:after="80"/>
      </w:pPr>
    </w:p>
    <w:p>
      <w:pPr>
        <w:pStyle w:val="Heading2"/>
      </w:pPr>
      <w:r>
        <w:t xml:space="preserve">4.1 Model Architecture (Loaded from M3 Checkpoint)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Backbone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ResNet50 (pretrained=False — weights loaded from checkpoint)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= 0.4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in_features (2048) → 256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= 0.2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→ 14 (NUM_CLASSES)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Checkpoint loaded: cliniscan_best_cls_m3.pth (best validation F1 from M3 Phase 2 training).</w:t>
      </w:r>
    </w:p>
    <w:p>
      <w:pPr>
        <w:spacing w:after="80"/>
      </w:pPr>
    </w:p>
    <w:p>
      <w:pPr>
        <w:pStyle w:val="Heading2"/>
      </w:pPr>
      <w:r>
        <w:t xml:space="preserve">4.2 Evaluation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inference pass over the val_loader using @torch.no_grad() for memory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Softmax applied to model logits to obtain class probability distributions.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Predictions taken as argmax of the probability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predictions, true labels, and probability arrays collected for metric computation.</w:t>
      </w:r>
    </w:p>
    <w:p>
      <w:pPr>
        <w:spacing w:after="160"/>
      </w:pPr>
    </w:p>
    <w:p>
      <w:pPr>
        <w:pStyle w:val="Heading1"/>
      </w:pPr>
      <w:r>
        <w:t xml:space="preserve">5. CLASSIFICATION RESULTS</w:t>
      </w:r>
    </w:p>
    <w:p>
      <w:pPr>
        <w:pStyle w:val="Heading2"/>
      </w:pPr>
      <w:r>
        <w:t xml:space="preserve">5.1 Overall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fraction of correctly predicted images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 Score (Macro)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Unweighted mean F1 across all 14 classes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 (OvR)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Multi-class One-vs-Rest Area Under ROC Curve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Results printed at runtime using the CliniScan — Final Classification Results (M4) summary block.</w:t>
      </w:r>
    </w:p>
    <w:p>
      <w:pPr>
        <w:spacing w:after="80"/>
      </w:pPr>
    </w:p>
    <w:p>
      <w:pPr>
        <w:pStyle w:val="Heading2"/>
      </w:pPr>
      <w:r>
        <w:t xml:space="preserve">5.2 Per-Class AUC Table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per-class metrics table is computed and saved as a CSV file (cls_per_class_metrics.csv) in the M4 output directory. For each of the 14 disease categories the following are recorded: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Support: number of validation images belonging to that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F1: per-class macro F1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AUC: binary One-vs-Rest AUC score (ValueError caught for classes with no positive samples).</w:t>
      </w:r>
    </w:p>
    <w:p>
      <w:pPr>
        <w:spacing w:after="80"/>
      </w:pPr>
    </w:p>
    <w:p>
      <w:pPr>
        <w:pStyle w:val="Heading2"/>
      </w:pPr>
      <w:r>
        <w:t xml:space="preserve">5.3 ROC Curves — All 14 Classes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Individual Receiver Operating Characteristic (ROC) curves are plotted for each of the 14 disease classes in a 3×5 subplot grid (one additional subplot left blank). Each panel displays: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FPR on the x-axis, TPR on the y-axis.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AUC value in the legend (lower right corner).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classifier diagonal reference line (dashed).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Curves are styled in steelblue with linewidth=2 for clarity. The figure is saved to roc_curves_all_classes.png.</w:t>
      </w:r>
    </w:p>
    <w:p>
      <w:pPr>
        <w:spacing w:after="80"/>
      </w:pPr>
    </w:p>
    <w:p>
      <w:pPr>
        <w:pStyle w:val="Heading2"/>
      </w:pPr>
      <w:r>
        <w:t xml:space="preserve">5.4 Confusion Matrix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14×14 confusion matrix heatmap is generated using seaborn.heatmap with the Blues colormap. Rows represent actual classes; columns represent predicted classes. Class names are used as both x and y tick labels (rotated 45° on x-axis for readability). The matrix is saved to confusion_matrix.png and provides a detailed view of per-class misclassification patterns.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GRAD-CAM HEATMAP GALLERY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Grad-CAM implementation from Milestone 3 is reused without modification, hooked on model.layer4[-1] (the final convolutional block of ResNet50). Milestone 4 extends the gallery from 6 to 8 random validation samples for broader coverage.</w:t>
      </w:r>
    </w:p>
    <w:p>
      <w:pPr>
        <w:spacing w:after="80"/>
      </w:pPr>
    </w:p>
    <w:p>
      <w:pPr>
        <w:pStyle w:val="Heading2"/>
      </w:pPr>
      <w: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Layer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clf_model.layer4[-1] (final ResNet50 block)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Hook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feature map activations via register_forward_hook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Backward Hook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gradients via register_full_backward_hook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average pooling of gradients over spatial dimensions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ReLU applied to retain positive gradient influence only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Upsampling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cv2.resize to match input image size (224×224)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 colormap heatmap blended onto denormalized X-ray (alpha=0.5)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Visualization Output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each of the 8 randomly sampled validation images, a three-panel row is produced: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1 — Original X-ray: Denormalized image (ImageNet mean/std reversed).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2 — Grad-CAM Heatmap: Raw activation heatmap with jet colormap.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3 — Overlay: Heatmap blended onto original X-ray for clinical reference.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title of each row includes the predicted class name and the true label for comparison. The figure is saved to gradcam_gallery_m4.png. The gallery confirms that the model attends to anatomically relevant regions (lung fields, cardiac silhouette, pleural space) for the majority of disease categories.</w:t>
      </w:r>
    </w:p>
    <w:p>
      <w:pPr>
        <w:spacing w:after="160"/>
      </w:pPr>
    </w:p>
    <w:p>
      <w:pPr>
        <w:pStyle w:val="Heading1"/>
      </w:pPr>
      <w:r>
        <w:t xml:space="preserve">7. DETECTION MODEL (YOLOv11s — Final Evaluation)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YOLOv11s model trained with tuned hyperparameters in Milestone 3 (yolo_m3/weights/best.pt) is re-evaluated on the M3 validation dataset YAML to confirm detection performance on held-out data.</w:t>
      </w:r>
    </w:p>
    <w:p>
      <w:pPr>
        <w:spacing w:after="80"/>
      </w:pPr>
    </w:p>
    <w:p>
      <w:pPr>
        <w:pStyle w:val="Heading2"/>
      </w:pPr>
      <w:r>
        <w:t xml:space="preserve">7.1 Evaluation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Weights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yolo_m3/weights/best.pt (best M3 checkpoint)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Config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data_m3.yaml (same YAML used during M3 training)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Size (imgsz)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IoU Threshold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CUDA GPU (fallback to CPU)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JSON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(for downstream analysis)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Detection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mAP@0.50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Average Precision at IoU threshold 0.50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mAP@0.50:0.95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AP averaged across IoU thresholds 0.50–0.95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 (mp)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precision across all 14 classes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 (mr)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recall across all 14 classes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GT vs Prediction Visualisation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Bounding box visualisations are generated for a set of validation images, displaying both ground-truth and predicted boxes side by side using the draw_boxes helper (identical to Milestone 3). Each box is color-coded by disease class (tab20 colormap) with confidence scores annotated inline. This provides a qualitative confirmation of spatial localization performance.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MODEL EXPORT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Milestone 4 introduces production-grade model export for both the classification and detection components, enabling deployment beyond the Kaggle notebook environment.</w:t>
      </w:r>
    </w:p>
    <w:p>
      <w:pPr>
        <w:spacing w:after="80"/>
      </w:pPr>
    </w:p>
    <w:p>
      <w:pPr>
        <w:pStyle w:val="Heading2"/>
      </w:pPr>
      <w:r>
        <w:t xml:space="preserve">8.1 ResNet50 → ONNX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Parameter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ONNX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Opset Version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Name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Name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logits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Axes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dimension for both input and output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cliniscan_m4/cliniscan_resnet50.onnx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onnx.checker.check_model() + ONNXRuntime inference pass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export, the ONNX model is validated by running a single forward pass using onnxruntime.InferenceSession with the CPUExecutionProvider. The output shape is confirmed to be [1, 14] (batch × num_classes).</w:t>
      </w:r>
    </w:p>
    <w:p>
      <w:pPr>
        <w:spacing w:after="80"/>
      </w:pPr>
    </w:p>
    <w:p>
      <w:pPr>
        <w:pStyle w:val="Heading2"/>
      </w:pPr>
      <w:r>
        <w:t xml:space="preserve">8.2 ResNet50 → TorchScript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Parameter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TorchScript (trace-based)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torch.jit.trace(clf_model, dummy_input)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cliniscan_m4/cliniscan_resnet50.torchscript.pt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torch.jit.load() + forward pass — output shape [1, 14] confirmed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TorchScript trace mode is used as the model has no Python control-flow branching that would require scripting. The model is moved back to GPU after export.</w:t>
      </w:r>
    </w:p>
    <w:p>
      <w:pPr>
        <w:spacing w:after="80"/>
      </w:pPr>
    </w:p>
    <w:p>
      <w:pPr>
        <w:pStyle w:val="Heading2"/>
      </w:pPr>
      <w:r>
        <w:t xml:space="preserve">8.3 YOLOv11s → ONNX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Parameter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yolo_best.export(format='onnx', ...)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ONNX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Opset Version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printed at runtime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SYSTEM WORKFLOW &amp; DEPLOYMENT DEMO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Milestone 4 integrates all CliniScan components into a unified inference pipeline exposed as a Gradio web application.</w:t>
      </w:r>
    </w:p>
    <w:p>
      <w:pPr>
        <w:spacing w:after="80"/>
      </w:pPr>
    </w:p>
    <w:p>
      <w:pPr>
        <w:pStyle w:val="Heading2"/>
      </w:pPr>
      <w:r>
        <w:t xml:space="preserve">9.1 End-to-End Inference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uploads chest X-ray (PIL image)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PIL image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Pre-processing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Albumentations: Resize → Normalize → ToTensorV2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Normalized tensor 224×224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ResNet50 + MLP head (best M3 checkpoint)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14-class softmax probability distribution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Grad-CAM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GradCAM hooked on clf_model.layer4[-1]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Heatmap overlay on original X-ray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Detection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YOLOv11s best.pt (conf=0.25)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Bounding boxes + class labels + confidence scores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Gradio interface renders annotated image + top-5 class probabilities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Clinical decision support display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Gradio Demo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Gradio gr.Interface with image input and image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cliniscan_predict() function accepts a PIL image and runs all three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 transform applied with no augmentation (resize + normalize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GradCAM instance (grad_cam_serve) initialized with clf_model.layer4[-1].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clf_model and the YOLO model are set to .eval() mode before serving.</w:t>
      </w:r>
    </w:p>
    <w:p>
      <w:pPr>
        <w:spacing w:after="160"/>
      </w:pPr>
    </w:p>
    <w:p>
      <w:pPr>
        <w:pStyle w:val="Heading1"/>
      </w:pPr>
      <w:r>
        <w:t xml:space="preserve">10. SAVED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cliniscan_best_cls_m3.pth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ResNet50 best checkpoint from M3 (used as input to M4)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yolo_m3/weights/best.pt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YOLOv11s best checkpoint from M3 (used as input to M4)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cliniscan_m4/cliniscan_resnet50.onnx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ResNet50 exported to ONNX (opset 17)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cliniscan_m4/cliniscan_resnet50.torchscript.pt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ResNet50 exported to TorchScript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cliniscan_m4/cls_per_class_metrics.csv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Per-class F1 and AUC table (CSV)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cliniscan_m4/roc_curves_all_classes.png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 curves for all 14 disease categories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cliniscan_m4/confusion_matrix.png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14×14 confusion matrix heatmap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cliniscan_m4/gradcam_gallery_m4.png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Grad-CAM gallery for 8 validation samples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cliniscan_m4/yolo_final_eval/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 validation output directory (includes JSON)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class_names.json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ID 0–13 to disease name mapping (from M2/M3)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data_m3.yaml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 dataset config with train/val paths and 14 class names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11. 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M4 notebook depends on the M3 checkpoint files being available at their original output paths. BEST_CLS_PATH and BEST_YOLO_PATH must be updated if notebooks are run in a different session or environment. </w:t>
      </w:r>
      <w:r>
        <w:rPr>
          <w:rFonts w:ascii="Arial" w:cs="Arial" w:eastAsia="Arial" w:hAnsi="Arial"/>
          <w:sz w:val="22"/>
          <w:szCs w:val="22"/>
        </w:rPr>
        <w:t xml:space="preserve">Checkpoint Path Management: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opset_version=17 was selected for broad compatibility. On environments with older ONNX Runtime versions, a lower opset may be required. </w:t>
      </w:r>
      <w:r>
        <w:rPr>
          <w:rFonts w:ascii="Arial" w:cs="Arial" w:eastAsia="Arial" w:hAnsi="Arial"/>
          <w:sz w:val="22"/>
          <w:szCs w:val="22"/>
        </w:rPr>
        <w:t xml:space="preserve">ONNX Runtime Compatibility: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torch.jit.trace captures a static computation graph. The model has no dynamic branching, making trace appropriate; however, any future additions of Python-level control flow would require switching to torch.jit.script. </w:t>
      </w:r>
      <w:r>
        <w:rPr>
          <w:rFonts w:ascii="Arial" w:cs="Arial" w:eastAsia="Arial" w:hAnsi="Arial"/>
          <w:sz w:val="22"/>
          <w:szCs w:val="22"/>
        </w:rPr>
        <w:t xml:space="preserve">TorchScript Trace Limitations: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Gradio requires an active network connection to create a shareable public link. In offline Kaggle sessions the interface still launches locally but the share=True option may fail without internet. </w:t>
      </w:r>
      <w:r>
        <w:rPr>
          <w:rFonts w:ascii="Arial" w:cs="Arial" w:eastAsia="Arial" w:hAnsi="Arial"/>
          <w:sz w:val="22"/>
          <w:szCs w:val="22"/>
        </w:rPr>
        <w:t xml:space="preserve">Gradio on Kaggle: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per-class AUC and F1 table confirms that minority classes such as Pneumothorax and Pulmonary fibrosis continue to underperform. Weighted sampling or focal loss are candidate improvements for future work. </w:t>
      </w:r>
      <w:r>
        <w:rPr>
          <w:rFonts w:ascii="Arial" w:cs="Arial" w:eastAsia="Arial" w:hAnsi="Arial"/>
          <w:sz w:val="22"/>
          <w:szCs w:val="22"/>
        </w:rPr>
        <w:t xml:space="preserve">Persistent Class Imbalance: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classification model uses a single primary label per image, which under-represents co-occurring pathologies. A true multi-label formulation with sigmoid outputs and binary cross-entropy is the natural next step. </w:t>
      </w:r>
      <w:r>
        <w:rPr>
          <w:rFonts w:ascii="Arial" w:cs="Arial" w:eastAsia="Arial" w:hAnsi="Arial"/>
          <w:sz w:val="22"/>
          <w:szCs w:val="22"/>
        </w:rPr>
        <w:t xml:space="preserve">Single-Label Approximation:</w:t>
      </w:r>
    </w:p>
    <w:p>
      <w:pPr>
        <w:spacing w:after="160"/>
      </w:pPr>
    </w:p>
    <w:p>
      <w:pPr>
        <w:pStyle w:val="Heading1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VinDr-CXR Dataset — https://physionet.org/content/vindr-cxr/1.0.0/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Ultralytics YOLOv11 Documentation — https://docs.ultralytics.com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PyTorch Documentation — https://pytorch.org/docs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ONNX Runtime Documentation — https://onnxruntime.ai/docs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Gradio Documentation — https://www.gradio.app/docs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Albumentations Documentation — https://albumentations.ai/docs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Selvaraju et al. (2017). Grad-CAM: Visual Explanations from Deep Networks via Gradient-based Localization. ICCV 2017.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 et al. (2016). Deep Residual Learning for Image Recognition. CVPR 2016.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CliniScan  |  Milestone 4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Infosys Springboard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2026-04-10T16:19:21.705Z</dcterms:created>
  <dcterms:modified xsi:type="dcterms:W3CDTF">2026-04-10T16:19:21.706Z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