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1600"/>
        <w:jc w:val="center"/>
      </w:pPr>
      <w:r>
        <w:t xml:space="preserve">EduVision_DV</w:t>
      </w:r>
    </w:p>
    <w:p>
      <w:pPr>
        <w:spacing w:after="200"/>
        <w:jc w:val="center"/>
      </w:pPr>
      <w:r>
        <w:rPr>
          <w:color w:val="4A9FD4"/>
          <w:sz w:val="32"/>
          <w:szCs w:val="32"/>
        </w:rPr>
        <w:t xml:space="preserve">Dashboard Testing Report</w:t>
      </w:r>
    </w:p>
    <w:p>
      <w:pPr>
        <w:spacing w:after="1200"/>
        <w:jc w:val="center"/>
      </w:pPr>
      <w:r>
        <w:rPr>
          <w:i/>
          <w:iCs/>
          <w:sz w:val="22"/>
          <w:szCs w:val="22"/>
        </w:rPr>
        <w:t xml:space="preserve">Milestone 4 · Module 7 — Testing &amp; Validation</w:t>
      </w:r>
    </w:p>
    <w:p>
      <w:pPr>
        <w:spacing w:after="120"/>
      </w:pPr>
      <w:r>
        <w:rPr>
          <w:i/>
          <w:iCs/>
        </w:rPr>
        <w:t xml:space="preserve">Tested by: AI-assisted visual QA pass  ·  Date: 2026-10-02  ·  Scope: 4 dashboards (University Overview, Research Analytics, Student Analytics, Country Comparison)</w:t>
      </w:r>
    </w:p>
    <w:p>
      <w:r>
        <w:br w:type="page"/>
      </w:r>
    </w:p>
    <w:p>
      <w:pPr>
        <w:pStyle w:val="Heading1"/>
        <w:spacing w:after="180" w:before="360"/>
      </w:pPr>
      <w:r>
        <w:t xml:space="preserve">1. Executive Summary</w:t>
      </w:r>
    </w:p>
    <w:p>
      <w:pPr>
        <w:spacing w:after="120"/>
      </w:pPr>
      <w:r>
        <w:t xml:space="preserve">This report documents a direct visual inspection test pass of all 4 EduVision_DV dashboards, performed against 4 live dashboard screenshots. Testing covered the 4 required Module 7 task areas: KPI calculation validation, ranking calculation verification, dashboard interaction testing, and educational metric validation.</w:t>
      </w:r>
    </w:p>
    <w:p>
      <w:pPr>
        <w:spacing w:after="120"/>
      </w:pPr>
      <w:r>
        <w:rPr>
          <w:b/>
          <w:bCs/>
        </w:rPr>
        <w:t xml:space="preserve">Result: 7 MAJOR defects and 2 MINOR defects were confirmed through direct observation. Against the Milestone 4 evaluation criteria of 'No major dashboard issues' and 'KPI accuracy above 95%', this build does NOT currently meet the sign-off bar.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C0392B" w:val="clear"/>
            <w:tcMar>
              <w:top w:type="dxa" w:w="160"/>
              <w:left w:type="dxa" w:w="200"/>
              <w:bottom w:type="dxa" w:w="160"/>
              <w:right w:type="dxa" w:w="200"/>
            </w:tcMar>
          </w:tcPr>
          <w:p>
            <w:r>
              <w:rPr>
                <w:b/>
                <w:bCs/>
                <w:color w:val="FFFFFF"/>
                <w:sz w:val="22"/>
                <w:szCs w:val="22"/>
              </w:rPr>
              <w:t xml:space="preserve">VERDICT: NOT READY FOR SIGN-OFF — 7 major defects require fixes before re-test</w:t>
            </w:r>
          </w:p>
        </w:tc>
      </w:tr>
    </w:tbl>
    <w:p>
      <w:pPr>
        <w:spacing w:after="120"/>
      </w:pPr>
      <w:r>
        <w:t xml:space="preserve"/>
      </w:r>
    </w:p>
    <w:p>
      <w:pPr>
        <w:pStyle w:val="Heading2"/>
        <w:spacing w:after="120" w:before="260"/>
      </w:pPr>
      <w:r>
        <w:t xml:space="preserve">Defect Summary by Severity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500"/>
        <w:gridCol w:w="1300"/>
        <w:gridCol w:w="4300"/>
      </w:tblGrid>
      <w:tr>
        <w:tc>
          <w:tcPr>
            <w:tcW w:type="dxa" w:w="500"/>
            <w:shd w:fill="1B2A4A" w:val="clear"/>
            <w:tcMar>
              <w:top w:type="dxa" w:w="80"/>
              <w:left w:type="dxa" w:w="100"/>
              <w:bottom w:type="dxa" w:w="80"/>
              <w:right w:type="dxa" w:w="100"/>
            </w:tcMar>
            <w:vAlign w:val="center"/>
          </w:tcPr>
          <w:p>
            <w:r>
              <w:rPr>
                <w:b/>
                <w:bCs/>
                <w:color w:val="FFFFFF"/>
                <w:sz w:val="19"/>
                <w:szCs w:val="19"/>
              </w:rPr>
              <w:t xml:space="preserve">#</w:t>
            </w:r>
          </w:p>
        </w:tc>
        <w:tc>
          <w:tcPr>
            <w:tcW w:type="dxa" w:w="1600"/>
            <w:shd w:fill="1B2A4A" w:val="clear"/>
            <w:tcMar>
              <w:top w:type="dxa" w:w="80"/>
              <w:left w:type="dxa" w:w="100"/>
              <w:bottom w:type="dxa" w:w="80"/>
              <w:right w:type="dxa" w:w="100"/>
            </w:tcMar>
            <w:vAlign w:val="center"/>
          </w:tcPr>
          <w:p>
            <w:r>
              <w:rPr>
                <w:b/>
                <w:bCs/>
                <w:color w:val="FFFFFF"/>
                <w:sz w:val="19"/>
                <w:szCs w:val="19"/>
              </w:rPr>
              <w:t xml:space="preserve">Dashboard</w:t>
            </w:r>
          </w:p>
        </w:tc>
        <w:tc>
          <w:tcPr>
            <w:tcW w:type="dxa" w:w="1500"/>
            <w:shd w:fill="1B2A4A" w:val="clear"/>
            <w:tcMar>
              <w:top w:type="dxa" w:w="80"/>
              <w:left w:type="dxa" w:w="100"/>
              <w:bottom w:type="dxa" w:w="80"/>
              <w:right w:type="dxa" w:w="100"/>
            </w:tcMar>
            <w:vAlign w:val="center"/>
          </w:tcPr>
          <w:p>
            <w:r>
              <w:rPr>
                <w:b/>
                <w:bCs/>
                <w:color w:val="FFFFFF"/>
                <w:sz w:val="19"/>
                <w:szCs w:val="19"/>
              </w:rPr>
              <w:t xml:space="preserve">Severity</w:t>
            </w:r>
          </w:p>
        </w:tc>
        <w:tc>
          <w:tcPr>
            <w:tcW w:type="dxa" w:w="1300"/>
            <w:shd w:fill="1B2A4A" w:val="clear"/>
            <w:tcMar>
              <w:top w:type="dxa" w:w="80"/>
              <w:left w:type="dxa" w:w="100"/>
              <w:bottom w:type="dxa" w:w="80"/>
              <w:right w:type="dxa" w:w="100"/>
            </w:tcMar>
            <w:vAlign w:val="center"/>
          </w:tcPr>
          <w:p>
            <w:r>
              <w:rPr>
                <w:b/>
                <w:bCs/>
                <w:color w:val="FFFFFF"/>
                <w:sz w:val="19"/>
                <w:szCs w:val="19"/>
              </w:rPr>
              <w:t xml:space="preserve">Category</w:t>
            </w:r>
          </w:p>
        </w:tc>
        <w:tc>
          <w:tcPr>
            <w:tcW w:type="dxa" w:w="4300"/>
            <w:shd w:fill="1B2A4A" w:val="clear"/>
            <w:tcMar>
              <w:top w:type="dxa" w:w="80"/>
              <w:left w:type="dxa" w:w="100"/>
              <w:bottom w:type="dxa" w:w="80"/>
              <w:right w:type="dxa" w:w="100"/>
            </w:tcMar>
            <w:vAlign w:val="center"/>
          </w:tcPr>
          <w:p>
            <w:r>
              <w:rPr>
                <w:b/>
                <w:bCs/>
                <w:color w:val="FFFFFF"/>
                <w:sz w:val="19"/>
                <w:szCs w:val="19"/>
              </w:rPr>
              <w:t xml:space="preserve">Description &amp; Evidence</w:t>
            </w:r>
          </w:p>
        </w:tc>
      </w:tr>
      <w:tr>
        <w:tc>
          <w:tcPr>
            <w:tcW w:type="dxa" w:w="500"/>
            <w:tcMar>
              <w:top w:type="dxa" w:w="80"/>
              <w:left w:type="dxa" w:w="100"/>
              <w:bottom w:type="dxa" w:w="80"/>
              <w:right w:type="dxa" w:w="100"/>
            </w:tcMar>
            <w:vAlign w:val="center"/>
          </w:tcPr>
          <w:p>
            <w:r>
              <w:rPr>
                <w:b w:val="false"/>
                <w:bCs w:val="false"/>
                <w:color w:val="000000"/>
                <w:sz w:val="19"/>
                <w:szCs w:val="19"/>
              </w:rPr>
              <w:t xml:space="preserve">—</w:t>
            </w:r>
          </w:p>
        </w:tc>
        <w:tc>
          <w:tcPr>
            <w:tcW w:type="dxa" w:w="1600"/>
            <w:tcMar>
              <w:top w:type="dxa" w:w="80"/>
              <w:left w:type="dxa" w:w="100"/>
              <w:bottom w:type="dxa" w:w="80"/>
              <w:right w:type="dxa" w:w="100"/>
            </w:tcMar>
            <w:vAlign w:val="center"/>
          </w:tcPr>
          <w:p>
            <w:r>
              <w:rPr>
                <w:b w:val="false"/>
                <w:bCs w:val="false"/>
                <w:color w:val="000000"/>
                <w:sz w:val="19"/>
                <w:szCs w:val="19"/>
              </w:rPr>
              <w:t xml:space="preserve">All dashboards</w:t>
            </w:r>
          </w:p>
        </w:tc>
        <w:tc>
          <w:tcPr>
            <w:tcW w:type="dxa" w:w="1500"/>
            <w:tcMar>
              <w:top w:type="dxa" w:w="80"/>
              <w:left w:type="dxa" w:w="100"/>
              <w:bottom w:type="dxa" w:w="80"/>
              <w:right w:type="dxa" w:w="100"/>
            </w:tcMar>
            <w:vAlign w:val="center"/>
          </w:tcPr>
          <w:p>
            <w:r>
              <w:rPr>
                <w:b/>
                <w:bCs/>
                <w:color w:val="C0392B"/>
                <w:sz w:val="19"/>
                <w:szCs w:val="19"/>
              </w:rPr>
              <w:t xml:space="preserve">MAJOR</w:t>
            </w:r>
          </w:p>
        </w:tc>
        <w:tc>
          <w:tcPr>
            <w:tcW w:type="dxa" w:w="1300"/>
            <w:tcMar>
              <w:top w:type="dxa" w:w="80"/>
              <w:left w:type="dxa" w:w="100"/>
              <w:bottom w:type="dxa" w:w="80"/>
              <w:right w:type="dxa" w:w="100"/>
            </w:tcMar>
            <w:vAlign w:val="center"/>
          </w:tcPr>
          <w:p>
            <w:r>
              <w:rPr>
                <w:b w:val="false"/>
                <w:bCs w:val="false"/>
                <w:color w:val="000000"/>
                <w:sz w:val="19"/>
                <w:szCs w:val="19"/>
              </w:rPr>
              <w:t xml:space="preserve">Count: 7</w:t>
            </w:r>
          </w:p>
        </w:tc>
        <w:tc>
          <w:tcPr>
            <w:tcW w:type="dxa" w:w="4300"/>
            <w:tcMar>
              <w:top w:type="dxa" w:w="80"/>
              <w:left w:type="dxa" w:w="100"/>
              <w:bottom w:type="dxa" w:w="80"/>
              <w:right w:type="dxa" w:w="100"/>
            </w:tcMar>
            <w:vAlign w:val="center"/>
          </w:tcPr>
          <w:p>
            <w:r>
              <w:rPr>
                <w:b w:val="false"/>
                <w:bCs w:val="false"/>
                <w:color w:val="000000"/>
                <w:sz w:val="19"/>
                <w:szCs w:val="19"/>
              </w:rPr>
              <w:t xml:space="preserve">Filter logic (2), aggregation/rendering bugs (2), cross-dashboard inconsistency (1), data integrity (1), ranking mismatch (1)</w:t>
            </w:r>
          </w:p>
        </w:tc>
      </w:tr>
      <w:tr>
        <w:tc>
          <w:tcPr>
            <w:tcW w:type="dxa" w:w="500"/>
            <w:tcMar>
              <w:top w:type="dxa" w:w="80"/>
              <w:left w:type="dxa" w:w="100"/>
              <w:bottom w:type="dxa" w:w="80"/>
              <w:right w:type="dxa" w:w="100"/>
            </w:tcMar>
            <w:vAlign w:val="center"/>
          </w:tcPr>
          <w:p>
            <w:r>
              <w:rPr>
                <w:b w:val="false"/>
                <w:bCs w:val="false"/>
                <w:color w:val="000000"/>
                <w:sz w:val="19"/>
                <w:szCs w:val="19"/>
              </w:rPr>
              <w:t xml:space="preserve">—</w:t>
            </w:r>
          </w:p>
        </w:tc>
        <w:tc>
          <w:tcPr>
            <w:tcW w:type="dxa" w:w="1600"/>
            <w:tcMar>
              <w:top w:type="dxa" w:w="80"/>
              <w:left w:type="dxa" w:w="100"/>
              <w:bottom w:type="dxa" w:w="80"/>
              <w:right w:type="dxa" w:w="100"/>
            </w:tcMar>
            <w:vAlign w:val="center"/>
          </w:tcPr>
          <w:p>
            <w:r>
              <w:rPr>
                <w:b w:val="false"/>
                <w:bCs w:val="false"/>
                <w:color w:val="000000"/>
                <w:sz w:val="19"/>
                <w:szCs w:val="19"/>
              </w:rPr>
              <w:t xml:space="preserve">All dashboards</w:t>
            </w:r>
          </w:p>
        </w:tc>
        <w:tc>
          <w:tcPr>
            <w:tcW w:type="dxa" w:w="1500"/>
            <w:tcMar>
              <w:top w:type="dxa" w:w="80"/>
              <w:left w:type="dxa" w:w="100"/>
              <w:bottom w:type="dxa" w:w="80"/>
              <w:right w:type="dxa" w:w="100"/>
            </w:tcMar>
            <w:vAlign w:val="center"/>
          </w:tcPr>
          <w:p>
            <w:r>
              <w:rPr>
                <w:b/>
                <w:bCs/>
                <w:color w:val="B8860B"/>
                <w:sz w:val="19"/>
                <w:szCs w:val="19"/>
              </w:rPr>
              <w:t xml:space="preserve">MODERATE</w:t>
            </w:r>
          </w:p>
        </w:tc>
        <w:tc>
          <w:tcPr>
            <w:tcW w:type="dxa" w:w="1300"/>
            <w:tcMar>
              <w:top w:type="dxa" w:w="80"/>
              <w:left w:type="dxa" w:w="100"/>
              <w:bottom w:type="dxa" w:w="80"/>
              <w:right w:type="dxa" w:w="100"/>
            </w:tcMar>
            <w:vAlign w:val="center"/>
          </w:tcPr>
          <w:p>
            <w:r>
              <w:rPr>
                <w:b w:val="false"/>
                <w:bCs w:val="false"/>
                <w:color w:val="000000"/>
                <w:sz w:val="19"/>
                <w:szCs w:val="19"/>
              </w:rPr>
              <w:t xml:space="preserve">Count: 1</w:t>
            </w:r>
          </w:p>
        </w:tc>
        <w:tc>
          <w:tcPr>
            <w:tcW w:type="dxa" w:w="4300"/>
            <w:tcMar>
              <w:top w:type="dxa" w:w="80"/>
              <w:left w:type="dxa" w:w="100"/>
              <w:bottom w:type="dxa" w:w="80"/>
              <w:right w:type="dxa" w:w="100"/>
            </w:tcMar>
            <w:vAlign w:val="center"/>
          </w:tcPr>
          <w:p>
            <w:r>
              <w:rPr>
                <w:b w:val="false"/>
                <w:bCs w:val="false"/>
                <w:color w:val="000000"/>
                <w:sz w:val="19"/>
                <w:szCs w:val="19"/>
              </w:rPr>
              <w:t xml:space="preserve">Year field number formatting</w:t>
            </w:r>
          </w:p>
        </w:tc>
      </w:tr>
      <w:tr>
        <w:tc>
          <w:tcPr>
            <w:tcW w:type="dxa" w:w="500"/>
            <w:tcMar>
              <w:top w:type="dxa" w:w="80"/>
              <w:left w:type="dxa" w:w="100"/>
              <w:bottom w:type="dxa" w:w="80"/>
              <w:right w:type="dxa" w:w="100"/>
            </w:tcMar>
            <w:vAlign w:val="center"/>
          </w:tcPr>
          <w:p>
            <w:r>
              <w:rPr>
                <w:b w:val="false"/>
                <w:bCs w:val="false"/>
                <w:color w:val="000000"/>
                <w:sz w:val="19"/>
                <w:szCs w:val="19"/>
              </w:rPr>
              <w:t xml:space="preserve">—</w:t>
            </w:r>
          </w:p>
        </w:tc>
        <w:tc>
          <w:tcPr>
            <w:tcW w:type="dxa" w:w="1600"/>
            <w:tcMar>
              <w:top w:type="dxa" w:w="80"/>
              <w:left w:type="dxa" w:w="100"/>
              <w:bottom w:type="dxa" w:w="80"/>
              <w:right w:type="dxa" w:w="100"/>
            </w:tcMar>
            <w:vAlign w:val="center"/>
          </w:tcPr>
          <w:p>
            <w:r>
              <w:rPr>
                <w:b w:val="false"/>
                <w:bCs w:val="false"/>
                <w:color w:val="000000"/>
                <w:sz w:val="19"/>
                <w:szCs w:val="19"/>
              </w:rPr>
              <w:t xml:space="preserve">University Overview, Country Comparison</w:t>
            </w:r>
          </w:p>
        </w:tc>
        <w:tc>
          <w:tcPr>
            <w:tcW w:type="dxa" w:w="1500"/>
            <w:tcMar>
              <w:top w:type="dxa" w:w="80"/>
              <w:left w:type="dxa" w:w="100"/>
              <w:bottom w:type="dxa" w:w="80"/>
              <w:right w:type="dxa" w:w="100"/>
            </w:tcMar>
            <w:vAlign w:val="center"/>
          </w:tcPr>
          <w:p>
            <w:r>
              <w:rPr>
                <w:b/>
                <w:bCs/>
                <w:color w:val="666666"/>
                <w:sz w:val="19"/>
                <w:szCs w:val="19"/>
              </w:rPr>
              <w:t xml:space="preserve">MINOR</w:t>
            </w:r>
          </w:p>
        </w:tc>
        <w:tc>
          <w:tcPr>
            <w:tcW w:type="dxa" w:w="1300"/>
            <w:tcMar>
              <w:top w:type="dxa" w:w="80"/>
              <w:left w:type="dxa" w:w="100"/>
              <w:bottom w:type="dxa" w:w="80"/>
              <w:right w:type="dxa" w:w="100"/>
            </w:tcMar>
            <w:vAlign w:val="center"/>
          </w:tcPr>
          <w:p>
            <w:r>
              <w:rPr>
                <w:b w:val="false"/>
                <w:bCs w:val="false"/>
                <w:color w:val="000000"/>
                <w:sz w:val="19"/>
                <w:szCs w:val="19"/>
              </w:rPr>
              <w:t xml:space="preserve">Count: 2</w:t>
            </w:r>
          </w:p>
        </w:tc>
        <w:tc>
          <w:tcPr>
            <w:tcW w:type="dxa" w:w="4300"/>
            <w:tcMar>
              <w:top w:type="dxa" w:w="80"/>
              <w:left w:type="dxa" w:w="100"/>
              <w:bottom w:type="dxa" w:w="80"/>
              <w:right w:type="dxa" w:w="100"/>
            </w:tcMar>
            <w:vAlign w:val="center"/>
          </w:tcPr>
          <w:p>
            <w:r>
              <w:rPr>
                <w:b w:val="false"/>
                <w:bCs w:val="false"/>
                <w:color w:val="000000"/>
                <w:sz w:val="19"/>
                <w:szCs w:val="19"/>
              </w:rPr>
              <w:t xml:space="preserve">Raw field names shown as labels (1), missing chart legend (1)</w:t>
            </w:r>
          </w:p>
        </w:tc>
      </w:tr>
    </w:tbl>
    <w:p>
      <w:r>
        <w:br w:type="page"/>
      </w:r>
    </w:p>
    <w:p>
      <w:pPr>
        <w:pStyle w:val="Heading1"/>
        <w:spacing w:after="180" w:before="360"/>
      </w:pPr>
      <w:r>
        <w:t xml:space="preserve">2. Test Methodology</w:t>
      </w:r>
    </w:p>
    <w:p>
      <w:pPr>
        <w:spacing w:after="120"/>
      </w:pPr>
      <w:r>
        <w:t xml:space="preserve">Each of the 4 live dashboard screenshots was inspected panel by panel against 3 checks:</w:t>
      </w:r>
    </w:p>
    <w:p>
      <w:pPr>
        <w:pStyle w:val="ListParagraph"/>
        <w:numPr>
          <w:ilvl w:val="0"/>
          <w:numId w:val="1"/>
        </w:numPr>
        <w:spacing w:after="70"/>
      </w:pPr>
      <w:r>
        <w:t xml:space="preserve">Internal consistency — does each chart's rendered output (bar length, axis scale, row count) match its own displayed data labels?</w:t>
      </w:r>
    </w:p>
    <w:p>
      <w:pPr>
        <w:pStyle w:val="ListParagraph"/>
        <w:numPr>
          <w:ilvl w:val="0"/>
          <w:numId w:val="1"/>
        </w:numPr>
        <w:spacing w:after="70"/>
      </w:pPr>
      <w:r>
        <w:t xml:space="preserve">Cross-reference consistency — does the same KPI, computed on multiple dashboards or multiple charts, produce the same value every time?</w:t>
      </w:r>
    </w:p>
    <w:p>
      <w:pPr>
        <w:pStyle w:val="ListParagraph"/>
        <w:numPr>
          <w:ilvl w:val="0"/>
          <w:numId w:val="1"/>
        </w:numPr>
        <w:spacing w:after="70"/>
      </w:pPr>
      <w:r>
        <w:t xml:space="preserve">Specification compliance — does a 'Top N' filter actually return N rows? Does a percentage field stay within 0-100%?</w:t>
      </w:r>
    </w:p>
    <w:p>
      <w:pPr>
        <w:spacing w:after="120"/>
      </w:pPr>
      <w:r>
        <w:t xml:space="preserve">Items that could not be conclusively verified from a static screenshot (e.g. click-through navigation, live filter response) are logged as VERIFY in the companion QA Checklist and require hands-on testing in the live tool before sign-off.</w:t>
      </w:r>
    </w:p>
    <w:p>
      <w:pPr>
        <w:pStyle w:val="Heading1"/>
        <w:spacing w:after="180" w:before="360"/>
      </w:pPr>
      <w:r>
        <w:t xml:space="preserve">3. Confirmed Defect Log</w:t>
      </w:r>
    </w:p>
    <w:p>
      <w:pPr>
        <w:spacing w:after="120"/>
      </w:pPr>
      <w:r>
        <w:t xml:space="preserve">Full detail on each confirmed defect, in the order discovered: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500"/>
        <w:gridCol w:w="1300"/>
        <w:gridCol w:w="4300"/>
      </w:tblGrid>
      <w:tr>
        <w:tc>
          <w:tcPr>
            <w:tcW w:type="dxa" w:w="500"/>
            <w:shd w:fill="1B2A4A" w:val="clear"/>
            <w:tcMar>
              <w:top w:type="dxa" w:w="80"/>
              <w:left w:type="dxa" w:w="100"/>
              <w:bottom w:type="dxa" w:w="80"/>
              <w:right w:type="dxa" w:w="100"/>
            </w:tcMar>
            <w:vAlign w:val="center"/>
          </w:tcPr>
          <w:p>
            <w:r>
              <w:rPr>
                <w:b/>
                <w:bCs/>
                <w:color w:val="FFFFFF"/>
                <w:sz w:val="19"/>
                <w:szCs w:val="19"/>
              </w:rPr>
              <w:t xml:space="preserve">#</w:t>
            </w:r>
          </w:p>
        </w:tc>
        <w:tc>
          <w:tcPr>
            <w:tcW w:type="dxa" w:w="1600"/>
            <w:shd w:fill="1B2A4A" w:val="clear"/>
            <w:tcMar>
              <w:top w:type="dxa" w:w="80"/>
              <w:left w:type="dxa" w:w="100"/>
              <w:bottom w:type="dxa" w:w="80"/>
              <w:right w:type="dxa" w:w="100"/>
            </w:tcMar>
            <w:vAlign w:val="center"/>
          </w:tcPr>
          <w:p>
            <w:r>
              <w:rPr>
                <w:b/>
                <w:bCs/>
                <w:color w:val="FFFFFF"/>
                <w:sz w:val="19"/>
                <w:szCs w:val="19"/>
              </w:rPr>
              <w:t xml:space="preserve">Dashboard</w:t>
            </w:r>
          </w:p>
        </w:tc>
        <w:tc>
          <w:tcPr>
            <w:tcW w:type="dxa" w:w="1500"/>
            <w:shd w:fill="1B2A4A" w:val="clear"/>
            <w:tcMar>
              <w:top w:type="dxa" w:w="80"/>
              <w:left w:type="dxa" w:w="100"/>
              <w:bottom w:type="dxa" w:w="80"/>
              <w:right w:type="dxa" w:w="100"/>
            </w:tcMar>
            <w:vAlign w:val="center"/>
          </w:tcPr>
          <w:p>
            <w:r>
              <w:rPr>
                <w:b/>
                <w:bCs/>
                <w:color w:val="FFFFFF"/>
                <w:sz w:val="19"/>
                <w:szCs w:val="19"/>
              </w:rPr>
              <w:t xml:space="preserve">Severity</w:t>
            </w:r>
          </w:p>
        </w:tc>
        <w:tc>
          <w:tcPr>
            <w:tcW w:type="dxa" w:w="1300"/>
            <w:shd w:fill="1B2A4A" w:val="clear"/>
            <w:tcMar>
              <w:top w:type="dxa" w:w="80"/>
              <w:left w:type="dxa" w:w="100"/>
              <w:bottom w:type="dxa" w:w="80"/>
              <w:right w:type="dxa" w:w="100"/>
            </w:tcMar>
            <w:vAlign w:val="center"/>
          </w:tcPr>
          <w:p>
            <w:r>
              <w:rPr>
                <w:b/>
                <w:bCs/>
                <w:color w:val="FFFFFF"/>
                <w:sz w:val="19"/>
                <w:szCs w:val="19"/>
              </w:rPr>
              <w:t xml:space="preserve">Category</w:t>
            </w:r>
          </w:p>
        </w:tc>
        <w:tc>
          <w:tcPr>
            <w:tcW w:type="dxa" w:w="4300"/>
            <w:shd w:fill="1B2A4A" w:val="clear"/>
            <w:tcMar>
              <w:top w:type="dxa" w:w="80"/>
              <w:left w:type="dxa" w:w="100"/>
              <w:bottom w:type="dxa" w:w="80"/>
              <w:right w:type="dxa" w:w="100"/>
            </w:tcMar>
            <w:vAlign w:val="center"/>
          </w:tcPr>
          <w:p>
            <w:r>
              <w:rPr>
                <w:b/>
                <w:bCs/>
                <w:color w:val="FFFFFF"/>
                <w:sz w:val="19"/>
                <w:szCs w:val="19"/>
              </w:rPr>
              <w:t xml:space="preserve">Description &amp; Evidence</w:t>
            </w:r>
          </w:p>
        </w:tc>
      </w:tr>
      <w:tr>
        <w:tc>
          <w:tcPr>
            <w:tcW w:type="dxa" w:w="500"/>
            <w:tcMar>
              <w:top w:type="dxa" w:w="80"/>
              <w:left w:type="dxa" w:w="100"/>
              <w:bottom w:type="dxa" w:w="80"/>
              <w:right w:type="dxa" w:w="100"/>
            </w:tcMar>
            <w:vAlign w:val="center"/>
          </w:tcPr>
          <w:p>
            <w:r>
              <w:rPr>
                <w:b w:val="false"/>
                <w:bCs w:val="false"/>
                <w:color w:val="000000"/>
                <w:sz w:val="19"/>
                <w:szCs w:val="19"/>
              </w:rPr>
              <w:t xml:space="preserve">1</w:t>
            </w:r>
          </w:p>
        </w:tc>
        <w:tc>
          <w:tcPr>
            <w:tcW w:type="dxa" w:w="1600"/>
            <w:tcMar>
              <w:top w:type="dxa" w:w="80"/>
              <w:left w:type="dxa" w:w="100"/>
              <w:bottom w:type="dxa" w:w="80"/>
              <w:right w:type="dxa" w:w="100"/>
            </w:tcMar>
            <w:vAlign w:val="center"/>
          </w:tcPr>
          <w:p>
            <w:r>
              <w:rPr>
                <w:b w:val="false"/>
                <w:bCs w:val="false"/>
                <w:color w:val="000000"/>
                <w:sz w:val="19"/>
                <w:szCs w:val="19"/>
              </w:rPr>
              <w:t xml:space="preserve">University Overview</w:t>
            </w:r>
          </w:p>
        </w:tc>
        <w:tc>
          <w:tcPr>
            <w:tcW w:type="dxa" w:w="1500"/>
            <w:tcMar>
              <w:top w:type="dxa" w:w="80"/>
              <w:left w:type="dxa" w:w="100"/>
              <w:bottom w:type="dxa" w:w="80"/>
              <w:right w:type="dxa" w:w="100"/>
            </w:tcMar>
            <w:vAlign w:val="center"/>
          </w:tcPr>
          <w:p>
            <w:r>
              <w:rPr>
                <w:b/>
                <w:bCs/>
                <w:color w:val="C0392B"/>
                <w:sz w:val="19"/>
                <w:szCs w:val="19"/>
              </w:rPr>
              <w:t xml:space="preserve">MAJOR</w:t>
            </w:r>
          </w:p>
        </w:tc>
        <w:tc>
          <w:tcPr>
            <w:tcW w:type="dxa" w:w="1300"/>
            <w:tcMar>
              <w:top w:type="dxa" w:w="80"/>
              <w:left w:type="dxa" w:w="100"/>
              <w:bottom w:type="dxa" w:w="80"/>
              <w:right w:type="dxa" w:w="100"/>
            </w:tcMar>
            <w:vAlign w:val="center"/>
          </w:tcPr>
          <w:p>
            <w:r>
              <w:rPr>
                <w:b w:val="false"/>
                <w:bCs w:val="false"/>
                <w:color w:val="000000"/>
                <w:sz w:val="19"/>
                <w:szCs w:val="19"/>
              </w:rPr>
              <w:t xml:space="preserve">Filter Logic</w:t>
            </w:r>
          </w:p>
        </w:tc>
        <w:tc>
          <w:tcPr>
            <w:tcW w:type="dxa" w:w="4300"/>
            <w:tcMar>
              <w:top w:type="dxa" w:w="80"/>
              <w:left w:type="dxa" w:w="100"/>
              <w:bottom w:type="dxa" w:w="80"/>
              <w:right w:type="dxa" w:w="100"/>
            </w:tcMar>
            <w:vAlign w:val="center"/>
          </w:tcPr>
          <w:p>
            <w:r>
              <w:rPr>
                <w:b w:val="false"/>
                <w:bCs w:val="false"/>
                <w:color w:val="000000"/>
                <w:sz w:val="19"/>
                <w:szCs w:val="19"/>
              </w:rPr>
              <w:t xml:space="preserve">'Top 10 Universities by Global Ranking Score' renders 13 rows, not 10 (Harvard University through a second 'University of Califor..' entry). The Top-N filter is not constraining the result set correctly. Recommended fix: verify the Top filter is applied on the correct field (global_ranking_score, Average aggregation) and that no secondary dimension is fragmenting the Top-10 calculation per sub-group.</w:t>
            </w:r>
          </w:p>
        </w:tc>
      </w:tr>
      <w:tr>
        <w:tc>
          <w:tcPr>
            <w:tcW w:type="dxa" w:w="500"/>
            <w:tcMar>
              <w:top w:type="dxa" w:w="80"/>
              <w:left w:type="dxa" w:w="100"/>
              <w:bottom w:type="dxa" w:w="80"/>
              <w:right w:type="dxa" w:w="100"/>
            </w:tcMar>
            <w:vAlign w:val="center"/>
          </w:tcPr>
          <w:p>
            <w:r>
              <w:rPr>
                <w:b w:val="false"/>
                <w:bCs w:val="false"/>
                <w:color w:val="000000"/>
                <w:sz w:val="19"/>
                <w:szCs w:val="19"/>
              </w:rPr>
              <w:t xml:space="preserve">2</w:t>
            </w:r>
          </w:p>
        </w:tc>
        <w:tc>
          <w:tcPr>
            <w:tcW w:type="dxa" w:w="1600"/>
            <w:tcMar>
              <w:top w:type="dxa" w:w="80"/>
              <w:left w:type="dxa" w:w="100"/>
              <w:bottom w:type="dxa" w:w="80"/>
              <w:right w:type="dxa" w:w="100"/>
            </w:tcMar>
            <w:vAlign w:val="center"/>
          </w:tcPr>
          <w:p>
            <w:r>
              <w:rPr>
                <w:b w:val="false"/>
                <w:bCs w:val="false"/>
                <w:color w:val="000000"/>
                <w:sz w:val="19"/>
                <w:szCs w:val="19"/>
              </w:rPr>
              <w:t xml:space="preserve">University Overview</w:t>
            </w:r>
          </w:p>
        </w:tc>
        <w:tc>
          <w:tcPr>
            <w:tcW w:type="dxa" w:w="1500"/>
            <w:tcMar>
              <w:top w:type="dxa" w:w="80"/>
              <w:left w:type="dxa" w:w="100"/>
              <w:bottom w:type="dxa" w:w="80"/>
              <w:right w:type="dxa" w:w="100"/>
            </w:tcMar>
            <w:vAlign w:val="center"/>
          </w:tcPr>
          <w:p>
            <w:r>
              <w:rPr>
                <w:b/>
                <w:bCs/>
                <w:color w:val="C0392B"/>
                <w:sz w:val="19"/>
                <w:szCs w:val="19"/>
              </w:rPr>
              <w:t xml:space="preserve">MAJOR</w:t>
            </w:r>
          </w:p>
        </w:tc>
        <w:tc>
          <w:tcPr>
            <w:tcW w:type="dxa" w:w="1300"/>
            <w:tcMar>
              <w:top w:type="dxa" w:w="80"/>
              <w:left w:type="dxa" w:w="100"/>
              <w:bottom w:type="dxa" w:w="80"/>
              <w:right w:type="dxa" w:w="100"/>
            </w:tcMar>
            <w:vAlign w:val="center"/>
          </w:tcPr>
          <w:p>
            <w:r>
              <w:rPr>
                <w:b w:val="false"/>
                <w:bCs w:val="false"/>
                <w:color w:val="000000"/>
                <w:sz w:val="19"/>
                <w:szCs w:val="19"/>
              </w:rPr>
              <w:t xml:space="preserve">Filter Logic</w:t>
            </w:r>
          </w:p>
        </w:tc>
        <w:tc>
          <w:tcPr>
            <w:tcW w:type="dxa" w:w="4300"/>
            <w:tcMar>
              <w:top w:type="dxa" w:w="80"/>
              <w:left w:type="dxa" w:w="100"/>
              <w:bottom w:type="dxa" w:w="80"/>
              <w:right w:type="dxa" w:w="100"/>
            </w:tcMar>
            <w:vAlign w:val="center"/>
          </w:tcPr>
          <w:p>
            <w:r>
              <w:rPr>
                <w:b w:val="false"/>
                <w:bCs w:val="false"/>
                <w:color w:val="000000"/>
                <w:sz w:val="19"/>
                <w:szCs w:val="19"/>
              </w:rPr>
              <w:t xml:space="preserve">'Top 5 Universities by Research Productivity Index' renders 15 rows, not 5. Same root cause suspected as Defect 1 — this is a systemic Top-N filter issue, not isolated to one chart. Recommended fix: audit every Top-N filter across all 4 dashboards using the same method, since this pattern likely recurs wherever 'Top N' is used.</w:t>
            </w:r>
          </w:p>
        </w:tc>
      </w:tr>
      <w:tr>
        <w:tc>
          <w:tcPr>
            <w:tcW w:type="dxa" w:w="500"/>
            <w:tcMar>
              <w:top w:type="dxa" w:w="80"/>
              <w:left w:type="dxa" w:w="100"/>
              <w:bottom w:type="dxa" w:w="80"/>
              <w:right w:type="dxa" w:w="100"/>
            </w:tcMar>
            <w:vAlign w:val="center"/>
          </w:tcPr>
          <w:p>
            <w:r>
              <w:rPr>
                <w:b w:val="false"/>
                <w:bCs w:val="false"/>
                <w:color w:val="000000"/>
                <w:sz w:val="19"/>
                <w:szCs w:val="19"/>
              </w:rPr>
              <w:t xml:space="preserve">3</w:t>
            </w:r>
          </w:p>
        </w:tc>
        <w:tc>
          <w:tcPr>
            <w:tcW w:type="dxa" w:w="1600"/>
            <w:tcMar>
              <w:top w:type="dxa" w:w="80"/>
              <w:left w:type="dxa" w:w="100"/>
              <w:bottom w:type="dxa" w:w="80"/>
              <w:right w:type="dxa" w:w="100"/>
            </w:tcMar>
            <w:vAlign w:val="center"/>
          </w:tcPr>
          <w:p>
            <w:r>
              <w:rPr>
                <w:b w:val="false"/>
                <w:bCs w:val="false"/>
                <w:color w:val="000000"/>
                <w:sz w:val="19"/>
                <w:szCs w:val="19"/>
              </w:rPr>
              <w:t xml:space="preserve">All 4 dashboards</w:t>
            </w:r>
          </w:p>
        </w:tc>
        <w:tc>
          <w:tcPr>
            <w:tcW w:type="dxa" w:w="1500"/>
            <w:tcMar>
              <w:top w:type="dxa" w:w="80"/>
              <w:left w:type="dxa" w:w="100"/>
              <w:bottom w:type="dxa" w:w="80"/>
              <w:right w:type="dxa" w:w="100"/>
            </w:tcMar>
            <w:vAlign w:val="center"/>
          </w:tcPr>
          <w:p>
            <w:r>
              <w:rPr>
                <w:b/>
                <w:bCs/>
                <w:color w:val="B8860B"/>
                <w:sz w:val="19"/>
                <w:szCs w:val="19"/>
              </w:rPr>
              <w:t xml:space="preserve">MODERATE</w:t>
            </w:r>
          </w:p>
        </w:tc>
        <w:tc>
          <w:tcPr>
            <w:tcW w:type="dxa" w:w="1300"/>
            <w:tcMar>
              <w:top w:type="dxa" w:w="80"/>
              <w:left w:type="dxa" w:w="100"/>
              <w:bottom w:type="dxa" w:w="80"/>
              <w:right w:type="dxa" w:w="100"/>
            </w:tcMar>
            <w:vAlign w:val="center"/>
          </w:tcPr>
          <w:p>
            <w:r>
              <w:rPr>
                <w:b w:val="false"/>
                <w:bCs w:val="false"/>
                <w:color w:val="000000"/>
                <w:sz w:val="19"/>
                <w:szCs w:val="19"/>
              </w:rPr>
              <w:t xml:space="preserve">Field Formatting</w:t>
            </w:r>
          </w:p>
        </w:tc>
        <w:tc>
          <w:tcPr>
            <w:tcW w:type="dxa" w:w="4300"/>
            <w:tcMar>
              <w:top w:type="dxa" w:w="80"/>
              <w:left w:type="dxa" w:w="100"/>
              <w:bottom w:type="dxa" w:w="80"/>
              <w:right w:type="dxa" w:w="100"/>
            </w:tcMar>
            <w:vAlign w:val="center"/>
          </w:tcPr>
          <w:p>
            <w:r>
              <w:rPr>
                <w:b w:val="false"/>
                <w:bCs w:val="false"/>
                <w:color w:val="000000"/>
                <w:sz w:val="19"/>
                <w:szCs w:val="19"/>
              </w:rPr>
              <w:t xml:space="preserve">The Year filter displays '2,005' instead of '2005'. The Year field is still being treated as a continuous numeric measure (which applies thousands-separator formatting) rather than a discrete year/date dimension. Recommended fix: confirm Year is set to Discrete and has no numeric format mask applied.</w:t>
            </w:r>
          </w:p>
        </w:tc>
      </w:tr>
      <w:tr>
        <w:tc>
          <w:tcPr>
            <w:tcW w:type="dxa" w:w="500"/>
            <w:tcMar>
              <w:top w:type="dxa" w:w="80"/>
              <w:left w:type="dxa" w:w="100"/>
              <w:bottom w:type="dxa" w:w="80"/>
              <w:right w:type="dxa" w:w="100"/>
            </w:tcMar>
            <w:vAlign w:val="center"/>
          </w:tcPr>
          <w:p>
            <w:r>
              <w:rPr>
                <w:b w:val="false"/>
                <w:bCs w:val="false"/>
                <w:color w:val="000000"/>
                <w:sz w:val="19"/>
                <w:szCs w:val="19"/>
              </w:rPr>
              <w:t xml:space="preserve">4</w:t>
            </w:r>
          </w:p>
        </w:tc>
        <w:tc>
          <w:tcPr>
            <w:tcW w:type="dxa" w:w="1600"/>
            <w:tcMar>
              <w:top w:type="dxa" w:w="80"/>
              <w:left w:type="dxa" w:w="100"/>
              <w:bottom w:type="dxa" w:w="80"/>
              <w:right w:type="dxa" w:w="100"/>
            </w:tcMar>
            <w:vAlign w:val="center"/>
          </w:tcPr>
          <w:p>
            <w:r>
              <w:rPr>
                <w:b w:val="false"/>
                <w:bCs w:val="false"/>
                <w:color w:val="000000"/>
                <w:sz w:val="19"/>
                <w:szCs w:val="19"/>
              </w:rPr>
              <w:t xml:space="preserve">Research Analytics</w:t>
            </w:r>
          </w:p>
        </w:tc>
        <w:tc>
          <w:tcPr>
            <w:tcW w:type="dxa" w:w="1500"/>
            <w:tcMar>
              <w:top w:type="dxa" w:w="80"/>
              <w:left w:type="dxa" w:w="100"/>
              <w:bottom w:type="dxa" w:w="80"/>
              <w:right w:type="dxa" w:w="100"/>
            </w:tcMar>
            <w:vAlign w:val="center"/>
          </w:tcPr>
          <w:p>
            <w:r>
              <w:rPr>
                <w:b/>
                <w:bCs/>
                <w:color w:val="C0392B"/>
                <w:sz w:val="19"/>
                <w:szCs w:val="19"/>
              </w:rPr>
              <w:t xml:space="preserve">MAJOR</w:t>
            </w:r>
          </w:p>
        </w:tc>
        <w:tc>
          <w:tcPr>
            <w:tcW w:type="dxa" w:w="1300"/>
            <w:tcMar>
              <w:top w:type="dxa" w:w="80"/>
              <w:left w:type="dxa" w:w="100"/>
              <w:bottom w:type="dxa" w:w="80"/>
              <w:right w:type="dxa" w:w="100"/>
            </w:tcMar>
            <w:vAlign w:val="center"/>
          </w:tcPr>
          <w:p>
            <w:r>
              <w:rPr>
                <w:b w:val="false"/>
                <w:bCs w:val="false"/>
                <w:color w:val="000000"/>
                <w:sz w:val="19"/>
                <w:szCs w:val="19"/>
              </w:rPr>
              <w:t xml:space="preserve">Chart Rendering</w:t>
            </w:r>
          </w:p>
        </w:tc>
        <w:tc>
          <w:tcPr>
            <w:tcW w:type="dxa" w:w="4300"/>
            <w:tcMar>
              <w:top w:type="dxa" w:w="80"/>
              <w:left w:type="dxa" w:w="100"/>
              <w:bottom w:type="dxa" w:w="80"/>
              <w:right w:type="dxa" w:w="100"/>
            </w:tcMar>
            <w:vAlign w:val="center"/>
          </w:tcPr>
          <w:p>
            <w:r>
              <w:rPr>
                <w:b w:val="false"/>
                <w:bCs w:val="false"/>
                <w:color w:val="000000"/>
                <w:sz w:val="19"/>
                <w:szCs w:val="19"/>
              </w:rPr>
              <w:t xml:space="preserve">'Top 10 Publications' bar chart: Harvard University is labeled 1,100.0 and Columbia University is labeled 810.0 — a 36% difference — yet both bars render at visually near-identical length. The bar mark's length encoding does not match its own data label. Recommended fix: confirm the measure driving bar length is the same field and aggregation as the one driving the label; check for a hardcoded or capped axis range.</w:t>
            </w:r>
          </w:p>
        </w:tc>
      </w:tr>
      <w:tr>
        <w:tc>
          <w:tcPr>
            <w:tcW w:type="dxa" w:w="500"/>
            <w:tcMar>
              <w:top w:type="dxa" w:w="80"/>
              <w:left w:type="dxa" w:w="100"/>
              <w:bottom w:type="dxa" w:w="80"/>
              <w:right w:type="dxa" w:w="100"/>
            </w:tcMar>
            <w:vAlign w:val="center"/>
          </w:tcPr>
          <w:p>
            <w:r>
              <w:rPr>
                <w:b w:val="false"/>
                <w:bCs w:val="false"/>
                <w:color w:val="000000"/>
                <w:sz w:val="19"/>
                <w:szCs w:val="19"/>
              </w:rPr>
              <w:t xml:space="preserve">5</w:t>
            </w:r>
          </w:p>
        </w:tc>
        <w:tc>
          <w:tcPr>
            <w:tcW w:type="dxa" w:w="1600"/>
            <w:tcMar>
              <w:top w:type="dxa" w:w="80"/>
              <w:left w:type="dxa" w:w="100"/>
              <w:bottom w:type="dxa" w:w="80"/>
              <w:right w:type="dxa" w:w="100"/>
            </w:tcMar>
            <w:vAlign w:val="center"/>
          </w:tcPr>
          <w:p>
            <w:r>
              <w:rPr>
                <w:b w:val="false"/>
                <w:bCs w:val="false"/>
                <w:color w:val="000000"/>
                <w:sz w:val="19"/>
                <w:szCs w:val="19"/>
              </w:rPr>
              <w:t xml:space="preserve">Student Analytics</w:t>
            </w:r>
          </w:p>
        </w:tc>
        <w:tc>
          <w:tcPr>
            <w:tcW w:type="dxa" w:w="1500"/>
            <w:tcMar>
              <w:top w:type="dxa" w:w="80"/>
              <w:left w:type="dxa" w:w="100"/>
              <w:bottom w:type="dxa" w:w="80"/>
              <w:right w:type="dxa" w:w="100"/>
            </w:tcMar>
            <w:vAlign w:val="center"/>
          </w:tcPr>
          <w:p>
            <w:r>
              <w:rPr>
                <w:b/>
                <w:bCs/>
                <w:color w:val="C0392B"/>
                <w:sz w:val="19"/>
                <w:szCs w:val="19"/>
              </w:rPr>
              <w:t xml:space="preserve">MAJOR</w:t>
            </w:r>
          </w:p>
        </w:tc>
        <w:tc>
          <w:tcPr>
            <w:tcW w:type="dxa" w:w="1300"/>
            <w:tcMar>
              <w:top w:type="dxa" w:w="80"/>
              <w:left w:type="dxa" w:w="100"/>
              <w:bottom w:type="dxa" w:w="80"/>
              <w:right w:type="dxa" w:w="100"/>
            </w:tcMar>
            <w:vAlign w:val="center"/>
          </w:tcPr>
          <w:p>
            <w:r>
              <w:rPr>
                <w:b w:val="false"/>
                <w:bCs w:val="false"/>
                <w:color w:val="000000"/>
                <w:sz w:val="19"/>
                <w:szCs w:val="19"/>
              </w:rPr>
              <w:t xml:space="preserve">Aggregation Consistency</w:t>
            </w:r>
          </w:p>
        </w:tc>
        <w:tc>
          <w:tcPr>
            <w:tcW w:type="dxa" w:w="4300"/>
            <w:tcMar>
              <w:top w:type="dxa" w:w="80"/>
              <w:left w:type="dxa" w:w="100"/>
              <w:bottom w:type="dxa" w:w="80"/>
              <w:right w:type="dxa" w:w="100"/>
            </w:tcMar>
            <w:vAlign w:val="center"/>
          </w:tcPr>
          <w:p>
            <w:r>
              <w:rPr>
                <w:b w:val="false"/>
                <w:bCs w:val="false"/>
                <w:color w:val="000000"/>
                <w:sz w:val="19"/>
                <w:szCs w:val="19"/>
              </w:rPr>
              <w:t xml:space="preserve">'International Students % by University': the Y-axis scale extends to 300-400, while every bar's data label reads a percentage in the 37-55% range. This is consistent with the label using AVG(international_student_pct) while the bar height uses SUM(international_student_pct) summed across ~8 years of records per university. Recommended fix: set both the shelf measure and the label measure to the same aggregation (Average).</w:t>
            </w:r>
          </w:p>
        </w:tc>
      </w:tr>
      <w:tr>
        <w:tc>
          <w:tcPr>
            <w:tcW w:type="dxa" w:w="500"/>
            <w:tcMar>
              <w:top w:type="dxa" w:w="80"/>
              <w:left w:type="dxa" w:w="100"/>
              <w:bottom w:type="dxa" w:w="80"/>
              <w:right w:type="dxa" w:w="100"/>
            </w:tcMar>
            <w:vAlign w:val="center"/>
          </w:tcPr>
          <w:p>
            <w:r>
              <w:rPr>
                <w:b w:val="false"/>
                <w:bCs w:val="false"/>
                <w:color w:val="000000"/>
                <w:sz w:val="19"/>
                <w:szCs w:val="19"/>
              </w:rPr>
              <w:t xml:space="preserve">6</w:t>
            </w:r>
          </w:p>
        </w:tc>
        <w:tc>
          <w:tcPr>
            <w:tcW w:type="dxa" w:w="1600"/>
            <w:tcMar>
              <w:top w:type="dxa" w:w="80"/>
              <w:left w:type="dxa" w:w="100"/>
              <w:bottom w:type="dxa" w:w="80"/>
              <w:right w:type="dxa" w:w="100"/>
            </w:tcMar>
            <w:vAlign w:val="center"/>
          </w:tcPr>
          <w:p>
            <w:r>
              <w:rPr>
                <w:b w:val="false"/>
                <w:bCs w:val="false"/>
                <w:color w:val="000000"/>
                <w:sz w:val="19"/>
                <w:szCs w:val="19"/>
              </w:rPr>
              <w:t xml:space="preserve">Cross-dashboard (University Overview vs Student Analytics)</w:t>
            </w:r>
          </w:p>
        </w:tc>
        <w:tc>
          <w:tcPr>
            <w:tcW w:type="dxa" w:w="1500"/>
            <w:tcMar>
              <w:top w:type="dxa" w:w="80"/>
              <w:left w:type="dxa" w:w="100"/>
              <w:bottom w:type="dxa" w:w="80"/>
              <w:right w:type="dxa" w:w="100"/>
            </w:tcMar>
            <w:vAlign w:val="center"/>
          </w:tcPr>
          <w:p>
            <w:r>
              <w:rPr>
                <w:b/>
                <w:bCs/>
                <w:color w:val="C0392B"/>
                <w:sz w:val="19"/>
                <w:szCs w:val="19"/>
              </w:rPr>
              <w:t xml:space="preserve">MAJOR</w:t>
            </w:r>
          </w:p>
        </w:tc>
        <w:tc>
          <w:tcPr>
            <w:tcW w:type="dxa" w:w="1300"/>
            <w:tcMar>
              <w:top w:type="dxa" w:w="80"/>
              <w:left w:type="dxa" w:w="100"/>
              <w:bottom w:type="dxa" w:w="80"/>
              <w:right w:type="dxa" w:w="100"/>
            </w:tcMar>
            <w:vAlign w:val="center"/>
          </w:tcPr>
          <w:p>
            <w:r>
              <w:rPr>
                <w:b w:val="false"/>
                <w:bCs w:val="false"/>
                <w:color w:val="000000"/>
                <w:sz w:val="19"/>
                <w:szCs w:val="19"/>
              </w:rPr>
              <w:t xml:space="preserve">Cross-Dashboard Consistency</w:t>
            </w:r>
          </w:p>
        </w:tc>
        <w:tc>
          <w:tcPr>
            <w:tcW w:type="dxa" w:w="4300"/>
            <w:tcMar>
              <w:top w:type="dxa" w:w="80"/>
              <w:left w:type="dxa" w:w="100"/>
              <w:bottom w:type="dxa" w:w="80"/>
              <w:right w:type="dxa" w:w="100"/>
            </w:tcMar>
            <w:vAlign w:val="center"/>
          </w:tcPr>
          <w:p>
            <w:r>
              <w:rPr>
                <w:b w:val="false"/>
                <w:bCs w:val="false"/>
                <w:color w:val="000000"/>
                <w:sz w:val="19"/>
                <w:szCs w:val="19"/>
              </w:rPr>
              <w:t xml:space="preserve">International Student % reads 15.9% on University Overview's KPI card, but Student Analytics implies approximately 20.0% when back-calculated from its own KPIs (Domestic Enrollment 14.7K; Avg Enrollment 18.38K; implied international = 3.68K / 18.38K = 20.0%). The same real-world metric should not produce two different answers depending on which dashboard it's viewed from. Recommended fix: trace both calculations back to source and confirm both are reading international_student_pct from the same table with the same filter context applied.</w:t>
            </w:r>
          </w:p>
        </w:tc>
      </w:tr>
      <w:tr>
        <w:tc>
          <w:tcPr>
            <w:tcW w:type="dxa" w:w="500"/>
            <w:tcMar>
              <w:top w:type="dxa" w:w="80"/>
              <w:left w:type="dxa" w:w="100"/>
              <w:bottom w:type="dxa" w:w="80"/>
              <w:right w:type="dxa" w:w="100"/>
            </w:tcMar>
            <w:vAlign w:val="center"/>
          </w:tcPr>
          <w:p>
            <w:r>
              <w:rPr>
                <w:b w:val="false"/>
                <w:bCs w:val="false"/>
                <w:color w:val="000000"/>
                <w:sz w:val="19"/>
                <w:szCs w:val="19"/>
              </w:rPr>
              <w:t xml:space="preserve">7</w:t>
            </w:r>
          </w:p>
        </w:tc>
        <w:tc>
          <w:tcPr>
            <w:tcW w:type="dxa" w:w="1600"/>
            <w:tcMar>
              <w:top w:type="dxa" w:w="80"/>
              <w:left w:type="dxa" w:w="100"/>
              <w:bottom w:type="dxa" w:w="80"/>
              <w:right w:type="dxa" w:w="100"/>
            </w:tcMar>
            <w:vAlign w:val="center"/>
          </w:tcPr>
          <w:p>
            <w:r>
              <w:rPr>
                <w:b w:val="false"/>
                <w:bCs w:val="false"/>
                <w:color w:val="000000"/>
                <w:sz w:val="19"/>
                <w:szCs w:val="19"/>
              </w:rPr>
              <w:t xml:space="preserve">Country Comparison</w:t>
            </w:r>
          </w:p>
        </w:tc>
        <w:tc>
          <w:tcPr>
            <w:tcW w:type="dxa" w:w="1500"/>
            <w:tcMar>
              <w:top w:type="dxa" w:w="80"/>
              <w:left w:type="dxa" w:w="100"/>
              <w:bottom w:type="dxa" w:w="80"/>
              <w:right w:type="dxa" w:w="100"/>
            </w:tcMar>
            <w:vAlign w:val="center"/>
          </w:tcPr>
          <w:p>
            <w:r>
              <w:rPr>
                <w:b/>
                <w:bCs/>
                <w:color w:val="C0392B"/>
                <w:sz w:val="19"/>
                <w:szCs w:val="19"/>
              </w:rPr>
              <w:t xml:space="preserve">MAJOR</w:t>
            </w:r>
          </w:p>
        </w:tc>
        <w:tc>
          <w:tcPr>
            <w:tcW w:type="dxa" w:w="1300"/>
            <w:tcMar>
              <w:top w:type="dxa" w:w="80"/>
              <w:left w:type="dxa" w:w="100"/>
              <w:bottom w:type="dxa" w:w="80"/>
              <w:right w:type="dxa" w:w="100"/>
            </w:tcMar>
            <w:vAlign w:val="center"/>
          </w:tcPr>
          <w:p>
            <w:r>
              <w:rPr>
                <w:b w:val="false"/>
                <w:bCs w:val="false"/>
                <w:color w:val="000000"/>
                <w:sz w:val="19"/>
                <w:szCs w:val="19"/>
              </w:rPr>
              <w:t xml:space="preserve">Data Integrity</w:t>
            </w:r>
          </w:p>
        </w:tc>
        <w:tc>
          <w:tcPr>
            <w:tcW w:type="dxa" w:w="4300"/>
            <w:tcMar>
              <w:top w:type="dxa" w:w="80"/>
              <w:left w:type="dxa" w:w="100"/>
              <w:bottom w:type="dxa" w:w="80"/>
              <w:right w:type="dxa" w:w="100"/>
            </w:tcMar>
            <w:vAlign w:val="center"/>
          </w:tcPr>
          <w:p>
            <w:r>
              <w:rPr>
                <w:b w:val="false"/>
                <w:bCs w:val="false"/>
                <w:color w:val="000000"/>
                <w:sz w:val="19"/>
                <w:szCs w:val="19"/>
              </w:rPr>
              <w:t xml:space="preserve">The Country Ranking Table's two measure rows (academic_reputation_score, shown truncated as 'academi..', and global_ranking_score, shown truncated as 'global_r..') display IDENTICAL values across 4 of 5 visible country columns (Canada, Germany, Japan, United Kingdom, United States), differing only in the final numeric column. Two conceptually different KPIs should not produce matching values across nearly every country. Recommended fix: verify the Measure Names/Measure Values setup is correctly bound to two distinct source fields, not the same field referenced twice.</w:t>
            </w:r>
          </w:p>
        </w:tc>
      </w:tr>
      <w:tr>
        <w:tc>
          <w:tcPr>
            <w:tcW w:type="dxa" w:w="500"/>
            <w:tcMar>
              <w:top w:type="dxa" w:w="80"/>
              <w:left w:type="dxa" w:w="100"/>
              <w:bottom w:type="dxa" w:w="80"/>
              <w:right w:type="dxa" w:w="100"/>
            </w:tcMar>
            <w:vAlign w:val="center"/>
          </w:tcPr>
          <w:p>
            <w:r>
              <w:rPr>
                <w:b w:val="false"/>
                <w:bCs w:val="false"/>
                <w:color w:val="000000"/>
                <w:sz w:val="19"/>
                <w:szCs w:val="19"/>
              </w:rPr>
              <w:t xml:space="preserve">8</w:t>
            </w:r>
          </w:p>
        </w:tc>
        <w:tc>
          <w:tcPr>
            <w:tcW w:type="dxa" w:w="1600"/>
            <w:tcMar>
              <w:top w:type="dxa" w:w="80"/>
              <w:left w:type="dxa" w:w="100"/>
              <w:bottom w:type="dxa" w:w="80"/>
              <w:right w:type="dxa" w:w="100"/>
            </w:tcMar>
            <w:vAlign w:val="center"/>
          </w:tcPr>
          <w:p>
            <w:r>
              <w:rPr>
                <w:b w:val="false"/>
                <w:bCs w:val="false"/>
                <w:color w:val="000000"/>
                <w:sz w:val="19"/>
                <w:szCs w:val="19"/>
              </w:rPr>
              <w:t xml:space="preserve">University Overview, Country Comparison</w:t>
            </w:r>
          </w:p>
        </w:tc>
        <w:tc>
          <w:tcPr>
            <w:tcW w:type="dxa" w:w="1500"/>
            <w:tcMar>
              <w:top w:type="dxa" w:w="80"/>
              <w:left w:type="dxa" w:w="100"/>
              <w:bottom w:type="dxa" w:w="80"/>
              <w:right w:type="dxa" w:w="100"/>
            </w:tcMar>
            <w:vAlign w:val="center"/>
          </w:tcPr>
          <w:p>
            <w:r>
              <w:rPr>
                <w:b/>
                <w:bCs/>
                <w:color w:val="666666"/>
                <w:sz w:val="19"/>
                <w:szCs w:val="19"/>
              </w:rPr>
              <w:t xml:space="preserve">MINOR</w:t>
            </w:r>
          </w:p>
        </w:tc>
        <w:tc>
          <w:tcPr>
            <w:tcW w:type="dxa" w:w="1300"/>
            <w:tcMar>
              <w:top w:type="dxa" w:w="80"/>
              <w:left w:type="dxa" w:w="100"/>
              <w:bottom w:type="dxa" w:w="80"/>
              <w:right w:type="dxa" w:w="100"/>
            </w:tcMar>
            <w:vAlign w:val="center"/>
          </w:tcPr>
          <w:p>
            <w:r>
              <w:rPr>
                <w:b w:val="false"/>
                <w:bCs w:val="false"/>
                <w:color w:val="000000"/>
                <w:sz w:val="19"/>
                <w:szCs w:val="19"/>
              </w:rPr>
              <w:t xml:space="preserve">Labeling</w:t>
            </w:r>
          </w:p>
        </w:tc>
        <w:tc>
          <w:tcPr>
            <w:tcW w:type="dxa" w:w="4300"/>
            <w:tcMar>
              <w:top w:type="dxa" w:w="80"/>
              <w:left w:type="dxa" w:w="100"/>
              <w:bottom w:type="dxa" w:w="80"/>
              <w:right w:type="dxa" w:w="100"/>
            </w:tcMar>
            <w:vAlign w:val="center"/>
          </w:tcPr>
          <w:p>
            <w:r>
              <w:rPr>
                <w:b w:val="false"/>
                <w:bCs w:val="false"/>
                <w:color w:val="000000"/>
                <w:sz w:val="19"/>
                <w:szCs w:val="19"/>
              </w:rPr>
              <w:t xml:space="preserve">Row headers in two tables display raw database field names ('university_name', 'academi..', 'global_r..') instead of human-readable labels ('University', 'Academic Reputation', 'Global Ranking Score'). Recommended fix: set field aliases/captions before publishing.</w:t>
            </w:r>
          </w:p>
        </w:tc>
      </w:tr>
      <w:tr>
        <w:tc>
          <w:tcPr>
            <w:tcW w:type="dxa" w:w="500"/>
            <w:tcMar>
              <w:top w:type="dxa" w:w="80"/>
              <w:left w:type="dxa" w:w="100"/>
              <w:bottom w:type="dxa" w:w="80"/>
              <w:right w:type="dxa" w:w="100"/>
            </w:tcMar>
            <w:vAlign w:val="center"/>
          </w:tcPr>
          <w:p>
            <w:r>
              <w:rPr>
                <w:b w:val="false"/>
                <w:bCs w:val="false"/>
                <w:color w:val="000000"/>
                <w:sz w:val="19"/>
                <w:szCs w:val="19"/>
              </w:rPr>
              <w:t xml:space="preserve">9</w:t>
            </w:r>
          </w:p>
        </w:tc>
        <w:tc>
          <w:tcPr>
            <w:tcW w:type="dxa" w:w="1600"/>
            <w:tcMar>
              <w:top w:type="dxa" w:w="80"/>
              <w:left w:type="dxa" w:w="100"/>
              <w:bottom w:type="dxa" w:w="80"/>
              <w:right w:type="dxa" w:w="100"/>
            </w:tcMar>
            <w:vAlign w:val="center"/>
          </w:tcPr>
          <w:p>
            <w:r>
              <w:rPr>
                <w:b w:val="false"/>
                <w:bCs w:val="false"/>
                <w:color w:val="000000"/>
                <w:sz w:val="19"/>
                <w:szCs w:val="19"/>
              </w:rPr>
              <w:t xml:space="preserve">Country Comparison</w:t>
            </w:r>
          </w:p>
        </w:tc>
        <w:tc>
          <w:tcPr>
            <w:tcW w:type="dxa" w:w="1500"/>
            <w:tcMar>
              <w:top w:type="dxa" w:w="80"/>
              <w:left w:type="dxa" w:w="100"/>
              <w:bottom w:type="dxa" w:w="80"/>
              <w:right w:type="dxa" w:w="100"/>
            </w:tcMar>
            <w:vAlign w:val="center"/>
          </w:tcPr>
          <w:p>
            <w:r>
              <w:rPr>
                <w:b/>
                <w:bCs/>
                <w:color w:val="666666"/>
                <w:sz w:val="19"/>
                <w:szCs w:val="19"/>
              </w:rPr>
              <w:t xml:space="preserve">MINOR</w:t>
            </w:r>
          </w:p>
        </w:tc>
        <w:tc>
          <w:tcPr>
            <w:tcW w:type="dxa" w:w="1300"/>
            <w:tcMar>
              <w:top w:type="dxa" w:w="80"/>
              <w:left w:type="dxa" w:w="100"/>
              <w:bottom w:type="dxa" w:w="80"/>
              <w:right w:type="dxa" w:w="100"/>
            </w:tcMar>
            <w:vAlign w:val="center"/>
          </w:tcPr>
          <w:p>
            <w:r>
              <w:rPr>
                <w:b w:val="false"/>
                <w:bCs w:val="false"/>
                <w:color w:val="000000"/>
                <w:sz w:val="19"/>
                <w:szCs w:val="19"/>
              </w:rPr>
              <w:t xml:space="preserve">Chart Legends</w:t>
            </w:r>
          </w:p>
        </w:tc>
        <w:tc>
          <w:tcPr>
            <w:tcW w:type="dxa" w:w="4300"/>
            <w:tcMar>
              <w:top w:type="dxa" w:w="80"/>
              <w:left w:type="dxa" w:w="100"/>
              <w:bottom w:type="dxa" w:w="80"/>
              <w:right w:type="dxa" w:w="100"/>
            </w:tcMar>
            <w:vAlign w:val="center"/>
          </w:tcPr>
          <w:p>
            <w:r>
              <w:rPr>
                <w:b w:val="false"/>
                <w:bCs w:val="false"/>
                <w:color w:val="000000"/>
                <w:sz w:val="19"/>
                <w:szCs w:val="19"/>
              </w:rPr>
              <w:t xml:space="preserve">'Country Radar Comparison' displays two overlapping shapes (one orange, smaller; one blue-grey, larger) with no legend identifying which country or series each shape represents. Recommended fix: add a color legend; confirm both series are plotted on the same normalized scale.</w:t>
            </w:r>
          </w:p>
        </w:tc>
      </w:tr>
    </w:tbl>
    <w:p>
      <w:r>
        <w:br w:type="page"/>
      </w:r>
    </w:p>
    <w:p>
      <w:pPr>
        <w:pStyle w:val="Heading1"/>
        <w:spacing w:after="180" w:before="360"/>
      </w:pPr>
      <w:r>
        <w:t xml:space="preserve">4. KPI Accuracy Assessment</w:t>
      </w:r>
    </w:p>
    <w:p>
      <w:pPr>
        <w:spacing w:after="120"/>
      </w:pPr>
      <w:r>
        <w:t xml:space="preserve">The Milestone 4 evaluation criterion requires KPI accuracy above 95%. Based on this test pass:</w:t>
      </w:r>
    </w:p>
    <w:p>
      <w:pPr>
        <w:pStyle w:val="ListParagraph"/>
        <w:numPr>
          <w:ilvl w:val="0"/>
          <w:numId w:val="1"/>
        </w:numPr>
        <w:spacing w:after="70"/>
      </w:pPr>
      <w:r>
        <w:t xml:space="preserve">1 of 6 core KPIs (International Student %) is CONFIRMED inconsistent across dashboards — this alone represents a measurable accuracy gap on a KPI that appears on 3 of 4 dashboards.</w:t>
      </w:r>
    </w:p>
    <w:p>
      <w:pPr>
        <w:pStyle w:val="ListParagraph"/>
        <w:numPr>
          <w:ilvl w:val="0"/>
          <w:numId w:val="1"/>
        </w:numPr>
        <w:spacing w:after="70"/>
      </w:pPr>
      <w:r>
        <w:t xml:space="preserve">1 additional KPI-adjacent measure (academic_reputation_score, as used in the Country Comparison table) is CONFIRMED to be producing values indistinguishable from a different KPI (global_ranking_score) — this is a correctness failure, not a rounding or precision issue.</w:t>
      </w:r>
    </w:p>
    <w:p>
      <w:pPr>
        <w:pStyle w:val="ListParagraph"/>
        <w:numPr>
          <w:ilvl w:val="0"/>
          <w:numId w:val="1"/>
        </w:numPr>
        <w:spacing w:after="70"/>
      </w:pPr>
      <w:r>
        <w:t xml:space="preserve">The Top Global Ranking KPI card shows 'California Institute of Technology', while the Top 10 Ranking table's #1 row shows 'Harvard University' — these should reference the same underlying calculation and currently do not agree.</w:t>
      </w:r>
    </w:p>
    <w:p>
      <w:pPr>
        <w:spacing w:after="120"/>
      </w:pPr>
      <w:r>
        <w:rPr>
          <w:b/>
          <w:bCs/>
        </w:rPr>
        <w:t xml:space="preserve">Until these are resolved, KPI accuracy cannot be certified above 95% — at minimum 2 of 6 dashboards' worth of KPIs (Student Analytics' international metric, Country Comparison's reputation/ranking rows) are producing results that fail a basic internal-consistency check, independent of comparing against the original source CSV.</w:t>
      </w:r>
    </w:p>
    <w:p>
      <w:pPr>
        <w:pStyle w:val="Heading1"/>
        <w:spacing w:after="180" w:before="360"/>
      </w:pPr>
      <w:r>
        <w:t xml:space="preserve">5. Recommendation</w:t>
      </w:r>
    </w:p>
    <w:p>
      <w:pPr>
        <w:spacing w:after="120"/>
      </w:pPr>
      <w:r>
        <w:t xml:space="preserve">Do not proceed to final sign-off until:</w:t>
      </w:r>
    </w:p>
    <w:p>
      <w:pPr>
        <w:pStyle w:val="ListParagraph"/>
        <w:numPr>
          <w:ilvl w:val="0"/>
          <w:numId w:val="1"/>
        </w:numPr>
        <w:spacing w:after="70"/>
      </w:pPr>
      <w:r>
        <w:t xml:space="preserve">All 7 MAJOR defects are fixed and re-tested</w:t>
      </w:r>
    </w:p>
    <w:p>
      <w:pPr>
        <w:pStyle w:val="ListParagraph"/>
        <w:numPr>
          <w:ilvl w:val="0"/>
          <w:numId w:val="1"/>
        </w:numPr>
        <w:spacing w:after="70"/>
      </w:pPr>
      <w:r>
        <w:t xml:space="preserve">The companion QA Checklist's 'VERIFY' items (interaction testing, null-handling review, remaining KPI spot-checks) are completed by hands-on testing in the live tool</w:t>
      </w:r>
    </w:p>
    <w:p>
      <w:pPr>
        <w:pStyle w:val="ListParagraph"/>
        <w:numPr>
          <w:ilvl w:val="0"/>
          <w:numId w:val="1"/>
        </w:numPr>
        <w:spacing w:after="70"/>
      </w:pPr>
      <w:r>
        <w:t xml:space="preserve">A second test pass is performed and documented, ideally against fresh screenshots showing the fixes applied</w:t>
      </w:r>
    </w:p>
    <w:p>
      <w:pPr>
        <w:spacing w:after="120"/>
      </w:pPr>
      <w:r>
        <w:t xml:space="preserve">Given the Top-N filter bug (Defects 1 and 2) and the aggregation-mismatch bug (Defect 5) each appear to be systemic rather than isolated to one chart, fixing the root cause in each case will likely resolve multiple chart-level symptoms at once — prioritize those two root causes first.</w:t>
      </w:r>
    </w:p>
    <w:p>
      <w:pPr>
        <w:pStyle w:val="Heading1"/>
        <w:spacing w:after="180" w:before="360"/>
      </w:pPr>
      <w:r>
        <w:t xml:space="preserve">6. Sign-Off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Mar>
              <w:top w:type="dxa" w:w="80"/>
              <w:left w:type="dxa" w:w="100"/>
              <w:bottom w:type="dxa" w:w="80"/>
              <w:right w:type="dxa" w:w="100"/>
            </w:tcMar>
            <w:vAlign w:val="center"/>
          </w:tcPr>
          <w:p>
            <w:r>
              <w:rPr>
                <w:b/>
                <w:bCs/>
                <w:color w:val="000000"/>
                <w:sz w:val="19"/>
                <w:szCs w:val="19"/>
              </w:rPr>
              <w:t xml:space="preserve">Tested by</w:t>
            </w:r>
          </w:p>
        </w:tc>
        <w:tc>
          <w:tcPr>
            <w:tcW w:type="dxa" w:w="6700"/>
            <w:tcMar>
              <w:top w:type="dxa" w:w="80"/>
              <w:left w:type="dxa" w:w="100"/>
              <w:bottom w:type="dxa" w:w="80"/>
              <w:right w:type="dxa" w:w="100"/>
            </w:tcMar>
            <w:vAlign w:val="center"/>
          </w:tcPr>
          <w:p>
            <w:r>
              <w:rPr>
                <w:b w:val="false"/>
                <w:bCs w:val="false"/>
                <w:color w:val="000000"/>
                <w:sz w:val="19"/>
                <w:szCs w:val="19"/>
              </w:rPr>
              <w:t xml:space="preserve"/>
            </w:r>
          </w:p>
        </w:tc>
      </w:tr>
      <w:tr>
        <w:tc>
          <w:tcPr>
            <w:tcW w:type="dxa" w:w="2500"/>
            <w:tcMar>
              <w:top w:type="dxa" w:w="80"/>
              <w:left w:type="dxa" w:w="100"/>
              <w:bottom w:type="dxa" w:w="80"/>
              <w:right w:type="dxa" w:w="100"/>
            </w:tcMar>
            <w:vAlign w:val="center"/>
          </w:tcPr>
          <w:p>
            <w:r>
              <w:rPr>
                <w:b/>
                <w:bCs/>
                <w:color w:val="000000"/>
                <w:sz w:val="19"/>
                <w:szCs w:val="19"/>
              </w:rPr>
              <w:t xml:space="preserve">Date tested</w:t>
            </w:r>
          </w:p>
        </w:tc>
        <w:tc>
          <w:tcPr>
            <w:tcW w:type="dxa" w:w="6700"/>
            <w:tcMar>
              <w:top w:type="dxa" w:w="80"/>
              <w:left w:type="dxa" w:w="100"/>
              <w:bottom w:type="dxa" w:w="80"/>
              <w:right w:type="dxa" w:w="100"/>
            </w:tcMar>
            <w:vAlign w:val="center"/>
          </w:tcPr>
          <w:p>
            <w:r>
              <w:rPr>
                <w:b w:val="false"/>
                <w:bCs w:val="false"/>
                <w:color w:val="000000"/>
                <w:sz w:val="19"/>
                <w:szCs w:val="19"/>
              </w:rPr>
              <w:t xml:space="preserve">2026-10-02</w:t>
            </w:r>
          </w:p>
        </w:tc>
      </w:tr>
      <w:tr>
        <w:tc>
          <w:tcPr>
            <w:tcW w:type="dxa" w:w="2500"/>
            <w:tcMar>
              <w:top w:type="dxa" w:w="80"/>
              <w:left w:type="dxa" w:w="100"/>
              <w:bottom w:type="dxa" w:w="80"/>
              <w:right w:type="dxa" w:w="100"/>
            </w:tcMar>
            <w:vAlign w:val="center"/>
          </w:tcPr>
          <w:p>
            <w:r>
              <w:rPr>
                <w:b/>
                <w:bCs/>
                <w:color w:val="000000"/>
                <w:sz w:val="19"/>
                <w:szCs w:val="19"/>
              </w:rPr>
              <w:t xml:space="preserve">Defects found</w:t>
            </w:r>
          </w:p>
        </w:tc>
        <w:tc>
          <w:tcPr>
            <w:tcW w:type="dxa" w:w="6700"/>
            <w:tcMar>
              <w:top w:type="dxa" w:w="80"/>
              <w:left w:type="dxa" w:w="100"/>
              <w:bottom w:type="dxa" w:w="80"/>
              <w:right w:type="dxa" w:w="100"/>
            </w:tcMar>
            <w:vAlign w:val="center"/>
          </w:tcPr>
          <w:p>
            <w:r>
              <w:rPr>
                <w:b w:val="false"/>
                <w:bCs w:val="false"/>
                <w:color w:val="000000"/>
                <w:sz w:val="19"/>
                <w:szCs w:val="19"/>
              </w:rPr>
              <w:t xml:space="preserve">9 total (7 major, 1 moderate, 2 minor)</w:t>
            </w:r>
          </w:p>
        </w:tc>
      </w:tr>
      <w:tr>
        <w:tc>
          <w:tcPr>
            <w:tcW w:type="dxa" w:w="2500"/>
            <w:tcMar>
              <w:top w:type="dxa" w:w="80"/>
              <w:left w:type="dxa" w:w="100"/>
              <w:bottom w:type="dxa" w:w="80"/>
              <w:right w:type="dxa" w:w="100"/>
            </w:tcMar>
            <w:vAlign w:val="center"/>
          </w:tcPr>
          <w:p>
            <w:r>
              <w:rPr>
                <w:b/>
                <w:bCs/>
                <w:color w:val="000000"/>
                <w:sz w:val="19"/>
                <w:szCs w:val="19"/>
              </w:rPr>
              <w:t xml:space="preserve">Re-test required</w:t>
            </w:r>
          </w:p>
        </w:tc>
        <w:tc>
          <w:tcPr>
            <w:tcW w:type="dxa" w:w="6700"/>
            <w:tcMar>
              <w:top w:type="dxa" w:w="80"/>
              <w:left w:type="dxa" w:w="100"/>
              <w:bottom w:type="dxa" w:w="80"/>
              <w:right w:type="dxa" w:w="100"/>
            </w:tcMar>
            <w:vAlign w:val="center"/>
          </w:tcPr>
          <w:p>
            <w:r>
              <w:rPr>
                <w:b w:val="false"/>
                <w:bCs w:val="false"/>
                <w:color w:val="000000"/>
                <w:sz w:val="19"/>
                <w:szCs w:val="19"/>
              </w:rPr>
              <w:t xml:space="preserve">Yes — after fixes to Defects 1-7</w:t>
            </w:r>
          </w:p>
        </w:tc>
      </w:tr>
      <w:tr>
        <w:tc>
          <w:tcPr>
            <w:tcW w:type="dxa" w:w="2500"/>
            <w:tcMar>
              <w:top w:type="dxa" w:w="80"/>
              <w:left w:type="dxa" w:w="100"/>
              <w:bottom w:type="dxa" w:w="80"/>
              <w:right w:type="dxa" w:w="100"/>
            </w:tcMar>
            <w:vAlign w:val="center"/>
          </w:tcPr>
          <w:p>
            <w:r>
              <w:rPr>
                <w:b/>
                <w:bCs/>
                <w:color w:val="000000"/>
                <w:sz w:val="19"/>
                <w:szCs w:val="19"/>
              </w:rPr>
              <w:t xml:space="preserve">Sign-off status</w:t>
            </w:r>
          </w:p>
        </w:tc>
        <w:tc>
          <w:tcPr>
            <w:tcW w:type="dxa" w:w="6700"/>
            <w:tcMar>
              <w:top w:type="dxa" w:w="80"/>
              <w:left w:type="dxa" w:w="100"/>
              <w:bottom w:type="dxa" w:w="80"/>
              <w:right w:type="dxa" w:w="100"/>
            </w:tcMar>
            <w:vAlign w:val="center"/>
          </w:tcPr>
          <w:p>
            <w:r>
              <w:rPr>
                <w:b/>
                <w:bCs/>
                <w:color w:val="C0392B"/>
                <w:sz w:val="19"/>
                <w:szCs w:val="19"/>
              </w:rPr>
              <w:t xml:space="preserve">NOT APPROVED — pending fixes and re-test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2026-10-03T04:58:15.869Z</dcterms:created>
  <dcterms:modified xsi:type="dcterms:W3CDTF">2026-10-03T04:58:15.873Z</dcterms:modified>
</cp:coreProperties>
</file>

<file path=docProps/custom.xml><?xml version="1.0" encoding="utf-8"?>
<Properties xmlns="http://schemas.openxmlformats.org/officeDocument/2006/custom-properties" xmlns:vt="http://schemas.openxmlformats.org/officeDocument/2006/docPropsVTypes"/>
</file>