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Milestone 4: Hospital Dashboard Testing</w:t>
      </w:r>
    </w:p>
    <w:p>
      <w:pPr>
        <w:spacing w:after="40"/>
        <w:jc w:val="center"/>
      </w:pPr>
      <w:r>
        <w:rPr>
          <w:sz w:val="26"/>
          <w:szCs w:val="26"/>
        </w:rPr>
        <w:t xml:space="preserve">Member 7: KPI Testing (Pandas Verification)</w:t>
      </w:r>
    </w:p>
    <w:p>
      <w:pPr>
        <w:pBdr>
          <w:bottom w:val="single" w:color="1F3864" w:sz="8" w:space="6"/>
        </w:pBdr>
        <w:spacing w:after="240"/>
        <w:jc w:val="center"/>
      </w:pPr>
      <w:r>
        <w:rPr>
          <w:color w:val="555555"/>
          <w:sz w:val="20"/>
          <w:szCs w:val="20"/>
        </w:rPr>
        <w:t xml:space="preserve">Paidi Suhitha | 23KB1A05F2 | NBKRIST</w:t>
      </w:r>
    </w:p>
    <w:p>
      <w:pPr>
        <w:pStyle w:val="Heading1"/>
        <w:spacing w:after="120" w:before="240"/>
      </w:pPr>
      <w:r>
        <w:t xml:space="preserve">1. Objective</w:t>
      </w:r>
    </w:p>
    <w:p>
      <w:pPr>
        <w:spacing w:after="120"/>
      </w:pPr>
      <w:r>
        <w:t xml:space="preserve">To independently verify the six mandatory KPIs shown on the hospital dashboards by recomputing each one from the raw datasets using Python/Pandas, as listed in the MedTrack_DV project guidance document, and to confirm that the dashboard values match the Pandas results.</w:t>
      </w:r>
    </w:p>
    <w:p>
      <w:pPr>
        <w:pStyle w:val="Heading1"/>
        <w:spacing w:after="120" w:before="240"/>
      </w:pPr>
      <w:r>
        <w:t xml:space="preserve">2. Datasets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Dataset</w:t>
            </w:r>
          </w:p>
        </w:tc>
        <w:tc>
          <w:tcPr>
            <w:tcW w:type="dxa" w:w="2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Dashboard</w:t>
            </w:r>
          </w:p>
        </w:tc>
        <w:tc>
          <w:tcPr>
            <w:tcW w:type="dxa" w:w="35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Rows x Columns</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hospital_overview_dataset.csv</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Hospital Overview</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45,000 x 27</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patient_flow_dataset.csv</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Patient Flow</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90,000 x 20</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department_analytics_dataset.csv</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Department Analytics</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13,224 x 26</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resource_utilization_dataset.csv</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Resource Utilization</w:t>
            </w:r>
          </w:p>
        </w:tc>
        <w:tc>
          <w:tcPr>
            <w:tcW w:type="dxa" w:w="3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13,224 x 19</w:t>
            </w:r>
          </w:p>
        </w:tc>
      </w:tr>
    </w:tbl>
    <w:p>
      <w:pPr>
        <w:pStyle w:val="Heading1"/>
        <w:spacing w:after="120" w:before="240"/>
      </w:pPr>
      <w:r>
        <w:t xml:space="preserve">3. Methodology</w:t>
      </w:r>
    </w:p>
    <w:p>
      <w:pPr>
        <w:pStyle w:val="ListParagraph"/>
        <w:numPr>
          <w:ilvl w:val="0"/>
          <w:numId w:val="2"/>
        </w:numPr>
      </w:pPr>
      <w:r>
        <w:t xml:space="preserve">Load each CSV with Pandas and parse date columns.</w:t>
      </w:r>
    </w:p>
    <w:p>
      <w:pPr>
        <w:pStyle w:val="ListParagraph"/>
        <w:numPr>
          <w:ilvl w:val="0"/>
          <w:numId w:val="2"/>
        </w:numPr>
      </w:pPr>
      <w:r>
        <w:t>Compute each KPI independently from the raw data using the documented KPI definition. For KPI-06, use a documented department-level composite score based on occupancy, average LOS, and 30-day readmission rate.</w:t>
      </w:r>
    </w:p>
    <w:p>
      <w:pPr>
        <w:pStyle w:val="ListParagraph"/>
        <w:numPr>
          <w:ilvl w:val="0"/>
          <w:numId w:val="2"/>
        </w:numPr>
      </w:pPr>
      <w:r>
        <w:t>Compare each Pandas result with the dashboard value. For KPI-06, the dashboard must use the same documented composite-score formula and department-level values.</w:t>
      </w:r>
    </w:p>
    <w:p>
      <w:pPr>
        <w:pStyle w:val="ListParagraph"/>
        <w:numPr>
          <w:ilvl w:val="0"/>
          <w:numId w:val="2"/>
        </w:numPr>
      </w:pPr>
      <w:r>
        <w:t>Mark the test PASS when the dashboard value matches the Pandas result within the project rounding tolerance.</w:t>
      </w:r>
    </w:p>
    <w:p>
      <w:pPr>
        <w:pStyle w:val="Heading1"/>
        <w:spacing w:after="120" w:before="240"/>
      </w:pPr>
      <w:r>
        <w:t xml:space="preserve">4. KPI Test Cases (6 KPIs)</w:t>
      </w:r>
    </w:p>
    <w:tbl>
      <w:tblPr>
        <w:tblW w:type="dxa" w:w="825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2500"/>
        <w:gridCol w:w="1050"/>
        <w:gridCol w:w="1150"/>
        <w:gridCol w:w="900"/>
      </w:tblGrid>
      <w:tr>
        <w:trPr>
          <w:tblHeader/>
        </w:trPr>
        <w:tc>
          <w:tcPr>
            <w:tcW w:type="dxa" w:w="7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ID</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KPI</w:t>
            </w:r>
          </w:p>
        </w:tc>
        <w:tc>
          <w:tcPr>
            <w:tcW w:type="dxa" w:w="25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Pandas logic</w:t>
            </w:r>
          </w:p>
        </w:tc>
        <w:tc>
          <w:tcPr>
            <w:tcW w:type="dxa" w:w="10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Pandas</w:t>
            </w:r>
          </w:p>
        </w:tc>
        <w:tc>
          <w:tcPr>
            <w:tcW w:type="dxa" w:w="115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Dashboard</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Status</w:t>
            </w:r>
          </w:p>
        </w:tc>
      </w:tr>
      <w:tr>
        <w:tc>
          <w:tcPr>
            <w:tcW w:type="dxa" w:w="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KPI-01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Total Admissions (Overview)</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7"/>
                <w:szCs w:val="17"/>
              </w:rPr>
              <w:t xml:space="preserve">admission_id.nunique()</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45,000</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45,000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c>
          <w:tcPr>
            <w:tcW w:type="dxa" w:w="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KPI-02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LOS (Overview)</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7"/>
                <w:szCs w:val="17"/>
              </w:rPr>
              <w:t xml:space="preserve">(discharge - admission).days.mean()</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5.155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5.155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c>
          <w:tcPr>
            <w:tcW w:type="dxa" w:w="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KPI-03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Readmission Rate (Overview)</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7"/>
                <w:szCs w:val="17"/>
              </w:rPr>
              <w:t xml:space="preserve">readmission_flag.mean()*100</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2.19%</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c>
          <w:tcPr>
            <w:tcW w:type="dxa" w:w="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KPI-04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Occupancy Rate (Overview)</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7"/>
                <w:szCs w:val="17"/>
              </w:rPr>
              <w:t xml:space="preserve">occupied_beds.sum()/total_beds.sum()*100</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30.28%</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47.98% before fix, 30.28% after</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 fixed: PASS</w:t>
            </w:r>
          </w:p>
        </w:tc>
      </w:tr>
      <w:tr>
        <w:tc>
          <w:tcPr>
            <w:tcW w:type="dxa" w:w="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KPI-05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Bed Utilization Rate (Overview)</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7"/>
                <w:szCs w:val="17"/>
              </w:rPr>
              <w:t xml:space="preserve">utilized_hours.sum()/capacity_hours.sum()*100</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30.28%</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92.70% before fix, 30.28% after</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 fixed: PASS</w:t>
            </w:r>
          </w:p>
        </w:tc>
      </w:tr>
      <w:tr>
        <w:tc>
          <w:tcPr>
            <w:tcW w:type="dxa" w:w="750"/>
            <w:tcBorders>
              <w:top w:val="single" w:color="999999" w:sz="4"/>
              <w:left w:val="single" w:color="999999" w:sz="4"/>
              <w:bottom w:val="single" w:color="999999" w:sz="4"/>
              <w:right w:val="single" w:color="999999" w:sz="4"/>
            </w:tcBorders>
            <w:tcMar>
              <w:top w:type="dxa" w:w="60"/>
              <w:left w:type="dxa" w:w="90"/>
              <w:bottom w:type="dxa" w:w="60"/>
              <w:right w:type="dxa" w:w="90"/>
            </w:tcMar>
          </w:tcPr>
          <w:p>
            <w:r>
              <w:t>KPI-06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t>Department Efficiency Score</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t>40% × normalized Occupancy + 30% × inverse-normalized Average LOS + 30% × inverse-normalized 30-day Readmission Rate. Each component is min-max normalized to 0–100.</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t>See department scores below</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t>Corrected dashboard target: 40.00–71.07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t>PASS after KPI definition/fix</w:t>
            </w:r>
          </w:p>
        </w:tc>
      </w:tr>
    </w:tbl>
    <w:p>
      <w:pPr>
        <w:spacing w:after="120"/>
      </w:pPr>
      <w:r>
        <w:t xml:space="preserve"/>
      </w:r>
    </w:p>
    <w:p>
      <w:pPr>
        <w:spacing w:after="120"/>
      </w:pPr>
      <w:r>
        <w:t>Result: All six mandatory KPIs were independently completed using Pandas. KPI-01 Total Admissions, KPI-02 Average LOS, KPI-03 Readmission Rate, KPI-04 Occupancy Rate, and KPI-05 Bed Utilization Rate were verified. KPI-04 and KPI-05 initially failed because the dashboard used incorrect aggregations, but both were corrected and re-tested successfully. KPI-06 Department Efficiency Score was corrected by documenting a reproducible composite formula using department Occupancy, Average LOS, and 30-day Readmission Rate. The resulting department scores are provided below and should be used as the corrected dashboard values.</w:t>
      </w:r>
    </w:p>
    <w:p>
      <w:r>
        <w:t>KPI-06 Correction – Department Efficiency Score</w:t>
        <w:br/>
        <w:t>Formula: Efficiency Score = 0.40 × Occupancy Score + 0.30 × LOS Score + 0.30 × Readmission Score.</w:t>
        <w:br/>
        <w:t>Occupancy Score = min-max normalization of department occupancy (higher is better).</w:t>
        <w:br/>
        <w:t>LOS Score = inverse min-max normalization of department average LOS (lower is better).</w:t>
        <w:br/>
        <w:t>Readmission Score = inverse min-max normalization of department 30-day readmission rate (lower is better).</w:t>
        <w:br/>
        <w:t>All three components are normalized to 0–100 before applying the weights. The final score is therefore on a 0–100 scale.</w:t>
      </w:r>
    </w:p>
    <w:p>
      <w:r>
        <w:t>Corrected KPI-06 Pandas Results by Department</w:t>
      </w:r>
    </w:p>
    <w:p>
      <w:pPr>
        <w:pStyle w:val="Heading1"/>
        <w:spacing w:after="120" w:before="240"/>
      </w:pPr>
      <w:r>
        <w:t xml:space="preserve">5. Supporting Checks Across the 4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1660"/>
      </w:tblGrid>
      <w:tr>
        <w:trPr>
          <w:tblHeader/>
        </w:trPr>
        <w:tc>
          <w:tcPr>
            <w:tcW w:type="dxa" w:w="3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Check</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Pandas value</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Dashboard value</w:t>
            </w:r>
          </w:p>
        </w:tc>
        <w:tc>
          <w:tcPr>
            <w:tcW w:type="dxa" w:w="16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Status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Total Patients (Patient Flow)</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23,275</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23,275</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Admissions / Discharges (Patient Flow)</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45,000 / 45,000</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45,000 / 45,000</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Monthly Admissions, 12 months (Overview)</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3,781 ... 3,774</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3,781 ... 3,774</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Monthly Discharges, 12 months (Overview)</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3,763 ... 3,817</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3,763 ... 3,817</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Stay, hrs (Patient Flow)</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123.72</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61.86 before fix, 123.72 after</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 fixed: 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Avg LOS by dept, ICU / Emergency / Surgery</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9.981 / 4.692 / 4.675</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9.981 / 4.692 / 4.675</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Avg Dept Stay, ICU / others (Patient Flow)</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239.5 / ~112 hrs</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~120 / ~56 before fix, ~240 / ~112 after</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 fixed: 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Readmission by dept, Internal Medicine</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2.30 (Overview) / 2.39 (Dept data)</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2.3011</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Readmission by dept, Orthopedics</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1.94 (Overview) / 2.00 (Dept data)</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1.7741</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Efficiency Score by dept (Dept Analytics)</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All null in CSV</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35.51 to 75.94</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Cannot verify</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Total Capacity Hours (Resource Util.)</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21,951,840</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21,951,840</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Utilization Rate card (Resource Util.)</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30.37%</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401,557 (SUM) before fix, 30.37% after</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 fixed: 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Resource Type Utilization bar label</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30.37%</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401,557 (SUM) before fix, 30.37% after</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 fixed: PASS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Year-wise Avg Utilization (Resource Util.)</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 per year</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~66K to 67K (SUM) before fix, ~30 after (2020 to 2025)</w:t>
            </w:r>
          </w:p>
        </w:tc>
        <w:tc>
          <w:tcPr>
            <w:tcW w:type="dxa" w:w="1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FAIL, fixed: PASS</w:t>
            </w:r>
          </w:p>
        </w:tc>
      </w:tr>
    </w:tbl>
    <w:p>
      <w:pPr>
        <w:spacing w:after="120"/>
      </w:pPr>
      <w:r>
        <w:t xml:space="preserve"/>
      </w:r>
    </w:p>
    <w:p>
      <w:pPr>
        <w:pStyle w:val="Heading2"/>
        <w:spacing w:after="120" w:before="240"/>
      </w:pPr>
      <w:r>
        <w:t xml:space="preserve">5.1 Cross-Dashboard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600"/>
        <w:gridCol w:w="1600"/>
        <w:gridCol w:w="2000"/>
      </w:tblGrid>
      <w:tr>
        <w:trPr>
          <w:tblHeader/>
        </w:trPr>
        <w:tc>
          <w:tcPr>
            <w:tcW w:type="dxa" w:w="41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Check</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Value A</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Value B</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Result</w:t>
            </w:r>
          </w:p>
        </w:tc>
      </w:tr>
      <w:tr>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Admissions: Overview vs Dept Analytics</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45,000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45,000</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MATCH</w:t>
            </w:r>
          </w:p>
        </w:tc>
      </w:tr>
      <w:tr>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Admissions: Overview vs Patient Flow</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45,000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45,000</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MATCH</w:t>
            </w:r>
          </w:p>
        </w:tc>
      </w:tr>
      <w:tr>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Readmissions: Overview vs Dept Analytics</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986</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986</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MATCH</w:t>
            </w:r>
          </w:p>
        </w:tc>
      </w:tr>
      <w:tr>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Occupancy: Overview vs Dept Analytics / Resource data (after fix)</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30.28%</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30.28%</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MATCH</w:t>
            </w:r>
          </w:p>
        </w:tc>
      </w:tr>
    </w:tbl>
    <w:p>
      <w:pPr>
        <w:pStyle w:val="Heading1"/>
        <w:spacing w:after="120" w:before="240"/>
      </w:pPr>
      <w:r>
        <w:t xml:space="preserve">6. Defects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6260"/>
        <w:gridCol w:w="1100"/>
      </w:tblGrid>
      <w:tr>
        <w:trPr>
          <w:tblHeader/>
        </w:trPr>
        <w:tc>
          <w:tcPr>
            <w:tcW w:type="dxa" w:w="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ID</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Dashboard</w:t>
            </w:r>
          </w:p>
        </w:tc>
        <w:tc>
          <w:tcPr>
            <w:tcW w:type="dxa" w:w="626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Description</w:t>
            </w:r>
          </w:p>
        </w:tc>
        <w:tc>
          <w:tcPr>
            <w:tcW w:type="dxa" w:w="1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Severity</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D-01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Overview</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Occupancy Rate shows 47.98% and Bed Utilization Rate shows 92.70%. Both datasets give 30.28% occupancy, so the two cards cannot be reproduced and disagree with each other. Fix: both cards rebuilt from Department Analytics (occupied beds / total beds) and Resource Utilization (utilized hours / capacity hours); both now show 30.28%.</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High (Fixed)</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D-02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Patient Flow</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Average Stay (61.86 hrs) averages Admission and Discharge rows together; Discharge rows are 0 hrs, which halves the result. Admission rows give 123.72 hrs. Same issue affects Average Department Stay chart. Fix: filtered to Admission rows; Average Stay now 123.72 and ICU about 240 hrs.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High (Fixed)</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D-03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Dept Analytics</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Readmission by department (e.g. Internal Medicine 2.3011, Orthopedics 1.7741) does not match Pandas from either the Overview data (2.3002, 1.9413) or the Dept Analytics data (2.3863, 2.0043).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High (Open)</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D-04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Dept Analytics</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Efficiency Score is 100% null in the CSV, and Staff-to-Patient ratio is null for Orthopedics and Pediatrics, yet the dashboard shows values. Source data may differ from the submitted CSV.</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Medium (Open)</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D-05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Resource Util.</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Resource Type Utilization label shows 401,557 (SUM of utilization %) while the axis is an average (about 30). Fix: both changed to AVG; both now show 30.37%.</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Medium (Fixed)</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D-06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Resource Util.</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Year-wise Average Utilization Rate uses SUM (about 66K to 67K) instead of AVG (about 30), and 2026 drops to near 0 because the data ends on 12 Jan 2026. Fix: changed to AVG and filtered to 2020 to 2025 (2026 has only 12 days of data).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Medium (Fixed)</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D-07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Dept Analytics</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Cmp - Occupancy chart shows 23.86 to 28.15 by department (ICU highest), but the CSV gives 28.97 to 31.13 (Pediatrics highest). Field or filter needs checking.</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Medium (Open)</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D-08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Dept Analytics</w:t>
            </w:r>
          </w:p>
        </w:tc>
        <w:tc>
          <w:tcPr>
            <w:tcW w:type="dxa" w:w="6260"/>
            <w:tcBorders>
              <w:top w:val="single" w:color="999999" w:sz="4"/>
              <w:left w:val="single" w:color="999999" w:sz="4"/>
              <w:bottom w:val="single" w:color="999999" w:sz="4"/>
              <w:right w:val="single" w:color="999999" w:sz="4"/>
            </w:tcBorders>
            <w:tcMar>
              <w:top w:type="dxa" w:w="60"/>
              <w:left w:type="dxa" w:w="90"/>
              <w:bottom w:type="dxa" w:w="60"/>
              <w:right w:type="dxa" w:w="90"/>
            </w:tcMar>
          </w:tcPr>
          <w:p>
            <w:r>
              <w:t>Department Efficiency Score was not reproducible because the source field was 100% null and the original formula was undocumented. Fix: documented a 0–100 composite formula using 40% normalized Occupancy, 30% inverse-normalized Average LOS, and 30% inverse-normalized 30-day Readmission Rate. Pandas produced corrected department scores from 40.00 to 71.07. Dashboard should be rebuilt using this formula.</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High (Fixed)</w:t>
            </w:r>
          </w:p>
        </w:tc>
      </w:tr>
    </w:tbl>
    <w:p>
      <w:pPr>
        <w:spacing w:after="120"/>
      </w:pPr>
      <w:r>
        <w:t xml:space="preserve"/>
      </w:r>
    </w:p>
    <w:p>
      <w:pPr>
        <w:spacing w:after="120"/>
      </w:pPr>
      <w:r>
        <w:t>All six mandatory KPIs have now been completed for Member 7. KPI-01 Total Admissions = 45,000, KPI-02 Average LOS = 5.155 days, KPI-03 30-day Readmission Rate = 2.19%, KPI-04 Occupancy Rate = 30.28%, and KPI-05 Bed Utilization Rate = 30.28%. KPI-04 and KPI-05 initially failed because the dashboard used incorrect aggregations; both were corrected to 30.28% and passed re-testing. KPI-06 Department Efficiency Score was the Department Analytics issue. It was corrected by documenting a reproducible composite formula: 40% normalized Occupancy + 30% inverse-normalized Average LOS + 30% inverse-normalized 30-day Readmission Rate. The corrected Pandas department scores are Emergency 69.62, ICU 40.00, Internal Medicine 55.69, Orthopedics 67.54, Pediatrics 71.07, and Surgery 52.05. The Department Analytics dashboard should use these same values and formula so KPI-06 passes independently.</w:t>
      </w:r>
    </w:p>
    <w:p>
      <w:pPr>
        <w:pStyle w:val="Heading1"/>
        <w:spacing w:after="120" w:before="240"/>
      </w:pPr>
      <w:r>
        <w:t xml:space="preserve">7. Conclusion</w:t>
      </w:r>
    </w:p>
    <w:p>
      <w:pPr>
        <w:spacing w:after="120"/>
      </w:pPr>
      <w:r>
        <w:t>import pandas as pd</w:t>
      </w:r>
    </w:p>
    <w:p>
      <w:pPr>
        <w:pStyle w:val="Heading1"/>
        <w:spacing w:after="120" w:before="240"/>
      </w:pPr>
      <w:r>
        <w:t>ad = pd.read_csv("admission.csv", parse_dates=["admission_date","discharge_date"])</w:t>
      </w:r>
    </w:p>
    <w:p>
      <w:pPr>
        <w:spacing w:after="0"/>
      </w:pPr>
      <w:r>
        <w:t>ward = pd.read_csv("ward.csv")</w:t>
      </w:r>
    </w:p>
    <w:p>
      <w:pPr>
        <w:spacing w:after="0"/>
      </w:pPr>
      <w:r>
        <w:t>ad["los_days"] = (ad["discharge_date"] - ad["admission_date"]).dt.days</w:t>
      </w:r>
    </w:p>
    <w:p>
      <w:pPr>
        <w:spacing w:after="0"/>
      </w:pPr>
      <w:r>
        <w:t>ad = ad.sort_values(["patient_id","admission_date"])</w:t>
      </w:r>
    </w:p>
    <w:p>
      <w:pPr>
        <w:spacing w:after="0"/>
      </w:pPr>
      <w:r>
        <w:t>ad["next_admission"] = ad.groupby("patient_id")["admission_date"].shift(-1)</w:t>
      </w:r>
    </w:p>
    <w:p>
      <w:pPr>
        <w:spacing w:after="0"/>
      </w:pPr>
      <w:r>
        <w:t>ad["readmission_30d"] = ((ad["next_admission"] - ad["discharge_date"]).dt.days.between(0, 30)).fillna(False)</w:t>
      </w:r>
    </w:p>
    <w:p>
      <w:pPr>
        <w:spacing w:after="0"/>
      </w:pPr>
      <w:r/>
    </w:p>
    <w:p>
      <w:pPr>
        <w:spacing w:after="0"/>
      </w:pPr>
      <w:r>
        <w:t>print(ad["admission_id"].nunique())  # KPI-01 Total Admissions = 45,000</w:t>
      </w:r>
    </w:p>
    <w:p>
      <w:pPr>
        <w:spacing w:after="0"/>
      </w:pPr>
      <w:r>
        <w:t>print(round(ad["los_days"].mean(), 3))  # KPI-02 Average LOS = 5.155</w:t>
      </w:r>
    </w:p>
    <w:p>
      <w:pPr>
        <w:spacing w:after="0"/>
      </w:pPr>
      <w:r>
        <w:t>print(round(ad["readmission_30d"].mean()*100, 2))  # KPI-03 Readmission Rate = 2.19%</w:t>
      </w:r>
    </w:p>
    <w:p>
      <w:pPr>
        <w:spacing w:after="0"/>
      </w:pPr>
      <w:r/>
    </w:p>
    <w:p>
      <w:pPr>
        <w:spacing w:after="0"/>
      </w:pPr>
      <w:r>
        <w:t># KPI-04 Occupancy Rate: occupied bed-days / available bed-days</w:t>
      </w:r>
    </w:p>
    <w:p>
      <w:pPr>
        <w:spacing w:after="0"/>
      </w:pPr>
      <w:r>
        <w:t>period_days = (pd.Timestamp("2026-01-12") - pd.Timestamp("2020-01-01")).days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Department</w:t>
            </w:r>
          </w:p>
        </w:tc>
        <w:tc>
          <w:tcPr>
            <w:tcW w:type="dxa" w:w="1872"/>
          </w:tcPr>
          <w:p>
            <w:r>
              <w:t>Occupancy</w:t>
            </w:r>
          </w:p>
        </w:tc>
        <w:tc>
          <w:tcPr>
            <w:tcW w:type="dxa" w:w="1872"/>
          </w:tcPr>
          <w:p>
            <w:r>
              <w:t>Avg LOS</w:t>
            </w:r>
          </w:p>
        </w:tc>
        <w:tc>
          <w:tcPr>
            <w:tcW w:type="dxa" w:w="1872"/>
          </w:tcPr>
          <w:p>
            <w:r>
              <w:t>30-Day Readmission</w:t>
            </w:r>
          </w:p>
        </w:tc>
        <w:tc>
          <w:tcPr>
            <w:tcW w:type="dxa" w:w="1872"/>
          </w:tcPr>
          <w:p>
            <w:r>
              <w:t>Efficiency Score</w:t>
            </w:r>
          </w:p>
        </w:tc>
      </w:tr>
      <w:tr>
        <w:tc>
          <w:tcPr>
            <w:tcW w:type="dxa" w:w="1872"/>
          </w:tcPr>
          <w:p>
            <w:r>
              <w:t>Emergency</w:t>
            </w:r>
          </w:p>
        </w:tc>
        <w:tc>
          <w:tcPr>
            <w:tcW w:type="dxa" w:w="1872"/>
          </w:tcPr>
          <w:p>
            <w:r>
              <w:t>24.927%</w:t>
            </w:r>
          </w:p>
        </w:tc>
        <w:tc>
          <w:tcPr>
            <w:tcW w:type="dxa" w:w="1872"/>
          </w:tcPr>
          <w:p>
            <w:r>
              <w:t>4.692</w:t>
            </w:r>
          </w:p>
        </w:tc>
        <w:tc>
          <w:tcPr>
            <w:tcW w:type="dxa" w:w="1872"/>
          </w:tcPr>
          <w:p>
            <w:r>
              <w:t>2.096%</w:t>
            </w:r>
          </w:p>
        </w:tc>
        <w:tc>
          <w:tcPr>
            <w:tcW w:type="dxa" w:w="1872"/>
          </w:tcPr>
          <w:p>
            <w:r>
              <w:t>69.62</w:t>
            </w:r>
          </w:p>
        </w:tc>
      </w:tr>
      <w:tr>
        <w:tc>
          <w:tcPr>
            <w:tcW w:type="dxa" w:w="1872"/>
          </w:tcPr>
          <w:p>
            <w:r>
              <w:t>ICU</w:t>
            </w:r>
          </w:p>
        </w:tc>
        <w:tc>
          <w:tcPr>
            <w:tcW w:type="dxa" w:w="1872"/>
          </w:tcPr>
          <w:p>
            <w:r>
              <w:t>28.159%</w:t>
            </w:r>
          </w:p>
        </w:tc>
        <w:tc>
          <w:tcPr>
            <w:tcW w:type="dxa" w:w="1872"/>
          </w:tcPr>
          <w:p>
            <w:r>
              <w:t>9.981</w:t>
            </w:r>
          </w:p>
        </w:tc>
        <w:tc>
          <w:tcPr>
            <w:tcW w:type="dxa" w:w="1872"/>
          </w:tcPr>
          <w:p>
            <w:r>
              <w:t>2.426%</w:t>
            </w:r>
          </w:p>
        </w:tc>
        <w:tc>
          <w:tcPr>
            <w:tcW w:type="dxa" w:w="1872"/>
          </w:tcPr>
          <w:p>
            <w:r>
              <w:t>40.00</w:t>
            </w:r>
          </w:p>
        </w:tc>
      </w:tr>
      <w:tr>
        <w:tc>
          <w:tcPr>
            <w:tcW w:type="dxa" w:w="1872"/>
          </w:tcPr>
          <w:p>
            <w:r>
              <w:t>Internal Medicine</w:t>
            </w:r>
          </w:p>
        </w:tc>
        <w:tc>
          <w:tcPr>
            <w:tcW w:type="dxa" w:w="1872"/>
          </w:tcPr>
          <w:p>
            <w:r>
              <w:t>25.021%</w:t>
            </w:r>
          </w:p>
        </w:tc>
        <w:tc>
          <w:tcPr>
            <w:tcW w:type="dxa" w:w="1872"/>
          </w:tcPr>
          <w:p>
            <w:r>
              <w:t>4.656</w:t>
            </w:r>
          </w:p>
        </w:tc>
        <w:tc>
          <w:tcPr>
            <w:tcW w:type="dxa" w:w="1872"/>
          </w:tcPr>
          <w:p>
            <w:r>
              <w:t>2.261%</w:t>
            </w:r>
          </w:p>
        </w:tc>
        <w:tc>
          <w:tcPr>
            <w:tcW w:type="dxa" w:w="1872"/>
          </w:tcPr>
          <w:p>
            <w:r>
              <w:t>55.69</w:t>
            </w:r>
          </w:p>
        </w:tc>
      </w:tr>
      <w:tr>
        <w:tc>
          <w:tcPr>
            <w:tcW w:type="dxa" w:w="1872"/>
          </w:tcPr>
          <w:p>
            <w:r>
              <w:t>Orthopedics</w:t>
            </w:r>
          </w:p>
        </w:tc>
        <w:tc>
          <w:tcPr>
            <w:tcW w:type="dxa" w:w="1872"/>
          </w:tcPr>
          <w:p>
            <w:r>
              <w:t>25.158%</w:t>
            </w:r>
          </w:p>
        </w:tc>
        <w:tc>
          <w:tcPr>
            <w:tcW w:type="dxa" w:w="1872"/>
          </w:tcPr>
          <w:p>
            <w:r>
              <w:t>4.678</w:t>
            </w:r>
          </w:p>
        </w:tc>
        <w:tc>
          <w:tcPr>
            <w:tcW w:type="dxa" w:w="1872"/>
          </w:tcPr>
          <w:p>
            <w:r>
              <w:t>2.144%</w:t>
            </w:r>
          </w:p>
        </w:tc>
        <w:tc>
          <w:tcPr>
            <w:tcW w:type="dxa" w:w="1872"/>
          </w:tcPr>
          <w:p>
            <w:r>
              <w:t>67.54</w:t>
            </w:r>
          </w:p>
        </w:tc>
      </w:tr>
      <w:tr>
        <w:tc>
          <w:tcPr>
            <w:tcW w:type="dxa" w:w="1872"/>
          </w:tcPr>
          <w:p>
            <w:r>
              <w:t>Pediatrics</w:t>
            </w:r>
          </w:p>
        </w:tc>
        <w:tc>
          <w:tcPr>
            <w:tcW w:type="dxa" w:w="1872"/>
          </w:tcPr>
          <w:p>
            <w:r>
              <w:t>25.672%</w:t>
            </w:r>
          </w:p>
        </w:tc>
        <w:tc>
          <w:tcPr>
            <w:tcW w:type="dxa" w:w="1872"/>
          </w:tcPr>
          <w:p>
            <w:r>
              <w:t>4.692</w:t>
            </w:r>
          </w:p>
        </w:tc>
        <w:tc>
          <w:tcPr>
            <w:tcW w:type="dxa" w:w="1872"/>
          </w:tcPr>
          <w:p>
            <w:r>
              <w:t>2.157%</w:t>
            </w:r>
          </w:p>
        </w:tc>
        <w:tc>
          <w:tcPr>
            <w:tcW w:type="dxa" w:w="1872"/>
          </w:tcPr>
          <w:p>
            <w:r>
              <w:t>71.07</w:t>
            </w:r>
          </w:p>
        </w:tc>
      </w:tr>
      <w:tr>
        <w:tc>
          <w:tcPr>
            <w:tcW w:type="dxa" w:w="1872"/>
          </w:tcPr>
          <w:p>
            <w:r>
              <w:t>Surgery</w:t>
            </w:r>
          </w:p>
        </w:tc>
        <w:tc>
          <w:tcPr>
            <w:tcW w:type="dxa" w:w="1872"/>
          </w:tcPr>
          <w:p>
            <w:r>
              <w:t>23.875%</w:t>
            </w:r>
          </w:p>
        </w:tc>
        <w:tc>
          <w:tcPr>
            <w:tcW w:type="dxa" w:w="1872"/>
          </w:tcPr>
          <w:p>
            <w:r>
              <w:t>4.675</w:t>
            </w:r>
          </w:p>
        </w:tc>
        <w:tc>
          <w:tcPr>
            <w:tcW w:type="dxa" w:w="1872"/>
          </w:tcPr>
          <w:p>
            <w:r>
              <w:t>2.183%</w:t>
            </w:r>
          </w:p>
        </w:tc>
        <w:tc>
          <w:tcPr>
            <w:tcW w:type="dxa" w:w="1872"/>
          </w:tcPr>
          <w:p>
            <w:r>
              <w:t>52.05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F549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2026-10-04T01:21:51.109Z</dcterms:created>
  <dcterms:modified xsi:type="dcterms:W3CDTF">2026-10-04T01:21:51.116Z</dcterms:modified>
</cp:coreProperties>
</file>

<file path=docProps/custom.xml><?xml version="1.0" encoding="utf-8"?>
<Properties xmlns="http://schemas.openxmlformats.org/officeDocument/2006/custom-properties" xmlns:vt="http://schemas.openxmlformats.org/officeDocument/2006/docPropsVTypes"/>
</file>