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0"/>
          <w:szCs w:val="40"/>
        </w:rPr>
        <w:t xml:space="preserve">MedTrack Healthcare Analytics</w:t>
      </w:r>
    </w:p>
    <w:p>
      <w:pPr>
        <w:spacing w:after="40"/>
        <w:jc w:val="center"/>
      </w:pPr>
      <w:r>
        <w:rPr>
          <w:sz w:val="26"/>
          <w:szCs w:val="26"/>
        </w:rPr>
        <w:t xml:space="preserve">KPI and Dashboard Planning</w:t>
      </w:r>
    </w:p>
    <w:p>
      <w:pPr>
        <w:spacing w:after="320"/>
        <w:jc w:val="center"/>
      </w:pPr>
      <w:r>
        <w:rPr>
          <w:b/>
          <w:bCs/>
          <w:sz w:val="24"/>
          <w:szCs w:val="24"/>
        </w:rPr>
        <w:t xml:space="preserve">KPI Documentation</w:t>
      </w:r>
    </w:p>
    <w:p>
      <w:pPr>
        <w:spacing w:after="80"/>
      </w:pPr>
      <w:r>
        <w:rPr>
          <w:sz w:val="20"/>
          <w:szCs w:val="20"/>
        </w:rPr>
        <w:t xml:space="preserve">This section documents the six KPIs identified— what each one means, how it's calculated, where the numbers come from, and how to read the results. The goal is to keep everyone on the team working from the same definitions, so the dashboards we build in all mean the same thing.</w:t>
      </w:r>
    </w:p>
    <w:p>
      <w:pPr>
        <w:spacing w:after="60"/>
      </w:pPr>
      <w:r>
        <w:rPr>
          <w:sz w:val="20"/>
          <w:szCs w:val="20"/>
        </w:rPr>
        <w:t xml:space="preserve">Formulas and figures below are taken directly from </w:t>
      </w:r>
      <w:r>
        <w:rPr>
          <w:i/>
          <w:iCs/>
          <w:sz w:val="20"/>
          <w:szCs w:val="20"/>
        </w:rPr>
        <w:t xml:space="preserve">kpi_summary.csv, department_efficiency_scores.csv, validation_report.csv, disease_outcome_benchmarks.csv</w:t>
      </w:r>
      <w:r>
        <w:rPr>
          <w:sz w:val="20"/>
          <w:szCs w:val="20"/>
        </w:rPr>
        <w:t xml:space="preserve">, and Member 3's Milestone 2 workbook — nothing here has been invented or re-derived independently.</w:t>
      </w:r>
    </w:p>
    <w:p>
      <w:pPr>
        <w:spacing w:after="200" w:before="100"/>
      </w:pPr>
      <w:r>
        <w:rPr>
          <w:i/>
          <w:iCs/>
          <w:sz w:val="18"/>
          <w:szCs w:val="18"/>
        </w:rPr>
        <w:t xml:space="preserve">While putting this together, two things looked like inconsistencies at first — the readmission field being called two different names in two files, and Occupancy Rate and Bed Utilization Rate coming out to the exact same number. Both were checked against the raw data and turned out to be fine (details under each KPI below), so nothing here is still an open question.</w:t>
      </w:r>
    </w:p>
    <w:p>
      <w:pPr>
        <w:pStyle w:val="Heading2"/>
        <w:spacing w:after="120" w:before="320"/>
      </w:pPr>
      <w:r>
        <w:rPr>
          <w:b/>
          <w:bCs/>
          <w:color w:val="000000"/>
          <w:sz w:val="26"/>
          <w:szCs w:val="26"/>
        </w:rPr>
        <w:t xml:space="preserve">1. Total Admissions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Formula</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rFonts w:ascii="Consolas" w:cs="Consolas" w:eastAsia="Consolas" w:hAnsi="Consolas"/>
                <w:sz w:val="20"/>
                <w:szCs w:val="20"/>
              </w:rPr>
              <w:t xml:space="preserve">COUNTD(admission_id)</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Definition</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sz w:val="20"/>
                <w:szCs w:val="20"/>
              </w:rPr>
              <w:t xml:space="preserve">The count of distinct patient admission events recorded across the hospital during the reporting period.</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Data Source</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sz w:val="20"/>
                <w:szCs w:val="20"/>
              </w:rPr>
              <w:t xml:space="preserve">hospital_overview_dataset</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Required Fields</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30"/>
            </w:pPr>
            <w:r>
              <w:rPr>
                <w:sz w:val="20"/>
                <w:szCs w:val="20"/>
              </w:rPr>
              <w:t xml:space="preserve">• admission_id</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Interpretation</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sz w:val="20"/>
                <w:szCs w:val="20"/>
              </w:rPr>
              <w:t xml:space="preserve">If this number climbs, demand is going up; if it drops, either fewer people need care or the hospital is turning patients away/diverting them elsewhere — worth digging into which.</w:t>
            </w:r>
          </w:p>
          <w:p>
            <w:pPr>
              <w:spacing w:after="40"/>
            </w:pPr>
            <w:r>
              <w:rPr>
                <w:sz w:val="20"/>
                <w:szCs w:val="20"/>
              </w:rPr>
              <w:t xml:space="preserve">Almost every other KPI on this list leans on this number somewhere (it's the denominator for Readmission Rate, for instance), so it's the metric everything else gets compared against.</w:t>
            </w:r>
          </w:p>
        </w:tc>
      </w:tr>
    </w:tbl>
    <w:p>
      <w:pPr>
        <w:pStyle w:val="Heading2"/>
        <w:spacing w:after="120" w:before="320"/>
      </w:pPr>
      <w:r>
        <w:rPr>
          <w:b/>
          <w:bCs/>
          <w:color w:val="000000"/>
          <w:sz w:val="26"/>
          <w:szCs w:val="26"/>
        </w:rPr>
        <w:t xml:space="preserve">2. Occupancy Rate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Formula</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rFonts w:ascii="Consolas" w:cs="Consolas" w:eastAsia="Consolas" w:hAnsi="Consolas"/>
                <w:sz w:val="20"/>
                <w:szCs w:val="20"/>
              </w:rPr>
              <w:t xml:space="preserve">( SUM(occupied_beds_count) / SUM(total_beds) ) × 100</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Definition</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sz w:val="20"/>
                <w:szCs w:val="20"/>
              </w:rPr>
              <w:t xml:space="preserve">The percentage of available hospital beds that are occupied at a given time, aggregated across the reporting period.</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Data Source</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sz w:val="20"/>
                <w:szCs w:val="20"/>
              </w:rPr>
              <w:t xml:space="preserve">department_analytics_dataset</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Required Fields</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30"/>
            </w:pPr>
            <w:r>
              <w:rPr>
                <w:sz w:val="20"/>
                <w:szCs w:val="20"/>
              </w:rPr>
              <w:t xml:space="preserve">• occupied_beds_count</w:t>
            </w:r>
          </w:p>
          <w:p>
            <w:pPr>
              <w:spacing w:after="30"/>
            </w:pPr>
            <w:r>
              <w:rPr>
                <w:sz w:val="20"/>
                <w:szCs w:val="20"/>
              </w:rPr>
              <w:t xml:space="preserve">• total_beds</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Interpretation</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sz w:val="20"/>
                <w:szCs w:val="20"/>
              </w:rPr>
              <w:t xml:space="preserve">Sits at around 47.98% hospital-wide. That's not close to overcrowded — if anything it points to spare capacity — but it's worth flagging that a healthy target range should really come from hospital leadership rather than being assumed.</w:t>
            </w:r>
          </w:p>
          <w:p>
            <w:pPr>
              <w:spacing w:after="40"/>
            </w:pPr>
            <w:r>
              <w:rPr>
                <w:sz w:val="20"/>
                <w:szCs w:val="20"/>
              </w:rPr>
              <w:t xml:space="preserve">What stands out is how flat this is across departments — every one of the six sits between roughly 29% and 31%, so occupancy alone doesn't explain why some departments run less smoothly than others.</w:t>
            </w:r>
          </w:p>
        </w:tc>
      </w:tr>
    </w:tbl>
    <w:p>
      <w:pPr>
        <w:pStyle w:val="Heading2"/>
        <w:spacing w:after="120" w:before="320"/>
      </w:pPr>
      <w:r>
        <w:rPr>
          <w:b/>
          <w:bCs/>
          <w:color w:val="000000"/>
          <w:sz w:val="26"/>
          <w:szCs w:val="26"/>
        </w:rPr>
        <w:t xml:space="preserve">3. Average Length of Stay (ALOS)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Formula</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rFonts w:ascii="Consolas" w:cs="Consolas" w:eastAsia="Consolas" w:hAnsi="Consolas"/>
                <w:sz w:val="20"/>
                <w:szCs w:val="20"/>
              </w:rPr>
              <w:t xml:space="preserve">MEAN(discharge_date − admission_date)</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Definition</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sz w:val="20"/>
                <w:szCs w:val="20"/>
              </w:rPr>
              <w:t xml:space="preserve">The average number of days a patient remains admitted, from admission to discharge.</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Data Source</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sz w:val="20"/>
                <w:szCs w:val="20"/>
              </w:rPr>
              <w:t xml:space="preserve">hospital_overview_dataset</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Required Fields</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30"/>
            </w:pPr>
            <w:r>
              <w:rPr>
                <w:sz w:val="20"/>
                <w:szCs w:val="20"/>
              </w:rPr>
              <w:t xml:space="preserve">• admission_date</w:t>
            </w:r>
          </w:p>
          <w:p>
            <w:pPr>
              <w:spacing w:after="30"/>
            </w:pPr>
            <w:r>
              <w:rPr>
                <w:sz w:val="20"/>
                <w:szCs w:val="20"/>
              </w:rPr>
              <w:t xml:space="preserve">• discharge_date</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Interpretation</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sz w:val="20"/>
                <w:szCs w:val="20"/>
              </w:rPr>
              <w:t xml:space="preserve">Averages out to 5.16 days across the hospital, but that hides a lot — Internal Medicine sits around 4.66 days while ICU is nearly double everyone else at about 10 days.</w:t>
            </w:r>
          </w:p>
          <w:p>
            <w:pPr>
              <w:spacing w:after="40"/>
            </w:pPr>
            <w:r>
              <w:rPr>
                <w:sz w:val="20"/>
                <w:szCs w:val="20"/>
              </w:rPr>
              <w:t xml:space="preserve">That ICU number looks alarming at first glance, but it makes sense once you remember ICU patients are simply sicker and need longer recovery — ICU has a substantially higher average length of stay than other departments, which may reflect the greater complexity of ICU care. Therefore, the lower efficiency score should be interpreted alongside patient acuity and other clinical factors rather than in isolation.</w:t>
            </w:r>
          </w:p>
        </w:tc>
      </w:tr>
    </w:tbl>
    <w:p>
      <w:pPr>
        <w:pStyle w:val="Heading2"/>
        <w:spacing w:after="120" w:before="320"/>
      </w:pPr>
      <w:r>
        <w:rPr>
          <w:b/>
          <w:bCs/>
          <w:color w:val="000000"/>
          <w:sz w:val="26"/>
          <w:szCs w:val="26"/>
        </w:rPr>
        <w:t xml:space="preserve">4. Readmission Rate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Formula</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rFonts w:ascii="Consolas" w:cs="Consolas" w:eastAsia="Consolas" w:hAnsi="Consolas"/>
                <w:sz w:val="20"/>
                <w:szCs w:val="20"/>
              </w:rPr>
              <w:t xml:space="preserve">COUNT(readmission_flag = 1) / COUNT(all admissions) × 100  [30-day, same-patient proxy]</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Definition</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sz w:val="20"/>
                <w:szCs w:val="20"/>
              </w:rPr>
              <w:t xml:space="preserve">The percentage of admissions followed by a return admission for the same patient within 30 days.</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Data Source</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sz w:val="20"/>
                <w:szCs w:val="20"/>
              </w:rPr>
              <w:t xml:space="preserve">hospital_overview_dataset</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Required Fields</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30"/>
            </w:pPr>
            <w:r>
              <w:rPr>
                <w:sz w:val="20"/>
                <w:szCs w:val="20"/>
              </w:rPr>
              <w:t xml:space="preserve">• readmission_flag (verified equivalent to is_readmission)</w:t>
            </w:r>
          </w:p>
          <w:p>
            <w:pPr>
              <w:spacing w:after="30"/>
            </w:pPr>
            <w:r>
              <w:rPr>
                <w:sz w:val="20"/>
                <w:szCs w:val="20"/>
              </w:rPr>
              <w:t xml:space="preserve">• patient_id</w:t>
            </w:r>
          </w:p>
          <w:p>
            <w:pPr>
              <w:spacing w:after="30"/>
            </w:pPr>
            <w:r>
              <w:rPr>
                <w:sz w:val="20"/>
                <w:szCs w:val="20"/>
              </w:rPr>
              <w:t xml:space="preserve">• admission_date</w:t>
            </w:r>
          </w:p>
          <w:p>
            <w:pPr>
              <w:spacing w:after="30"/>
            </w:pPr>
            <w:r>
              <w:rPr>
                <w:sz w:val="20"/>
                <w:szCs w:val="20"/>
              </w:rPr>
              <w:t xml:space="preserve">• discharge_date</w:t>
            </w:r>
          </w:p>
          <w:p>
            <w:pPr>
              <w:spacing w:after="30"/>
            </w:pPr>
            <w:r>
              <w:rPr>
                <w:sz w:val="20"/>
                <w:szCs w:val="20"/>
              </w:rPr>
              <w:t xml:space="preserve">• days_since_prior_discharge</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Interpretation</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sz w:val="20"/>
                <w:szCs w:val="20"/>
              </w:rPr>
              <w:t xml:space="preserve">Comes out to 2.19% overall — I double-checked this by recounting straight from the raw admission records (986 readmissions out of 45,000) and it matched exactly.</w:t>
            </w:r>
          </w:p>
          <w:p>
            <w:pPr>
              <w:spacing w:after="40"/>
            </w:pPr>
            <w:r>
              <w:rPr>
                <w:sz w:val="20"/>
                <w:szCs w:val="20"/>
              </w:rPr>
              <w:t xml:space="preserve">Orthopedics has the lowest rate at 1.94%, ICU the highest at 2.33%, though the spread between departments is fairly small.</w:t>
            </w:r>
          </w:p>
          <w:p>
            <w:pPr>
              <w:spacing w:after="40"/>
            </w:pPr>
            <w:r>
              <w:rPr>
                <w:sz w:val="20"/>
                <w:szCs w:val="20"/>
              </w:rPr>
              <w:t xml:space="preserve">A creeping-up readmission rate is usually the first sign of trouble — patients being sent home too early, follow-up care falling through the cracks, that kind of thing — so this is one worth watching over time, not just as a snapshot.</w:t>
            </w:r>
          </w:p>
        </w:tc>
      </w:tr>
    </w:tbl>
    <w:p>
      <w:pPr>
        <w:pStyle w:val="Heading2"/>
        <w:spacing w:after="120" w:before="320"/>
      </w:pPr>
      <w:r>
        <w:rPr>
          <w:b/>
          <w:bCs/>
          <w:color w:val="000000"/>
          <w:sz w:val="26"/>
          <w:szCs w:val="26"/>
        </w:rPr>
        <w:t xml:space="preserve">5. Bed Utilization Rate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Formula</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rFonts w:ascii="Consolas" w:cs="Consolas" w:eastAsia="Consolas" w:hAnsi="Consolas"/>
                <w:sz w:val="20"/>
                <w:szCs w:val="20"/>
              </w:rPr>
              <w:t xml:space="preserve">( SUM(units_in_use) / SUM(total_units_available) ) × 100   [resource_type = "Bed" only]</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Definition</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sz w:val="20"/>
                <w:szCs w:val="20"/>
              </w:rPr>
              <w:t xml:space="preserve">The percentage of a specific hospital resource (beds) actively in use relative to total available units.</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Data Source</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sz w:val="20"/>
                <w:szCs w:val="20"/>
              </w:rPr>
              <w:t xml:space="preserve">resource_utilization_dataset</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Required Fields</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30"/>
            </w:pPr>
            <w:r>
              <w:rPr>
                <w:sz w:val="20"/>
                <w:szCs w:val="20"/>
              </w:rPr>
              <w:t xml:space="preserve">• units_in_use</w:t>
            </w:r>
          </w:p>
          <w:p>
            <w:pPr>
              <w:spacing w:after="30"/>
            </w:pPr>
            <w:r>
              <w:rPr>
                <w:sz w:val="20"/>
                <w:szCs w:val="20"/>
              </w:rPr>
              <w:t xml:space="preserve">• total_units_available</w:t>
            </w:r>
          </w:p>
          <w:p>
            <w:pPr>
              <w:spacing w:after="30"/>
            </w:pPr>
            <w:r>
              <w:rPr>
                <w:sz w:val="20"/>
                <w:szCs w:val="20"/>
              </w:rPr>
              <w:t xml:space="preserve">• resource_type</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Interpretation</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sz w:val="20"/>
                <w:szCs w:val="20"/>
              </w:rPr>
              <w:t xml:space="preserve">This currently lands on exactly the same 30.28% as Occupancy Rate — which looked like a copy-paste error at first, but it isn't. The resource dataset right now only has one resource type logged ("Bed"), so mathematically the two KPIs collapse into the same number.</w:t>
            </w:r>
          </w:p>
          <w:p>
            <w:pPr>
              <w:spacing w:after="40"/>
            </w:pPr>
            <w:r>
              <w:rPr>
                <w:sz w:val="20"/>
                <w:szCs w:val="20"/>
              </w:rPr>
              <w:t xml:space="preserve">The two metrics are conceptually different, though, and would tell separate stories the moment other resource types (ventilators, OR suites, etc.) get added to the dataset — worth keeping the KPI as its own line item for that reason.</w:t>
            </w:r>
          </w:p>
        </w:tc>
      </w:tr>
    </w:tbl>
    <w:p>
      <w:pPr>
        <w:pStyle w:val="Heading2"/>
        <w:spacing w:after="120" w:before="320"/>
      </w:pPr>
      <w:r>
        <w:rPr>
          <w:b/>
          <w:bCs/>
          <w:color w:val="000000"/>
          <w:sz w:val="26"/>
          <w:szCs w:val="26"/>
        </w:rPr>
        <w:t xml:space="preserve">6. Department Efficiency Score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Formula</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rFonts w:ascii="Consolas" w:cs="Consolas" w:eastAsia="Consolas" w:hAnsi="Consolas"/>
                <w:sz w:val="20"/>
                <w:szCs w:val="20"/>
              </w:rPr>
              <w:t xml:space="preserve">0.30 × occupancy_score + 0.30 × los_score + 0.25 × readmission_score + 0.15 × satisfaction_score
(weights re-distributed when a component is unavailable)</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Definition</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sz w:val="20"/>
                <w:szCs w:val="20"/>
              </w:rPr>
              <w:t xml:space="preserve">A composite 0–100 scale score summarizing each department's performance across occupancy, length of stay, readmissions, and patient satisfaction.</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Data Source</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sz w:val="20"/>
                <w:szCs w:val="20"/>
              </w:rPr>
              <w:t xml:space="preserve">department_analytics_dataset (published as department_efficiency_scores.csv)</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Required Fields</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30"/>
            </w:pPr>
            <w:r>
              <w:rPr>
                <w:sz w:val="20"/>
                <w:szCs w:val="20"/>
              </w:rPr>
              <w:t xml:space="preserve">• department_id</w:t>
            </w:r>
          </w:p>
          <w:p>
            <w:pPr>
              <w:spacing w:after="30"/>
            </w:pPr>
            <w:r>
              <w:rPr>
                <w:sz w:val="20"/>
                <w:szCs w:val="20"/>
              </w:rPr>
              <w:t xml:space="preserve">• department_name</w:t>
            </w:r>
          </w:p>
          <w:p>
            <w:pPr>
              <w:spacing w:after="30"/>
            </w:pPr>
            <w:r>
              <w:rPr>
                <w:sz w:val="20"/>
                <w:szCs w:val="20"/>
              </w:rPr>
              <w:t xml:space="preserve">• avg_occupancy_pct</w:t>
            </w:r>
          </w:p>
          <w:p>
            <w:pPr>
              <w:spacing w:after="30"/>
            </w:pPr>
            <w:r>
              <w:rPr>
                <w:sz w:val="20"/>
                <w:szCs w:val="20"/>
              </w:rPr>
              <w:t xml:space="preserve">• avg_los_days</w:t>
            </w:r>
          </w:p>
          <w:p>
            <w:pPr>
              <w:spacing w:after="30"/>
            </w:pPr>
            <w:r>
              <w:rPr>
                <w:sz w:val="20"/>
                <w:szCs w:val="20"/>
              </w:rPr>
              <w:t xml:space="preserve">• avg_readmission_rate_pct</w:t>
            </w:r>
          </w:p>
          <w:p>
            <w:pPr>
              <w:spacing w:after="30"/>
            </w:pPr>
            <w:r>
              <w:rPr>
                <w:sz w:val="20"/>
                <w:szCs w:val="20"/>
              </w:rPr>
              <w:t xml:space="preserve">• avg_satisfaction_score</w:t>
            </w:r>
          </w:p>
          <w:p>
            <w:pPr>
              <w:spacing w:after="30"/>
            </w:pPr>
            <w:r>
              <w:rPr>
                <w:sz w:val="20"/>
                <w:szCs w:val="20"/>
              </w:rPr>
              <w:t xml:space="preserve">• occupancy_score</w:t>
            </w:r>
          </w:p>
          <w:p>
            <w:pPr>
              <w:spacing w:after="30"/>
            </w:pPr>
            <w:r>
              <w:rPr>
                <w:sz w:val="20"/>
                <w:szCs w:val="20"/>
              </w:rPr>
              <w:t xml:space="preserve">• los_score</w:t>
            </w:r>
          </w:p>
          <w:p>
            <w:pPr>
              <w:spacing w:after="30"/>
            </w:pPr>
            <w:r>
              <w:rPr>
                <w:sz w:val="20"/>
                <w:szCs w:val="20"/>
              </w:rPr>
              <w:t xml:space="preserve">• readmission_score</w:t>
            </w:r>
          </w:p>
          <w:p>
            <w:pPr>
              <w:spacing w:after="30"/>
            </w:pPr>
            <w:r>
              <w:rPr>
                <w:sz w:val="20"/>
                <w:szCs w:val="20"/>
              </w:rPr>
              <w:t xml:space="preserve">• satisfaction_score</w:t>
            </w:r>
          </w:p>
          <w:p>
            <w:pPr>
              <w:spacing w:after="30"/>
            </w:pPr>
            <w:r>
              <w:rPr>
                <w:sz w:val="20"/>
                <w:szCs w:val="20"/>
              </w:rPr>
              <w:t xml:space="preserve">• department_efficiency_score</w:t>
            </w:r>
          </w:p>
        </w:tc>
      </w:tr>
      <w:tr>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b/>
                <w:bCs/>
                <w:sz w:val="20"/>
                <w:szCs w:val="20"/>
              </w:rPr>
              <w:t xml:space="preserve">Interpretation</w:t>
            </w:r>
          </w:p>
        </w:tc>
        <w:tc>
          <w:tcPr>
            <w:tcW w:type="dxa" w:w="7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sz w:val="20"/>
                <w:szCs w:val="20"/>
              </w:rPr>
              <w:t xml:space="preserve">Scores land anywhere from 51.97 (ICU) up to 81.95 (Orthopedics) — a pretty wide spread for what's meant to be a single comparative benchmark.</w:t>
            </w:r>
          </w:p>
          <w:p>
            <w:pPr>
              <w:spacing w:after="40"/>
            </w:pPr>
            <w:r>
              <w:rPr>
                <w:sz w:val="20"/>
                <w:szCs w:val="20"/>
              </w:rPr>
              <w:t xml:space="preserve">ICU dragging the average down comes almost entirely from its los_score bottoming out at 0.0, which loops back to the same story as the ALOS KPI — longer stays because of acuity, not because the department is underperforming. Reading this score in isolation without that context would be misleading.</w:t>
            </w:r>
          </w:p>
          <w:p>
            <w:pPr>
              <w:spacing w:after="40"/>
            </w:pPr>
            <w:r>
              <w:rPr>
                <w:sz w:val="20"/>
                <w:szCs w:val="20"/>
              </w:rPr>
              <w:t xml:space="preserve">Pediatrics and Orthopedics are both missing satisfaction data, so their scores were calculated by re-splitting the weight across the other three components instead of just zeroing that piece out — worth remembering when comparing them side-by-side with departments that do have satisfaction data.</w:t>
            </w:r>
          </w:p>
        </w:tc>
      </w:tr>
    </w:tbl>
    <w:p>
      <w:pPr>
        <w:pStyle w:val="Heading2"/>
        <w:spacing w:after="160" w:before="400"/>
      </w:pPr>
      <w:r>
        <w:rPr>
          <w:b/>
          <w:bCs/>
          <w:color w:val="000000"/>
          <w:sz w:val="26"/>
          <w:szCs w:val="26"/>
        </w:rPr>
        <w:t xml:space="preserve">Summary Table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900"/>
        <w:gridCol w:w="1700"/>
        <w:gridCol w:w="2100"/>
      </w:tblGrid>
      <w:tr>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b/>
                <w:bCs/>
                <w:sz w:val="18"/>
                <w:szCs w:val="18"/>
              </w:rPr>
              <w:t xml:space="preserve">KPI</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b/>
                <w:bCs/>
                <w:sz w:val="18"/>
                <w:szCs w:val="18"/>
              </w:rPr>
              <w:t xml:space="preserve">Formula</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b/>
                <w:bCs/>
                <w:sz w:val="18"/>
                <w:szCs w:val="18"/>
              </w:rPr>
              <w:t xml:space="preserve">Definition</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b/>
                <w:bCs/>
                <w:sz w:val="18"/>
                <w:szCs w:val="18"/>
              </w:rPr>
              <w:t xml:space="preserve">Data Source</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b/>
                <w:bCs/>
                <w:sz w:val="18"/>
                <w:szCs w:val="18"/>
              </w:rPr>
              <w:t xml:space="preserve">Interpretation</w:t>
            </w:r>
          </w:p>
        </w:tc>
      </w:tr>
      <w:tr>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sz w:val="17"/>
                <w:szCs w:val="17"/>
              </w:rPr>
              <w:t xml:space="preserve">Total Admissions</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rFonts w:ascii="Consolas" w:cs="Consolas" w:eastAsia="Consolas" w:hAnsi="Consolas"/>
                <w:sz w:val="17"/>
                <w:szCs w:val="17"/>
              </w:rPr>
              <w:t xml:space="preserve">COUNTD(admission_id)</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sz w:val="17"/>
                <w:szCs w:val="17"/>
              </w:rPr>
              <w:t xml:space="preserve">Count of distinct admission events</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sz w:val="17"/>
                <w:szCs w:val="17"/>
              </w:rPr>
              <w:t xml:space="preserve">hospital_overview_dataset</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sz w:val="17"/>
                <w:szCs w:val="17"/>
              </w:rPr>
              <w:t xml:space="preserve">5.16-day ALOS baseline; 45,000 total admissions</w:t>
            </w:r>
          </w:p>
        </w:tc>
      </w:tr>
      <w:tr>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sz w:val="17"/>
                <w:szCs w:val="17"/>
              </w:rPr>
              <w:t xml:space="preserve">Occupancy Rate</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rFonts w:ascii="Consolas" w:cs="Consolas" w:eastAsia="Consolas" w:hAnsi="Consolas"/>
                <w:sz w:val="17"/>
                <w:szCs w:val="17"/>
              </w:rPr>
              <w:t xml:space="preserve">SUM(occupied_beds_count)/SUM(total_beds)×100</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sz w:val="17"/>
                <w:szCs w:val="17"/>
              </w:rPr>
              <w:t xml:space="preserve">% of beds occupied</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sz w:val="17"/>
                <w:szCs w:val="17"/>
              </w:rPr>
              <w:t xml:space="preserve">department_analytics_dataset</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sz w:val="17"/>
                <w:szCs w:val="17"/>
              </w:rPr>
              <w:t xml:space="preserve">~47.98% overall</w:t>
            </w:r>
          </w:p>
        </w:tc>
      </w:tr>
      <w:tr>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sz w:val="17"/>
                <w:szCs w:val="17"/>
              </w:rPr>
              <w:t xml:space="preserve">Average Length of Stay</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rFonts w:ascii="Consolas" w:cs="Consolas" w:eastAsia="Consolas" w:hAnsi="Consolas"/>
                <w:sz w:val="17"/>
                <w:szCs w:val="17"/>
              </w:rPr>
              <w:t xml:space="preserve">MEAN(discharge_date − admission_date)</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sz w:val="17"/>
                <w:szCs w:val="17"/>
              </w:rPr>
              <w:t xml:space="preserve">Avg. days per admission</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sz w:val="17"/>
                <w:szCs w:val="17"/>
              </w:rPr>
              <w:t xml:space="preserve">hospital_overview_dataset</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sz w:val="17"/>
                <w:szCs w:val="17"/>
              </w:rPr>
              <w:t xml:space="preserve">5.16 days overall; ICU ~10 days (acuity-driven)</w:t>
            </w:r>
          </w:p>
        </w:tc>
      </w:tr>
      <w:tr>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sz w:val="17"/>
                <w:szCs w:val="17"/>
              </w:rPr>
              <w:t xml:space="preserve">Readmission Rate</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rFonts w:ascii="Consolas" w:cs="Consolas" w:eastAsia="Consolas" w:hAnsi="Consolas"/>
                <w:sz w:val="17"/>
                <w:szCs w:val="17"/>
              </w:rPr>
              <w:t xml:space="preserve">COUNT(readmission_flag=1)/COUNT(all admissions)×100 [30-day proxy]</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sz w:val="17"/>
                <w:szCs w:val="17"/>
              </w:rPr>
              <w:t xml:space="preserve">% readmitted within 30 days</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sz w:val="17"/>
                <w:szCs w:val="17"/>
              </w:rPr>
              <w:t xml:space="preserve">hospital_overview_dataset</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sz w:val="17"/>
                <w:szCs w:val="17"/>
              </w:rPr>
              <w:t xml:space="preserve">2.19% overall; quality-of-care indicator</w:t>
            </w:r>
          </w:p>
        </w:tc>
      </w:tr>
      <w:tr>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sz w:val="17"/>
                <w:szCs w:val="17"/>
              </w:rPr>
              <w:t xml:space="preserve">Bed Utilization Rate</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rFonts w:ascii="Consolas" w:cs="Consolas" w:eastAsia="Consolas" w:hAnsi="Consolas"/>
                <w:sz w:val="17"/>
                <w:szCs w:val="17"/>
              </w:rPr>
              <w:t xml:space="preserve">SUM(units_in_use)/SUM(total_units_available)×100 [Bed only]</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sz w:val="17"/>
                <w:szCs w:val="17"/>
              </w:rPr>
              <w:t xml:space="preserve">% of bed resources in use</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sz w:val="17"/>
                <w:szCs w:val="17"/>
              </w:rPr>
              <w:t xml:space="preserve">resource_utilization_dataset</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sz w:val="17"/>
                <w:szCs w:val="17"/>
              </w:rPr>
              <w:t xml:space="preserve">30.28%; mirrors Occupancy Rate (single resource type)</w:t>
            </w:r>
          </w:p>
        </w:tc>
      </w:tr>
      <w:tr>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sz w:val="17"/>
                <w:szCs w:val="17"/>
              </w:rPr>
              <w:t xml:space="preserve">Department Efficiency Score</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rFonts w:ascii="Consolas" w:cs="Consolas" w:eastAsia="Consolas" w:hAnsi="Consolas"/>
                <w:sz w:val="17"/>
                <w:szCs w:val="17"/>
              </w:rPr>
              <w:t xml:space="preserve">30% occupancy + 30% LOS + 25% readmission + 15% satisfaction</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sz w:val="17"/>
                <w:szCs w:val="17"/>
              </w:rPr>
              <w:t xml:space="preserve">Composite 0–100 performance score</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sz w:val="17"/>
                <w:szCs w:val="17"/>
              </w:rPr>
              <w:t xml:space="preserve">department_analytics_dataset</w:t>
            </w:r>
          </w:p>
        </w:tc>
        <w:tc>
          <w:tcPr>
            <w:tcBorders>
              <w:top w:val="single" w:color="000000" w:sz="4"/>
              <w:left w:val="single" w:color="000000" w:sz="4"/>
              <w:bottom w:val="single" w:color="000000" w:sz="4"/>
              <w:right w:val="single" w:color="000000" w:sz="4"/>
            </w:tcBorders>
            <w:tcMar>
              <w:top w:type="dxa" w:w="80"/>
              <w:left w:type="dxa" w:w="90"/>
              <w:bottom w:type="dxa" w:w="80"/>
              <w:right w:type="dxa" w:w="90"/>
            </w:tcMar>
            <w:vAlign w:val="center"/>
          </w:tcPr>
          <w:p>
            <w:r>
              <w:rPr>
                <w:sz w:val="17"/>
                <w:szCs w:val="17"/>
              </w:rPr>
              <w:t xml:space="preserve">Range: 51.97 (ICU) – 81.95 (Orthopedics)</w:t>
            </w:r>
          </w:p>
        </w:tc>
      </w:tr>
    </w:tbl>
    <w:p>
      <w:pPr>
        <w:spacing w:after="0" w:before="240"/>
      </w:pPr>
      <w:r>
        <w:rPr>
          <w:b/>
          <w:bCs/>
          <w:sz w:val="19"/>
          <w:szCs w:val="19"/>
        </w:rPr>
        <w:t xml:space="preserve">Data Validation Summary: </w:t>
      </w:r>
      <w:r>
        <w:rPr>
          <w:sz w:val="19"/>
          <w:szCs w:val="19"/>
        </w:rPr>
        <w:t xml:space="preserve">All major validation checks passed, including uniqueness of admission, movement and resource IDs; valid LOS, occupancy and utilization ranges; consistency of department IDs across datasets; and core-field completeness above 95%. Hospital Overview completeness was 99.84%, while Patient Flow, Department Analytics and Resource Utilization each achieved 100% completeness. A known issue of 1,630 missing patient-age values was documented because some admissions predated available date-of-birth information.</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2026-09-12T13:47:50.053Z</dcterms:created>
  <dcterms:modified xsi:type="dcterms:W3CDTF">2026-09-12T13:47:50.062Z</dcterms:modified>
</cp:coreProperties>
</file>

<file path=docProps/custom.xml><?xml version="1.0" encoding="utf-8"?>
<Properties xmlns="http://schemas.openxmlformats.org/officeDocument/2006/custom-properties" xmlns:vt="http://schemas.openxmlformats.org/officeDocument/2006/docPropsVTypes"/>
</file>