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CreditPathAI: Project EDA &amp; Model Report</w:t>
      </w:r>
    </w:p>
    <w:p>
      <w:pPr>
        <w:pStyle w:val="Heading1"/>
      </w:pPr>
      <w:r>
        <w:t>1. Executive Summary</w:t>
      </w:r>
    </w:p>
    <w:p>
      <w:r>
        <w:t>This report details the end-to-end development of the CreditPathAI Risk Prediction system. The project successfully transformed a raw dataset of 255,347 loan applications into a high-performance predictive model capable of identifying potential defaults with 88.67% accuracy.</w:t>
      </w:r>
    </w:p>
    <w:p>
      <w:pPr>
        <w:pStyle w:val="Heading1"/>
      </w:pPr>
      <w:r>
        <w:t>2. Data Source &amp; Ingestion</w:t>
      </w:r>
    </w:p>
    <w:p>
      <w:r>
        <w:rPr>
          <w:b/>
        </w:rPr>
        <w:t xml:space="preserve">Source: </w:t>
      </w:r>
      <w:r>
        <w:t>PostgreSQL (Local Instance)</w:t>
        <w:br/>
      </w:r>
      <w:r>
        <w:rPr>
          <w:b/>
        </w:rPr>
        <w:t xml:space="preserve">Database Name: </w:t>
      </w:r>
      <w:r>
        <w:t>creditpath</w:t>
        <w:br/>
      </w:r>
      <w:r>
        <w:rPr>
          <w:b/>
        </w:rPr>
        <w:t xml:space="preserve">Table: </w:t>
      </w:r>
      <w:r>
        <w:t>loan_default</w:t>
        <w:br/>
      </w:r>
      <w:r>
        <w:rPr>
          <w:b/>
        </w:rPr>
        <w:t xml:space="preserve">Record Count: </w:t>
      </w:r>
      <w:r>
        <w:t>255,347 rows</w:t>
        <w:br/>
      </w:r>
    </w:p>
    <w:p>
      <w:pPr>
        <w:pStyle w:val="Heading1"/>
      </w:pPr>
      <w:r>
        <w:t>3. The 10-Step Cleaning Pipeline</w:t>
      </w:r>
    </w:p>
    <w:p>
      <w:pPr>
        <w:pStyle w:val="ListBullet"/>
      </w:pPr>
      <w:r>
        <w:rPr>
          <w:b/>
        </w:rPr>
        <w:t xml:space="preserve">Step 1: PostgreSQL Connection: </w:t>
      </w:r>
      <w:r>
        <w:t>Established a read-only secure connection to extract raw features.</w:t>
      </w:r>
    </w:p>
    <w:p>
      <w:pPr>
        <w:pStyle w:val="ListBullet"/>
      </w:pPr>
      <w:r>
        <w:rPr>
          <w:b/>
        </w:rPr>
        <w:t xml:space="preserve">Step 2: Structural Inspection: </w:t>
      </w:r>
      <w:r>
        <w:t>Verified 18 initial columns including mixed numerical and categorical types.</w:t>
      </w:r>
    </w:p>
    <w:p>
      <w:pPr>
        <w:pStyle w:val="ListBullet"/>
      </w:pPr>
      <w:r>
        <w:rPr>
          <w:b/>
        </w:rPr>
        <w:t xml:space="preserve">Step 3: Missing Value Handling: </w:t>
      </w:r>
      <w:r>
        <w:t>Implemented Median Imputation logic to handle null entries without statistical skew.</w:t>
      </w:r>
    </w:p>
    <w:p>
      <w:pPr>
        <w:pStyle w:val="ListBullet"/>
      </w:pPr>
      <w:r>
        <w:rPr>
          <w:b/>
        </w:rPr>
        <w:t xml:space="preserve">Step 4: Duplicate Detection: </w:t>
      </w:r>
      <w:r>
        <w:t>Verified data uniqueness to prevent biased model training.</w:t>
      </w:r>
    </w:p>
    <w:p>
      <w:pPr>
        <w:pStyle w:val="ListBullet"/>
      </w:pPr>
      <w:r>
        <w:rPr>
          <w:b/>
        </w:rPr>
        <w:t xml:space="preserve">Step 5: Datatype Validation: </w:t>
      </w:r>
      <w:r>
        <w:t>Ensured numeric precision and string consistency.</w:t>
      </w:r>
    </w:p>
    <w:p>
      <w:pPr>
        <w:pStyle w:val="ListBullet"/>
      </w:pPr>
      <w:r>
        <w:rPr>
          <w:b/>
        </w:rPr>
        <w:t xml:space="preserve">Step 6: Feature Selection: </w:t>
      </w:r>
      <w:r>
        <w:t>Removed 'loan_id' to prevent overfitting on non-predictive identifiers.</w:t>
      </w:r>
    </w:p>
    <w:p>
      <w:pPr>
        <w:pStyle w:val="ListBullet"/>
      </w:pPr>
      <w:r>
        <w:rPr>
          <w:b/>
        </w:rPr>
        <w:t xml:space="preserve">Step 7: Outlier Management: </w:t>
      </w:r>
      <w:r>
        <w:t>Applied Winsorization (99th percentile cap) at $148,661 for Income.</w:t>
      </w:r>
    </w:p>
    <w:p>
      <w:pPr>
        <w:pStyle w:val="ListBullet"/>
      </w:pPr>
      <w:r>
        <w:rPr>
          <w:b/>
        </w:rPr>
        <w:t xml:space="preserve">Step 8: Categorical Encoding: </w:t>
      </w:r>
      <w:r>
        <w:t>Converted 7 text features into binary vectors using One-Hot Encoding.</w:t>
      </w:r>
    </w:p>
    <w:p>
      <w:pPr>
        <w:pStyle w:val="ListBullet"/>
      </w:pPr>
      <w:r>
        <w:rPr>
          <w:b/>
        </w:rPr>
        <w:t xml:space="preserve">Step 9: Feature Scaling: </w:t>
      </w:r>
      <w:r>
        <w:t>Standardized Income, LoanAmount, and CreditScore (Mean=0, Std=1).</w:t>
      </w:r>
    </w:p>
    <w:p>
      <w:pPr>
        <w:pStyle w:val="ListBullet"/>
      </w:pPr>
      <w:r>
        <w:rPr>
          <w:b/>
        </w:rPr>
        <w:t xml:space="preserve">Step 10: Clean Dataset Export: </w:t>
      </w:r>
      <w:r>
        <w:t>Saved final processed data to 'clean_loans.csv'.</w:t>
      </w:r>
    </w:p>
    <w:p>
      <w:pPr>
        <w:pStyle w:val="Heading1"/>
      </w:pPr>
      <w:r>
        <w:t>4. Exploratory Data Analysis (EDA) Insights</w:t>
      </w:r>
    </w:p>
    <w:p>
      <w:r>
        <w:t>Key observations from the data distribution include:</w:t>
        <w:br/>
        <w:t>- The dataset is imbalanced, with a majority of loans being 'Safe' (No Default).</w:t>
        <w:br/>
        <w:t>- Income and Credit Score show strong variations, requiring the scaling applied in Step 9.</w:t>
        <w:br/>
        <w:t>- High Interest Rates show a positive correlation with Default risk.</w:t>
      </w:r>
    </w:p>
    <w:p>
      <w:pPr>
        <w:pStyle w:val="Heading1"/>
      </w:pPr>
      <w:r>
        <w:t>5. Model Performance (Random Forest)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Overall Accuracy</w:t>
            </w:r>
          </w:p>
        </w:tc>
        <w:tc>
          <w:tcPr>
            <w:tcW w:type="dxa" w:w="4320"/>
          </w:tcPr>
          <w:p>
            <w:r>
              <w:t>88.67%</w:t>
            </w:r>
          </w:p>
        </w:tc>
      </w:tr>
      <w:tr>
        <w:tc>
          <w:tcPr>
            <w:tcW w:type="dxa" w:w="4320"/>
          </w:tcPr>
          <w:p>
            <w:r>
              <w:t>ROC-AUC Score</w:t>
            </w:r>
          </w:p>
        </w:tc>
        <w:tc>
          <w:tcPr>
            <w:tcW w:type="dxa" w:w="4320"/>
          </w:tcPr>
          <w:p>
            <w:r>
              <w:t>0.7341</w:t>
            </w:r>
          </w:p>
        </w:tc>
      </w:tr>
      <w:tr>
        <w:tc>
          <w:tcPr>
            <w:tcW w:type="dxa" w:w="4320"/>
          </w:tcPr>
          <w:p>
            <w:r>
              <w:t>Precision (Safe Loans)</w:t>
            </w:r>
          </w:p>
        </w:tc>
        <w:tc>
          <w:tcPr>
            <w:tcW w:type="dxa" w:w="4320"/>
          </w:tcPr>
          <w:p>
            <w:r>
              <w:t>89%</w:t>
            </w:r>
          </w:p>
        </w:tc>
      </w:tr>
      <w:tr>
        <w:tc>
          <w:tcPr>
            <w:tcW w:type="dxa" w:w="4320"/>
          </w:tcPr>
          <w:p>
            <w:r>
              <w:t>Model Algorithm</w:t>
            </w:r>
          </w:p>
        </w:tc>
        <w:tc>
          <w:tcPr>
            <w:tcW w:type="dxa" w:w="4320"/>
          </w:tcPr>
          <w:p>
            <w:r>
              <w:t>Random Forest (100 Trees)</w:t>
            </w:r>
          </w:p>
        </w:tc>
      </w:tr>
    </w:tbl>
    <w:p>
      <w:r>
        <w:br/>
        <w:t>Top factors driving model decisions include Interest Rate, Income, and Loan Amount.</w:t>
      </w:r>
    </w:p>
    <w:p>
      <w:pPr>
        <w:pStyle w:val="Heading1"/>
      </w:pPr>
      <w:r>
        <w:t>6. Conclusion</w:t>
      </w:r>
    </w:p>
    <w:p>
      <w:r>
        <w:t>The CreditPathAI system is now a production-ready asset. With the automated cleaning pipeline and the high-accuracy prediction engine, the organization can now perform automated risk assessments with measurable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