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60"/>
        <w:jc w:val="left"/>
      </w:pPr>
      <w:r>
        <w:rPr>
          <w:rFonts w:ascii="Arial" w:hAnsi="Arial"/>
          <w:b/>
          <w:color w:val="1A365D"/>
          <w:sz w:val="48"/>
        </w:rPr>
        <w:t>SOFTWARE REQUIREMENTS SPECIFICATION</w:t>
      </w:r>
    </w:p>
    <w:p>
      <w:pPr>
        <w:spacing w:after="2400"/>
      </w:pPr>
      <w:r>
        <w:rPr>
          <w:rFonts w:ascii="Calibri" w:hAnsi="Calibri"/>
          <w:color w:val="2B6CB0"/>
          <w:sz w:val="28"/>
        </w:rPr>
        <w:t>AI Skincare Platform &amp; Multi-Role Assessment System</w:t>
      </w:r>
    </w:p>
    <w:p>
      <w:pPr>
        <w:spacing w:before="800"/>
      </w:pPr>
    </w:p>
    <w:p>
      <w:pPr>
        <w:spacing w:after="80"/>
      </w:pPr>
      <w:r>
        <w:rPr>
          <w:rFonts w:ascii="Calibri" w:hAnsi="Calibri"/>
          <w:b/>
          <w:color w:val="1A365D"/>
          <w:sz w:val="22"/>
        </w:rPr>
        <w:t xml:space="preserve">Project Name: </w:t>
      </w:r>
      <w:r>
        <w:rPr>
          <w:rFonts w:ascii="Calibri" w:hAnsi="Calibri"/>
          <w:color w:val="2D3748"/>
          <w:sz w:val="22"/>
        </w:rPr>
        <w:t>AI Skincare Platform</w:t>
      </w:r>
    </w:p>
    <w:p>
      <w:pPr>
        <w:spacing w:after="80"/>
      </w:pPr>
      <w:r>
        <w:rPr>
          <w:rFonts w:ascii="Calibri" w:hAnsi="Calibri"/>
          <w:b/>
          <w:color w:val="1A365D"/>
          <w:sz w:val="22"/>
        </w:rPr>
        <w:t xml:space="preserve">Project Context: </w:t>
      </w:r>
      <w:r>
        <w:rPr>
          <w:rFonts w:ascii="Calibri" w:hAnsi="Calibri"/>
          <w:color w:val="2D3748"/>
          <w:sz w:val="22"/>
        </w:rPr>
        <w:t>Infosys Springboard Internship Project</w:t>
      </w:r>
    </w:p>
    <w:p>
      <w:pPr>
        <w:spacing w:after="80"/>
      </w:pPr>
      <w:r>
        <w:rPr>
          <w:rFonts w:ascii="Calibri" w:hAnsi="Calibri"/>
          <w:b/>
          <w:color w:val="1A365D"/>
          <w:sz w:val="22"/>
        </w:rPr>
        <w:t xml:space="preserve">Author: </w:t>
      </w:r>
      <w:r>
        <w:rPr>
          <w:rFonts w:ascii="Calibri" w:hAnsi="Calibri"/>
          <w:color w:val="2D3748"/>
          <w:sz w:val="22"/>
        </w:rPr>
        <w:t>Akash Prajapati</w:t>
      </w:r>
    </w:p>
    <w:p>
      <w:pPr>
        <w:spacing w:after="80"/>
      </w:pPr>
      <w:r>
        <w:rPr>
          <w:rFonts w:ascii="Calibri" w:hAnsi="Calibri"/>
          <w:b/>
          <w:color w:val="1A365D"/>
          <w:sz w:val="22"/>
        </w:rPr>
        <w:t xml:space="preserve">Document Status: </w:t>
      </w:r>
      <w:r>
        <w:rPr>
          <w:rFonts w:ascii="Calibri" w:hAnsi="Calibri"/>
          <w:color w:val="2D3748"/>
          <w:sz w:val="22"/>
        </w:rPr>
        <w:t>Verified Implementation Specifications</w:t>
      </w:r>
    </w:p>
    <w:p>
      <w:pPr>
        <w:spacing w:after="80"/>
      </w:pPr>
      <w:r>
        <w:rPr>
          <w:rFonts w:ascii="Calibri" w:hAnsi="Calibri"/>
          <w:b/>
          <w:color w:val="1A365D"/>
          <w:sz w:val="22"/>
        </w:rPr>
        <w:t xml:space="preserve">Version: </w:t>
      </w:r>
      <w:r>
        <w:rPr>
          <w:rFonts w:ascii="Calibri" w:hAnsi="Calibri"/>
          <w:color w:val="2D3748"/>
          <w:sz w:val="22"/>
        </w:rPr>
        <w:t>1.0.0</w:t>
      </w:r>
    </w:p>
    <w:p>
      <w:pPr>
        <w:spacing w:after="80"/>
      </w:pPr>
      <w:r>
        <w:rPr>
          <w:rFonts w:ascii="Calibri" w:hAnsi="Calibri"/>
          <w:b/>
          <w:color w:val="1A365D"/>
          <w:sz w:val="22"/>
        </w:rPr>
        <w:t xml:space="preserve">Date: </w:t>
      </w:r>
      <w:r>
        <w:rPr>
          <w:rFonts w:ascii="Calibri" w:hAnsi="Calibri"/>
          <w:color w:val="2D3748"/>
          <w:sz w:val="22"/>
        </w:rPr>
        <w:t>August 2026</w:t>
      </w:r>
    </w:p>
    <w:p>
      <w:pPr>
        <w:spacing w:after="80"/>
      </w:pPr>
      <w:r>
        <w:rPr>
          <w:rFonts w:ascii="Calibri" w:hAnsi="Calibri"/>
          <w:b/>
          <w:color w:val="1A365D"/>
          <w:sz w:val="22"/>
        </w:rPr>
        <w:t xml:space="preserve">Repository: </w:t>
      </w:r>
      <w:r>
        <w:rPr>
          <w:rFonts w:ascii="Calibri" w:hAnsi="Calibri"/>
          <w:color w:val="2D3748"/>
          <w:sz w:val="22"/>
        </w:rPr>
        <w:t>AI_Skin-Intelligence-Personalized-Skincare-Planner</w:t>
      </w:r>
    </w:p>
    <w:p>
      <w:r>
        <w:br w:type="page"/>
      </w:r>
    </w:p>
    <w:p>
      <w:pPr>
        <w:keepNext/>
        <w:spacing w:before="360" w:after="160"/>
      </w:pPr>
      <w:r>
        <w:rPr>
          <w:rFonts w:ascii="Arial" w:hAnsi="Arial"/>
          <w:b/>
          <w:color w:val="1A365D"/>
          <w:sz w:val="32"/>
        </w:rPr>
        <w:t>1. Executive Summary &amp; Project Overview</w:t>
      </w:r>
    </w:p>
    <w:p>
      <w:pPr>
        <w:spacing w:after="120" w:line="276" w:lineRule="auto"/>
      </w:pPr>
      <w:r>
        <w:rPr>
          <w:rFonts w:ascii="Calibri" w:hAnsi="Calibri"/>
          <w:color w:val="2D3748"/>
          <w:sz w:val="22"/>
        </w:rPr>
        <w:t>This Software Requirements Specification (SRS) documents the detailed functional, non-functional, security, and operational requirements for the AI Skincare Platform, engineered by Akash Prajapati under the Infosys Springboard Internship Project. The application delivers an intelligent, multi-layered digital healthcare and wellness ecosystem designed to assess user skin conditions, track lifestyle health metrics, generate automated skin health scores (0-100), and facilitate structured cross-role consultations between users, skincare consultants, dermatologists, wellness coaches, and system administrators.</w:t>
      </w:r>
    </w:p>
    <w:p>
      <w:pPr>
        <w:spacing w:after="120" w:line="276" w:lineRule="auto"/>
      </w:pPr>
      <w:r>
        <w:rPr>
          <w:rFonts w:ascii="Calibri" w:hAnsi="Calibri"/>
          <w:color w:val="2D3748"/>
          <w:sz w:val="22"/>
        </w:rPr>
        <w:t>The technical implementation combines a React 18 single-page application (SPA) frontend with a three-tier microservice backend architecture comprising a Node.js/Express REST API Gateway, a Python FastAPI Rule-Based Assessment Microservice, a Java 25 Spring Boot Enterprise Application Layer, and a unified PostgreSQL database store.</w:t>
      </w:r>
    </w:p>
    <w:p>
      <w:pPr>
        <w:keepNext/>
        <w:spacing w:before="360" w:after="160"/>
      </w:pPr>
      <w:r>
        <w:rPr>
          <w:rFonts w:ascii="Arial" w:hAnsi="Arial"/>
          <w:b/>
          <w:color w:val="1A365D"/>
          <w:sz w:val="32"/>
        </w:rPr>
        <w:t>2. Problem Statement &amp; Strategic Objectives</w:t>
      </w:r>
    </w:p>
    <w:p>
      <w:pPr>
        <w:keepNext/>
        <w:spacing w:before="280" w:after="120"/>
      </w:pPr>
      <w:r>
        <w:rPr>
          <w:rFonts w:ascii="Arial" w:hAnsi="Arial"/>
          <w:b/>
          <w:color w:val="2B6CB0"/>
          <w:sz w:val="26"/>
        </w:rPr>
        <w:t>2.1 Problem Statement</w:t>
      </w:r>
    </w:p>
    <w:p>
      <w:pPr>
        <w:spacing w:after="120" w:line="276" w:lineRule="auto"/>
      </w:pPr>
      <w:r>
        <w:rPr>
          <w:rFonts w:ascii="Calibri" w:hAnsi="Calibri"/>
          <w:color w:val="2D3748"/>
          <w:sz w:val="22"/>
        </w:rPr>
        <w:t>Personalized skincare and dermatological health tracking are hindered by inconsistent subjective self-evaluations, lack of standardized skin health scoring, and ineffective integration of daily lifestyle variables (water intake, sleep quality, stress levels, UV exposure, smoking, and alcohol consumption). Furthermore, conventional platforms operate in isolation without providing multi-role access control mechanisms connecting individual users directly with certified skincare coaches and clinical dermatologists.</w:t>
      </w:r>
    </w:p>
    <w:p>
      <w:pPr>
        <w:keepNext/>
        <w:spacing w:before="280" w:after="120"/>
      </w:pPr>
      <w:r>
        <w:rPr>
          <w:rFonts w:ascii="Arial" w:hAnsi="Arial"/>
          <w:b/>
          <w:color w:val="2B6CB0"/>
          <w:sz w:val="26"/>
        </w:rPr>
        <w:t>2.2 Core Project Objectives</w:t>
      </w:r>
    </w:p>
    <w:p>
      <w:pPr>
        <w:pStyle w:val="ListBullet"/>
        <w:spacing w:after="80" w:line="276" w:lineRule="auto"/>
      </w:pPr>
      <w:r>
        <w:rPr>
          <w:rFonts w:ascii="Calibri" w:hAnsi="Calibri"/>
          <w:b/>
          <w:color w:val="1A365D"/>
          <w:sz w:val="22"/>
        </w:rPr>
        <w:t xml:space="preserve">Objective 1 (Standardized Evaluation Engine): </w:t>
      </w:r>
      <w:r>
        <w:rPr>
          <w:rFonts w:ascii="Calibri" w:hAnsi="Calibri"/>
          <w:color w:val="2D3748"/>
          <w:sz w:val="22"/>
        </w:rPr>
        <w:t>Build an objective, rule-based computational assessment engine evaluating 15 clinical and lifestyle parameters to compute a normalized 0-100 Skin Health Score, overall condition rating, skin concerns with severity/priority levels, and lifestyle risk factor analyses.</w:t>
      </w:r>
    </w:p>
    <w:p>
      <w:pPr>
        <w:pStyle w:val="ListBullet"/>
        <w:spacing w:after="80" w:line="276" w:lineRule="auto"/>
      </w:pPr>
      <w:r>
        <w:rPr>
          <w:rFonts w:ascii="Calibri" w:hAnsi="Calibri"/>
          <w:b/>
          <w:color w:val="1A365D"/>
          <w:sz w:val="22"/>
        </w:rPr>
        <w:t xml:space="preserve">Objective 2 (Multi-Provider Authentication): </w:t>
      </w:r>
      <w:r>
        <w:rPr>
          <w:rFonts w:ascii="Calibri" w:hAnsi="Calibri"/>
          <w:color w:val="2D3748"/>
          <w:sz w:val="22"/>
        </w:rPr>
        <w:t>Implement robust user authentication supporting local email/password registration with BCrypt password hashing alongside Google OAuth2 single sign-on.</w:t>
      </w:r>
    </w:p>
    <w:p>
      <w:pPr>
        <w:pStyle w:val="ListBullet"/>
        <w:spacing w:after="80" w:line="276" w:lineRule="auto"/>
      </w:pPr>
      <w:r>
        <w:rPr>
          <w:rFonts w:ascii="Calibri" w:hAnsi="Calibri"/>
          <w:b/>
          <w:color w:val="1A365D"/>
          <w:sz w:val="22"/>
        </w:rPr>
        <w:t xml:space="preserve">Objective 3 (Granular Access Control): </w:t>
      </w:r>
      <w:r>
        <w:rPr>
          <w:rFonts w:ascii="Calibri" w:hAnsi="Calibri"/>
          <w:color w:val="2D3748"/>
          <w:sz w:val="22"/>
        </w:rPr>
        <w:t>Enforce strict Role-Based Access Control (RBAC) across five specialized system roles: USER, SKINCARE_CONSULTANT, DERMATOLOGIST, WELLNESS_COACH, and ADMIN.</w:t>
      </w:r>
    </w:p>
    <w:p>
      <w:pPr>
        <w:pStyle w:val="ListBullet"/>
        <w:spacing w:after="80" w:line="276" w:lineRule="auto"/>
      </w:pPr>
      <w:r>
        <w:rPr>
          <w:rFonts w:ascii="Calibri" w:hAnsi="Calibri"/>
          <w:b/>
          <w:color w:val="1A365D"/>
          <w:sz w:val="22"/>
        </w:rPr>
        <w:t xml:space="preserve">Objective 4 (Microservice Interoperability): </w:t>
      </w:r>
      <w:r>
        <w:rPr>
          <w:rFonts w:ascii="Calibri" w:hAnsi="Calibri"/>
          <w:color w:val="2D3748"/>
          <w:sz w:val="22"/>
        </w:rPr>
        <w:t>Integrate a Node.js Express API Gateway on port 5000 that seamlessly proxies assessment requests to a Python FastAPI microservice on port 8000 using HTTP header forwarding and JWT secret key synchronization.</w:t>
      </w:r>
    </w:p>
    <w:p>
      <w:pPr>
        <w:keepNext/>
        <w:spacing w:before="360" w:after="160"/>
      </w:pPr>
      <w:r>
        <w:rPr>
          <w:rFonts w:ascii="Arial" w:hAnsi="Arial"/>
          <w:b/>
          <w:color w:val="1A365D"/>
          <w:sz w:val="32"/>
        </w:rPr>
        <w:t>3. User Roles &amp; Access Permissions Matrix</w:t>
      </w:r>
    </w:p>
    <w:p>
      <w:pPr>
        <w:spacing w:after="120" w:line="276" w:lineRule="auto"/>
      </w:pPr>
      <w:r>
        <w:rPr>
          <w:rFonts w:ascii="Calibri" w:hAnsi="Calibri"/>
          <w:color w:val="2D3748"/>
          <w:sz w:val="22"/>
        </w:rPr>
        <w:t>The system defines five primary user roles, each backed by explicit permission scopes enforced via JWT payload decoding in backend middleware (`roleMiddleware.js`, `SecurityConfig.java`) and frontend route guards (`ProtectedRoute.jsx`).</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2880"/>
            <w:shd w:fill="1A365D"/>
            <w:tcMar>
              <w:top w:w="120" w:type="dxa"/>
              <w:bottom w:w="120" w:type="dxa"/>
              <w:left w:w="150" w:type="dxa"/>
              <w:right w:w="150" w:type="dxa"/>
            </w:tcMar>
          </w:tcPr>
          <w:p>
            <w:pPr>
              <w:jc w:val="left"/>
            </w:pPr>
            <w:r>
              <w:rPr>
                <w:rFonts w:ascii="Arial" w:hAnsi="Arial"/>
                <w:b/>
                <w:color w:val="FFFFFF"/>
                <w:sz w:val="20"/>
              </w:rPr>
              <w:t>User Role</w:t>
            </w:r>
          </w:p>
        </w:tc>
        <w:tc>
          <w:tcPr>
            <w:tcW w:type="dxa" w:w="2592"/>
            <w:shd w:fill="1A365D"/>
            <w:tcMar>
              <w:top w:w="120" w:type="dxa"/>
              <w:bottom w:w="120" w:type="dxa"/>
              <w:left w:w="150" w:type="dxa"/>
              <w:right w:w="150" w:type="dxa"/>
            </w:tcMar>
          </w:tcPr>
          <w:p>
            <w:pPr>
              <w:jc w:val="left"/>
            </w:pPr>
            <w:r>
              <w:rPr>
                <w:rFonts w:ascii="Arial" w:hAnsi="Arial"/>
                <w:b/>
                <w:color w:val="FFFFFF"/>
                <w:sz w:val="20"/>
              </w:rPr>
              <w:t>Dashboard Route</w:t>
            </w:r>
          </w:p>
        </w:tc>
        <w:tc>
          <w:tcPr>
            <w:tcW w:type="dxa" w:w="3888"/>
            <w:shd w:fill="1A365D"/>
            <w:tcMar>
              <w:top w:w="120" w:type="dxa"/>
              <w:bottom w:w="120" w:type="dxa"/>
              <w:left w:w="150" w:type="dxa"/>
              <w:right w:w="150" w:type="dxa"/>
            </w:tcMar>
          </w:tcPr>
          <w:p>
            <w:pPr>
              <w:jc w:val="left"/>
            </w:pPr>
            <w:r>
              <w:rPr>
                <w:rFonts w:ascii="Arial" w:hAnsi="Arial"/>
                <w:b/>
                <w:color w:val="FFFFFF"/>
                <w:sz w:val="20"/>
              </w:rPr>
              <w:t>Permission Scopes &amp; System Capabilities</w:t>
            </w:r>
          </w:p>
        </w:tc>
      </w:tr>
      <w:tr>
        <w:tc>
          <w:tcPr>
            <w:tcW w:type="dxa" w:w="2880"/>
            <w:shd w:fill="FFFFFF"/>
            <w:tcMar>
              <w:top w:w="100" w:type="dxa"/>
              <w:bottom w:w="100" w:type="dxa"/>
              <w:left w:w="150" w:type="dxa"/>
              <w:right w:w="150" w:type="dxa"/>
            </w:tcMar>
          </w:tcPr>
          <w:p>
            <w:pPr>
              <w:jc w:val="left"/>
            </w:pPr>
            <w:r>
              <w:rPr>
                <w:rFonts w:ascii="Calibri" w:hAnsi="Calibri"/>
                <w:color w:val="2D3748"/>
                <w:sz w:val="20"/>
              </w:rPr>
              <w:t>USER</w:t>
            </w:r>
          </w:p>
        </w:tc>
        <w:tc>
          <w:tcPr>
            <w:tcW w:type="dxa" w:w="2592"/>
            <w:shd w:fill="FFFFFF"/>
            <w:tcMar>
              <w:top w:w="100" w:type="dxa"/>
              <w:bottom w:w="100" w:type="dxa"/>
              <w:left w:w="150" w:type="dxa"/>
              <w:right w:w="150" w:type="dxa"/>
            </w:tcMar>
          </w:tcPr>
          <w:p>
            <w:pPr>
              <w:jc w:val="left"/>
            </w:pPr>
            <w:r>
              <w:rPr>
                <w:rFonts w:ascii="Calibri" w:hAnsi="Calibri"/>
                <w:color w:val="2D3748"/>
                <w:sz w:val="20"/>
              </w:rPr>
              <w:t>/user, /assessment, /profile</w:t>
            </w:r>
          </w:p>
        </w:tc>
        <w:tc>
          <w:tcPr>
            <w:tcW w:type="dxa" w:w="3888"/>
            <w:shd w:fill="FFFFFF"/>
            <w:tcMar>
              <w:top w:w="100" w:type="dxa"/>
              <w:bottom w:w="100" w:type="dxa"/>
              <w:left w:w="150" w:type="dxa"/>
              <w:right w:w="150" w:type="dxa"/>
            </w:tcMar>
          </w:tcPr>
          <w:p>
            <w:pPr>
              <w:jc w:val="left"/>
            </w:pPr>
            <w:r>
              <w:rPr>
                <w:rFonts w:ascii="Calibri" w:hAnsi="Calibri"/>
                <w:color w:val="2D3748"/>
                <w:sz w:val="20"/>
              </w:rPr>
              <w:t>Submit AI skin assessments, view personal health score gauge, inspect identified concerns/risks, track assessment history, update profile.</w:t>
            </w:r>
          </w:p>
        </w:tc>
      </w:tr>
      <w:tr>
        <w:tc>
          <w:tcPr>
            <w:tcW w:type="dxa" w:w="2880"/>
            <w:shd w:fill="F7FAFC"/>
            <w:tcMar>
              <w:top w:w="100" w:type="dxa"/>
              <w:bottom w:w="100" w:type="dxa"/>
              <w:left w:w="150" w:type="dxa"/>
              <w:right w:w="150" w:type="dxa"/>
            </w:tcMar>
          </w:tcPr>
          <w:p>
            <w:pPr>
              <w:jc w:val="left"/>
            </w:pPr>
            <w:r>
              <w:rPr>
                <w:rFonts w:ascii="Calibri" w:hAnsi="Calibri"/>
                <w:color w:val="2D3748"/>
                <w:sz w:val="20"/>
              </w:rPr>
              <w:t>SKINCARE_CONSULTANT / CONSULTANT</w:t>
            </w:r>
          </w:p>
        </w:tc>
        <w:tc>
          <w:tcPr>
            <w:tcW w:type="dxa" w:w="2592"/>
            <w:shd w:fill="F7FAFC"/>
            <w:tcMar>
              <w:top w:w="100" w:type="dxa"/>
              <w:bottom w:w="100" w:type="dxa"/>
              <w:left w:w="150" w:type="dxa"/>
              <w:right w:w="150" w:type="dxa"/>
            </w:tcMar>
          </w:tcPr>
          <w:p>
            <w:pPr>
              <w:jc w:val="left"/>
            </w:pPr>
            <w:r>
              <w:rPr>
                <w:rFonts w:ascii="Calibri" w:hAnsi="Calibri"/>
                <w:color w:val="2D3748"/>
                <w:sz w:val="20"/>
              </w:rPr>
              <w:t>/consultant, /profile</w:t>
            </w:r>
          </w:p>
        </w:tc>
        <w:tc>
          <w:tcPr>
            <w:tcW w:type="dxa" w:w="3888"/>
            <w:shd w:fill="F7FAFC"/>
            <w:tcMar>
              <w:top w:w="100" w:type="dxa"/>
              <w:bottom w:w="100" w:type="dxa"/>
              <w:left w:w="150" w:type="dxa"/>
              <w:right w:w="150" w:type="dxa"/>
            </w:tcMar>
          </w:tcPr>
          <w:p>
            <w:pPr>
              <w:jc w:val="left"/>
            </w:pPr>
            <w:r>
              <w:rPr>
                <w:rFonts w:ascii="Calibri" w:hAnsi="Calibri"/>
                <w:color w:val="2D3748"/>
                <w:sz w:val="20"/>
              </w:rPr>
              <w:t>Access assigned client lists, inspect client assessment histories, evaluate AI-generated risk factors, draft personalized skincare routines.</w:t>
            </w:r>
          </w:p>
        </w:tc>
      </w:tr>
      <w:tr>
        <w:tc>
          <w:tcPr>
            <w:tcW w:type="dxa" w:w="2880"/>
            <w:shd w:fill="FFFFFF"/>
            <w:tcMar>
              <w:top w:w="100" w:type="dxa"/>
              <w:bottom w:w="100" w:type="dxa"/>
              <w:left w:w="150" w:type="dxa"/>
              <w:right w:w="150" w:type="dxa"/>
            </w:tcMar>
          </w:tcPr>
          <w:p>
            <w:pPr>
              <w:jc w:val="left"/>
            </w:pPr>
            <w:r>
              <w:rPr>
                <w:rFonts w:ascii="Calibri" w:hAnsi="Calibri"/>
                <w:color w:val="2D3748"/>
                <w:sz w:val="20"/>
              </w:rPr>
              <w:t>DERMATOLOGIST</w:t>
            </w:r>
          </w:p>
        </w:tc>
        <w:tc>
          <w:tcPr>
            <w:tcW w:type="dxa" w:w="2592"/>
            <w:shd w:fill="FFFFFF"/>
            <w:tcMar>
              <w:top w:w="100" w:type="dxa"/>
              <w:bottom w:w="100" w:type="dxa"/>
              <w:left w:w="150" w:type="dxa"/>
              <w:right w:w="150" w:type="dxa"/>
            </w:tcMar>
          </w:tcPr>
          <w:p>
            <w:pPr>
              <w:jc w:val="left"/>
            </w:pPr>
            <w:r>
              <w:rPr>
                <w:rFonts w:ascii="Calibri" w:hAnsi="Calibri"/>
                <w:color w:val="2D3748"/>
                <w:sz w:val="20"/>
              </w:rPr>
              <w:t>/doctor, /profile</w:t>
            </w:r>
          </w:p>
        </w:tc>
        <w:tc>
          <w:tcPr>
            <w:tcW w:type="dxa" w:w="3888"/>
            <w:shd w:fill="FFFFFF"/>
            <w:tcMar>
              <w:top w:w="100" w:type="dxa"/>
              <w:bottom w:w="100" w:type="dxa"/>
              <w:left w:w="150" w:type="dxa"/>
              <w:right w:w="150" w:type="dxa"/>
            </w:tcMar>
          </w:tcPr>
          <w:p>
            <w:pPr>
              <w:jc w:val="left"/>
            </w:pPr>
            <w:r>
              <w:rPr>
                <w:rFonts w:ascii="Calibri" w:hAnsi="Calibri"/>
                <w:color w:val="2D3748"/>
                <w:sz w:val="20"/>
              </w:rPr>
              <w:t>Access clinical patient lists, review severe skin concern reports, record medical diagnoses, write prescriptions, issue clinical treatment notes.</w:t>
            </w:r>
          </w:p>
        </w:tc>
      </w:tr>
      <w:tr>
        <w:tc>
          <w:tcPr>
            <w:tcW w:type="dxa" w:w="2880"/>
            <w:shd w:fill="F7FAFC"/>
            <w:tcMar>
              <w:top w:w="100" w:type="dxa"/>
              <w:bottom w:w="100" w:type="dxa"/>
              <w:left w:w="150" w:type="dxa"/>
              <w:right w:w="150" w:type="dxa"/>
            </w:tcMar>
          </w:tcPr>
          <w:p>
            <w:pPr>
              <w:jc w:val="left"/>
            </w:pPr>
            <w:r>
              <w:rPr>
                <w:rFonts w:ascii="Calibri" w:hAnsi="Calibri"/>
                <w:color w:val="2D3748"/>
                <w:sz w:val="20"/>
              </w:rPr>
              <w:t>WELLNESS_COACH</w:t>
            </w:r>
          </w:p>
        </w:tc>
        <w:tc>
          <w:tcPr>
            <w:tcW w:type="dxa" w:w="2592"/>
            <w:shd w:fill="F7FAFC"/>
            <w:tcMar>
              <w:top w:w="100" w:type="dxa"/>
              <w:bottom w:w="100" w:type="dxa"/>
              <w:left w:w="150" w:type="dxa"/>
              <w:right w:w="150" w:type="dxa"/>
            </w:tcMar>
          </w:tcPr>
          <w:p>
            <w:pPr>
              <w:jc w:val="left"/>
            </w:pPr>
            <w:r>
              <w:rPr>
                <w:rFonts w:ascii="Calibri" w:hAnsi="Calibri"/>
                <w:color w:val="2D3748"/>
                <w:sz w:val="20"/>
              </w:rPr>
              <w:t>/wellness, /profile</w:t>
            </w:r>
          </w:p>
        </w:tc>
        <w:tc>
          <w:tcPr>
            <w:tcW w:type="dxa" w:w="3888"/>
            <w:shd w:fill="F7FAFC"/>
            <w:tcMar>
              <w:top w:w="100" w:type="dxa"/>
              <w:bottom w:w="100" w:type="dxa"/>
              <w:left w:w="150" w:type="dxa"/>
              <w:right w:w="150" w:type="dxa"/>
            </w:tcMar>
          </w:tcPr>
          <w:p>
            <w:pPr>
              <w:jc w:val="left"/>
            </w:pPr>
            <w:r>
              <w:rPr>
                <w:rFonts w:ascii="Calibri" w:hAnsi="Calibri"/>
                <w:color w:val="2D3748"/>
                <w:sz w:val="20"/>
              </w:rPr>
              <w:t>Track client daily activity logs, monitor hydration and sleep hours, issue dietary guidance, recommend lifestyle modifications.</w:t>
            </w:r>
          </w:p>
        </w:tc>
      </w:tr>
      <w:tr>
        <w:tc>
          <w:tcPr>
            <w:tcW w:type="dxa" w:w="2880"/>
            <w:shd w:fill="FFFFFF"/>
            <w:tcMar>
              <w:top w:w="100" w:type="dxa"/>
              <w:bottom w:w="100" w:type="dxa"/>
              <w:left w:w="150" w:type="dxa"/>
              <w:right w:w="150" w:type="dxa"/>
            </w:tcMar>
          </w:tcPr>
          <w:p>
            <w:pPr>
              <w:jc w:val="left"/>
            </w:pPr>
            <w:r>
              <w:rPr>
                <w:rFonts w:ascii="Calibri" w:hAnsi="Calibri"/>
                <w:color w:val="2D3748"/>
                <w:sz w:val="20"/>
              </w:rPr>
              <w:t>ADMIN</w:t>
            </w:r>
          </w:p>
        </w:tc>
        <w:tc>
          <w:tcPr>
            <w:tcW w:type="dxa" w:w="2592"/>
            <w:shd w:fill="FFFFFF"/>
            <w:tcMar>
              <w:top w:w="100" w:type="dxa"/>
              <w:bottom w:w="100" w:type="dxa"/>
              <w:left w:w="150" w:type="dxa"/>
              <w:right w:w="150" w:type="dxa"/>
            </w:tcMar>
          </w:tcPr>
          <w:p>
            <w:pPr>
              <w:jc w:val="left"/>
            </w:pPr>
            <w:r>
              <w:rPr>
                <w:rFonts w:ascii="Calibri" w:hAnsi="Calibri"/>
                <w:color w:val="2D3748"/>
                <w:sz w:val="20"/>
              </w:rPr>
              <w:t>/admin, /user, /assessment...</w:t>
            </w:r>
          </w:p>
        </w:tc>
        <w:tc>
          <w:tcPr>
            <w:tcW w:type="dxa" w:w="3888"/>
            <w:shd w:fill="FFFFFF"/>
            <w:tcMar>
              <w:top w:w="100" w:type="dxa"/>
              <w:bottom w:w="100" w:type="dxa"/>
              <w:left w:w="150" w:type="dxa"/>
              <w:right w:w="150" w:type="dxa"/>
            </w:tcMar>
          </w:tcPr>
          <w:p>
            <w:pPr>
              <w:jc w:val="left"/>
            </w:pPr>
            <w:r>
              <w:rPr>
                <w:rFonts w:ascii="Calibri" w:hAnsi="Calibri"/>
                <w:color w:val="2D3748"/>
                <w:sz w:val="20"/>
              </w:rPr>
              <w:t>Full system administration: inspect global system analytics, manage registered user accounts, update/delete assessments, review audit logs.</w:t>
            </w:r>
          </w:p>
        </w:tc>
      </w:tr>
    </w:tbl>
    <w:p>
      <w:pPr>
        <w:spacing w:after="160"/>
      </w:pPr>
    </w:p>
    <w:p>
      <w:pPr>
        <w:keepNext/>
        <w:spacing w:before="360" w:after="160"/>
      </w:pPr>
      <w:r>
        <w:rPr>
          <w:rFonts w:ascii="Arial" w:hAnsi="Arial"/>
          <w:b/>
          <w:color w:val="1A365D"/>
          <w:sz w:val="32"/>
        </w:rPr>
        <w:t>4. Detailed Functional Requirements</w:t>
      </w:r>
    </w:p>
    <w:p>
      <w:pPr>
        <w:keepNext/>
        <w:spacing w:before="280" w:after="120"/>
      </w:pPr>
      <w:r>
        <w:rPr>
          <w:rFonts w:ascii="Arial" w:hAnsi="Arial"/>
          <w:b/>
          <w:color w:val="2B6CB0"/>
          <w:sz w:val="26"/>
        </w:rPr>
        <w:t>4.1 Authentication &amp; User Management (Module 1)</w:t>
      </w:r>
    </w:p>
    <w:p>
      <w:pPr>
        <w:pStyle w:val="ListBullet"/>
        <w:spacing w:after="80" w:line="276" w:lineRule="auto"/>
      </w:pPr>
      <w:r>
        <w:rPr>
          <w:rFonts w:ascii="Calibri" w:hAnsi="Calibri"/>
          <w:b/>
          <w:color w:val="1A365D"/>
          <w:sz w:val="22"/>
        </w:rPr>
        <w:t xml:space="preserve">FR-AUTH-01 (Registration Validation): </w:t>
      </w:r>
      <w:r>
        <w:rPr>
          <w:rFonts w:ascii="Calibri" w:hAnsi="Calibri"/>
          <w:color w:val="2D3748"/>
          <w:sz w:val="22"/>
        </w:rPr>
        <w:t>The system shall allow new users to register via `POST /api/auth/register` with fields: Full Name, Email, Password, and Phone Number. Email format must be validated via regex; passwords must satisfy strength constraints.</w:t>
      </w:r>
    </w:p>
    <w:p>
      <w:pPr>
        <w:pStyle w:val="ListBullet"/>
        <w:spacing w:after="80" w:line="276" w:lineRule="auto"/>
      </w:pPr>
      <w:r>
        <w:rPr>
          <w:rFonts w:ascii="Calibri" w:hAnsi="Calibri"/>
          <w:b/>
          <w:color w:val="1A365D"/>
          <w:sz w:val="22"/>
        </w:rPr>
        <w:t xml:space="preserve">FR-AUTH-02 (BCrypt Local Login): </w:t>
      </w:r>
      <w:r>
        <w:rPr>
          <w:rFonts w:ascii="Calibri" w:hAnsi="Calibri"/>
          <w:color w:val="2D3748"/>
          <w:sz w:val="22"/>
        </w:rPr>
        <w:t>The system shall authenticate local user credentials via `POST /api/auth/login` by comparing submitted passwords against BCrypt hashes stored in the `users` table. Upon successful match, a 24-hour JWT token containing user ID, email, name, and role shall be issued.</w:t>
      </w:r>
    </w:p>
    <w:p>
      <w:pPr>
        <w:pStyle w:val="ListBullet"/>
        <w:spacing w:after="80" w:line="276" w:lineRule="auto"/>
      </w:pPr>
      <w:r>
        <w:rPr>
          <w:rFonts w:ascii="Calibri" w:hAnsi="Calibri"/>
          <w:b/>
          <w:color w:val="1A365D"/>
          <w:sz w:val="22"/>
        </w:rPr>
        <w:t xml:space="preserve">FR-AUTH-03 (Google OAuth2 Single Sign-On): </w:t>
      </w:r>
      <w:r>
        <w:rPr>
          <w:rFonts w:ascii="Calibri" w:hAnsi="Calibri"/>
          <w:color w:val="2D3748"/>
          <w:sz w:val="22"/>
        </w:rPr>
        <w:t>The system shall support Google OAuth2 authentication via Passport strategy (`GET /api/auth/google`). New Google users shall be automatically provisioned in the `users` table with provider 'GOOGLE'.</w:t>
      </w:r>
    </w:p>
    <w:p>
      <w:pPr>
        <w:pStyle w:val="ListBullet"/>
        <w:spacing w:after="80" w:line="276" w:lineRule="auto"/>
      </w:pPr>
      <w:r>
        <w:rPr>
          <w:rFonts w:ascii="Calibri" w:hAnsi="Calibri"/>
          <w:b/>
          <w:color w:val="1A365D"/>
          <w:sz w:val="22"/>
        </w:rPr>
        <w:t xml:space="preserve">FR-AUTH-04 (User Profile Operations): </w:t>
      </w:r>
      <w:r>
        <w:rPr>
          <w:rFonts w:ascii="Calibri" w:hAnsi="Calibri"/>
          <w:color w:val="2D3748"/>
          <w:sz w:val="22"/>
        </w:rPr>
        <w:t>Authenticated users shall be permitted to fetch (`GET /api/profile`) and modify (`PUT /api/profile`) editable profile fields: Name, Bio, Phone Number, and Profile Picture URL. Role and authentication provider fields shall remain immutable.</w:t>
      </w:r>
    </w:p>
    <w:p>
      <w:pPr>
        <w:keepNext/>
        <w:spacing w:before="280" w:after="120"/>
      </w:pPr>
      <w:r>
        <w:rPr>
          <w:rFonts w:ascii="Arial" w:hAnsi="Arial"/>
          <w:b/>
          <w:color w:val="2B6CB0"/>
          <w:sz w:val="26"/>
        </w:rPr>
        <w:t>4.2 Skin Assessment Engine (Module 3)</w:t>
      </w:r>
    </w:p>
    <w:p>
      <w:pPr>
        <w:pStyle w:val="ListBullet"/>
        <w:spacing w:after="80" w:line="276" w:lineRule="auto"/>
      </w:pPr>
      <w:r>
        <w:rPr>
          <w:rFonts w:ascii="Calibri" w:hAnsi="Calibri"/>
          <w:b/>
          <w:color w:val="1A365D"/>
          <w:sz w:val="22"/>
        </w:rPr>
        <w:t xml:space="preserve">FR-ENGINE-01 (Input Parameter Evaluation): </w:t>
      </w:r>
      <w:r>
        <w:rPr>
          <w:rFonts w:ascii="Calibri" w:hAnsi="Calibri"/>
          <w:color w:val="2D3748"/>
          <w:sz w:val="22"/>
        </w:rPr>
        <w:t>The assessment engine shall process 15 parameters: skin_type, oiliness, dryness, acne, pigmentation, redness, wrinkles, dark_spots, sun_exposure, water_intake, sleep_hours, stress_level, smoking, alcohol, and age.</w:t>
      </w:r>
    </w:p>
    <w:p>
      <w:pPr>
        <w:pStyle w:val="ListBullet"/>
        <w:spacing w:after="80" w:line="276" w:lineRule="auto"/>
      </w:pPr>
      <w:r>
        <w:rPr>
          <w:rFonts w:ascii="Calibri" w:hAnsi="Calibri"/>
          <w:b/>
          <w:color w:val="1A365D"/>
          <w:sz w:val="22"/>
        </w:rPr>
        <w:t xml:space="preserve">FR-ENGINE-02 (Skin Health Score Formula): </w:t>
      </w:r>
      <w:r>
        <w:rPr>
          <w:rFonts w:ascii="Calibri" w:hAnsi="Calibri"/>
          <w:color w:val="2D3748"/>
          <w:sz w:val="22"/>
        </w:rPr>
        <w:t>The engine shall initialize a base score of 100 points and subtract weighted deductions for severity levels of acne, pigmentation, dark spots, redness, wrinkles, high oiliness/dryness, UV exposure, sleep deprivation (&lt;6.0h), dehydration (&lt;1.5L), high stress, smoking, and alcohol.</w:t>
      </w:r>
    </w:p>
    <w:p>
      <w:pPr>
        <w:pStyle w:val="ListBullet"/>
        <w:spacing w:after="80" w:line="276" w:lineRule="auto"/>
      </w:pPr>
      <w:r>
        <w:rPr>
          <w:rFonts w:ascii="Calibri" w:hAnsi="Calibri"/>
          <w:b/>
          <w:color w:val="1A365D"/>
          <w:sz w:val="22"/>
        </w:rPr>
        <w:t xml:space="preserve">FR-ENGINE-03 (Condition Rating Tiers): </w:t>
      </w:r>
      <w:r>
        <w:rPr>
          <w:rFonts w:ascii="Calibri" w:hAnsi="Calibri"/>
          <w:color w:val="2D3748"/>
          <w:sz w:val="22"/>
        </w:rPr>
        <w:t>The computed score shall be categorized into: Excellent (85-100), Good (70-84), Moderate (50-69), and Poor (0-49).</w:t>
      </w:r>
    </w:p>
    <w:p>
      <w:pPr>
        <w:pStyle w:val="ListBullet"/>
        <w:spacing w:after="80" w:line="276" w:lineRule="auto"/>
      </w:pPr>
      <w:r>
        <w:rPr>
          <w:rFonts w:ascii="Calibri" w:hAnsi="Calibri"/>
          <w:b/>
          <w:color w:val="1A365D"/>
          <w:sz w:val="22"/>
        </w:rPr>
        <w:t xml:space="preserve">FR-ENGINE-04 (Concern &amp; Risk Extraction): </w:t>
      </w:r>
      <w:r>
        <w:rPr>
          <w:rFonts w:ascii="Calibri" w:hAnsi="Calibri"/>
          <w:color w:val="2D3748"/>
          <w:sz w:val="22"/>
        </w:rPr>
        <w:t>The engine shall extract specific concerns (e.g., 'Acne Breakouts &amp; Blemishes', 'Dry Skin &amp; Dehydration') with assigned Severity (Low/Medium/High) and Priority (Low/Medium/High/Critical), alongside lifestyle risk factors.</w:t>
      </w:r>
    </w:p>
    <w:p>
      <w:pPr>
        <w:pStyle w:val="ListBullet"/>
        <w:spacing w:after="80" w:line="276" w:lineRule="auto"/>
      </w:pPr>
      <w:r>
        <w:rPr>
          <w:rFonts w:ascii="Calibri" w:hAnsi="Calibri"/>
          <w:b/>
          <w:color w:val="1A365D"/>
          <w:sz w:val="22"/>
        </w:rPr>
        <w:t xml:space="preserve">FR-ENGINE-05 (Assessment CRUD &amp; History): </w:t>
      </w:r>
      <w:r>
        <w:rPr>
          <w:rFonts w:ascii="Calibri" w:hAnsi="Calibri"/>
          <w:color w:val="2D3748"/>
          <w:sz w:val="22"/>
        </w:rPr>
        <w:t>The platform shall support creation (`POST /assessment`), chronological user history retrieval (`GET /assessment/history`), latest score endpoint (`GET /assessment/score`), latest risk endpoint (`GET /assessment/risks`), global stats (`GET /assessment/stats`), and administrative updates/deletions (`PUT/DELETE /assessment/{id}`).</w:t>
      </w:r>
    </w:p>
    <w:p>
      <w:pPr>
        <w:keepNext/>
        <w:spacing w:before="280" w:after="120"/>
      </w:pPr>
      <w:r>
        <w:rPr>
          <w:rFonts w:ascii="Arial" w:hAnsi="Arial"/>
          <w:b/>
          <w:color w:val="2B6CB0"/>
          <w:sz w:val="26"/>
        </w:rPr>
        <w:t>4.3 Microservice API Proxying</w:t>
      </w:r>
    </w:p>
    <w:p>
      <w:pPr>
        <w:pStyle w:val="ListBullet"/>
        <w:spacing w:after="80" w:line="276" w:lineRule="auto"/>
      </w:pPr>
      <w:r>
        <w:rPr>
          <w:rFonts w:ascii="Calibri" w:hAnsi="Calibri"/>
          <w:b/>
          <w:color w:val="1A365D"/>
          <w:sz w:val="22"/>
        </w:rPr>
        <w:t xml:space="preserve">FR-PROXY-01 (Express-FastAPI Forwarding): </w:t>
      </w:r>
      <w:r>
        <w:rPr>
          <w:rFonts w:ascii="Calibri" w:hAnsi="Calibri"/>
          <w:color w:val="2D3748"/>
          <w:sz w:val="22"/>
        </w:rPr>
        <w:t>The Node.js Express server on port 5000 shall intercept all `/api/assessment/*` API calls, attach incoming Authorization Bearer headers, serialize JSON payloads, and proxy requests to Python FastAPI on port 8000.</w:t>
      </w:r>
    </w:p>
    <w:p>
      <w:pPr>
        <w:keepNext/>
        <w:spacing w:before="360" w:after="160"/>
      </w:pPr>
      <w:r>
        <w:rPr>
          <w:rFonts w:ascii="Arial" w:hAnsi="Arial"/>
          <w:b/>
          <w:color w:val="1A365D"/>
          <w:sz w:val="32"/>
        </w:rPr>
        <w:t>5. Non-Functional &amp; Security Requirements</w:t>
      </w:r>
    </w:p>
    <w:p>
      <w:pPr>
        <w:pStyle w:val="ListBullet"/>
        <w:spacing w:after="80" w:line="276" w:lineRule="auto"/>
      </w:pPr>
      <w:r>
        <w:rPr>
          <w:rFonts w:ascii="Calibri" w:hAnsi="Calibri"/>
          <w:b/>
          <w:color w:val="1A365D"/>
          <w:sz w:val="22"/>
        </w:rPr>
        <w:t xml:space="preserve">NFR-SEC-01 (Password Encryption): </w:t>
      </w:r>
      <w:r>
        <w:rPr>
          <w:rFonts w:ascii="Calibri" w:hAnsi="Calibri"/>
          <w:color w:val="2D3748"/>
          <w:sz w:val="22"/>
        </w:rPr>
        <w:t>All user passwords stored locally must be encrypted using BCrypt with a cost factor (salt rounds) of 10.</w:t>
      </w:r>
    </w:p>
    <w:p>
      <w:pPr>
        <w:pStyle w:val="ListBullet"/>
        <w:spacing w:after="80" w:line="276" w:lineRule="auto"/>
      </w:pPr>
      <w:r>
        <w:rPr>
          <w:rFonts w:ascii="Calibri" w:hAnsi="Calibri"/>
          <w:b/>
          <w:color w:val="1A365D"/>
          <w:sz w:val="22"/>
        </w:rPr>
        <w:t xml:space="preserve">NFR-SEC-02 (HTTP Header Protection): </w:t>
      </w:r>
      <w:r>
        <w:rPr>
          <w:rFonts w:ascii="Calibri" w:hAnsi="Calibri"/>
          <w:color w:val="2D3748"/>
          <w:sz w:val="22"/>
        </w:rPr>
        <w:t>Express responses must set security headers (X-Frame-Options, X-Content-Type-Options, X-XSS-Protection) via Helmet middleware.</w:t>
      </w:r>
    </w:p>
    <w:p>
      <w:pPr>
        <w:pStyle w:val="ListBullet"/>
        <w:spacing w:after="80" w:line="276" w:lineRule="auto"/>
      </w:pPr>
      <w:r>
        <w:rPr>
          <w:rFonts w:ascii="Calibri" w:hAnsi="Calibri"/>
          <w:b/>
          <w:color w:val="1A365D"/>
          <w:sz w:val="22"/>
        </w:rPr>
        <w:t xml:space="preserve">NFR-SEC-03 (Stateless Token Validation): </w:t>
      </w:r>
      <w:r>
        <w:rPr>
          <w:rFonts w:ascii="Calibri" w:hAnsi="Calibri"/>
          <w:color w:val="2D3748"/>
          <w:sz w:val="22"/>
        </w:rPr>
        <w:t>Endpoints must validate incoming HTTP Bearer JWT tokens statelessly without database polling on every request.</w:t>
      </w:r>
    </w:p>
    <w:p>
      <w:pPr>
        <w:pStyle w:val="ListBullet"/>
        <w:spacing w:after="80" w:line="276" w:lineRule="auto"/>
      </w:pPr>
      <w:r>
        <w:rPr>
          <w:rFonts w:ascii="Calibri" w:hAnsi="Calibri"/>
          <w:b/>
          <w:color w:val="1A365D"/>
          <w:sz w:val="22"/>
        </w:rPr>
        <w:t xml:space="preserve">NFR-PERF-01 (Sub-50ms Score Execution): </w:t>
      </w:r>
      <w:r>
        <w:rPr>
          <w:rFonts w:ascii="Calibri" w:hAnsi="Calibri"/>
          <w:color w:val="2D3748"/>
          <w:sz w:val="22"/>
        </w:rPr>
        <w:t>The Python FastAPI rule engine evaluation must execute within 50 milliseconds per assessment request.</w:t>
      </w:r>
    </w:p>
    <w:p>
      <w:pPr>
        <w:pStyle w:val="ListBullet"/>
        <w:spacing w:after="80" w:line="276" w:lineRule="auto"/>
      </w:pPr>
      <w:r>
        <w:rPr>
          <w:rFonts w:ascii="Calibri" w:hAnsi="Calibri"/>
          <w:b/>
          <w:color w:val="1A365D"/>
          <w:sz w:val="22"/>
        </w:rPr>
        <w:t xml:space="preserve">NFR-AV-01 (Graceful Gateway Fallback): </w:t>
      </w:r>
      <w:r>
        <w:rPr>
          <w:rFonts w:ascii="Calibri" w:hAnsi="Calibri"/>
          <w:color w:val="2D3748"/>
          <w:sz w:val="22"/>
        </w:rPr>
        <w:t>If Python FastAPI is offline, Express must return HTTP status 503 (Service Unavailable) with a clear JSON error payload indicating backend service startup status.</w:t>
      </w:r>
    </w:p>
    <w:p>
      <w:pPr>
        <w:keepNext/>
        <w:spacing w:before="360" w:after="160"/>
      </w:pPr>
      <w:r>
        <w:rPr>
          <w:rFonts w:ascii="Arial" w:hAnsi="Arial"/>
          <w:b/>
          <w:color w:val="1A365D"/>
          <w:sz w:val="32"/>
        </w:rPr>
        <w:t>6. Implementation Constraints &amp; Operational Assumptions</w:t>
      </w:r>
    </w:p>
    <w:p>
      <w:pPr>
        <w:pStyle w:val="ListBullet"/>
        <w:spacing w:after="80" w:line="276" w:lineRule="auto"/>
      </w:pPr>
      <w:r>
        <w:rPr>
          <w:rFonts w:ascii="Calibri" w:hAnsi="Calibri"/>
          <w:b/>
          <w:color w:val="1A365D"/>
          <w:sz w:val="22"/>
        </w:rPr>
        <w:t xml:space="preserve">Constraint 1 (Database Port): </w:t>
      </w:r>
      <w:r>
        <w:rPr>
          <w:rFonts w:ascii="Calibri" w:hAnsi="Calibri"/>
          <w:color w:val="2D3748"/>
          <w:sz w:val="22"/>
        </w:rPr>
        <w:t>PostgreSQL must run locally on port 7410 with database name `ai_skincare`.</w:t>
      </w:r>
    </w:p>
    <w:p>
      <w:pPr>
        <w:pStyle w:val="ListBullet"/>
        <w:spacing w:after="80" w:line="276" w:lineRule="auto"/>
      </w:pPr>
      <w:r>
        <w:rPr>
          <w:rFonts w:ascii="Calibri" w:hAnsi="Calibri"/>
          <w:b/>
          <w:color w:val="1A365D"/>
          <w:sz w:val="22"/>
        </w:rPr>
        <w:t xml:space="preserve">Constraint 2 (Service Port Map): </w:t>
      </w:r>
      <w:r>
        <w:rPr>
          <w:rFonts w:ascii="Calibri" w:hAnsi="Calibri"/>
          <w:color w:val="2D3748"/>
          <w:sz w:val="22"/>
        </w:rPr>
        <w:t>Express API Gateway operates on port 5000; FastAPI operates on port 8000; Vite dev server operates on port 5173; Spring Boot operates on port 8080.</w:t>
      </w:r>
    </w:p>
    <w:p>
      <w:pPr>
        <w:pStyle w:val="ListBullet"/>
        <w:spacing w:after="80" w:line="276" w:lineRule="auto"/>
      </w:pPr>
      <w:r>
        <w:rPr>
          <w:rFonts w:ascii="Calibri" w:hAnsi="Calibri"/>
          <w:b/>
          <w:color w:val="1A365D"/>
          <w:sz w:val="22"/>
        </w:rPr>
        <w:t xml:space="preserve">Assumption 1 (Shared Secret): </w:t>
      </w:r>
      <w:r>
        <w:rPr>
          <w:rFonts w:ascii="Calibri" w:hAnsi="Calibri"/>
          <w:color w:val="2D3748"/>
          <w:sz w:val="22"/>
        </w:rPr>
        <w:t>The secret string `JWT_SECRET` is shared across Express, Spring Boot, and FastAPI configurations for unified cross-microservice authentication.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8"/>
      </w:rPr>
      <w:t>AI Skincare Platform | Software Requirements Specification | Infosys Springboard Internship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