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60"/>
      </w:pPr>
      <w:r>
        <w:rPr>
          <w:rFonts w:ascii="Calibri" w:hAnsi="Calibri"/>
          <w:b/>
          <w:color w:val="0B2545"/>
          <w:sz w:val="50"/>
        </w:rPr>
        <w:t>SOFTWARE REQUIREMENTS</w:t>
        <w:br/>
        <w:t>SPECIFICATION</w:t>
      </w:r>
    </w:p>
    <w:p>
      <w:pPr>
        <w:spacing w:after="320"/>
      </w:pPr>
      <w:r>
        <w:rPr>
          <w:rFonts w:ascii="Calibri" w:hAnsi="Calibri"/>
          <w:b/>
          <w:color w:val="1F4D78"/>
          <w:sz w:val="30"/>
        </w:rPr>
        <w:t>MarketMind AI - Small Business Sales Intelligence Platform</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8"/>
              </w:rPr>
              <w:t>Document</w:t>
            </w:r>
          </w:p>
        </w:tc>
        <w:tc>
          <w:tcPr>
            <w:tcW w:type="dxa" w:w="69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8"/>
              </w:rPr>
              <w:t>Value</w:t>
            </w:r>
          </w:p>
        </w:tc>
      </w:tr>
      <w:tr>
        <w:tc>
          <w:tcPr>
            <w:tcW w:type="dxa" w:w="2400"/>
            <w:vAlign w:val="center"/>
            <w:tcMar>
              <w:top w:w="80" w:type="dxa"/>
              <w:start w:w="120" w:type="dxa"/>
              <w:bottom w:w="80" w:type="dxa"/>
              <w:end w:w="120" w:type="dxa"/>
            </w:tcMar>
          </w:tcPr>
          <w:p>
            <w:pPr>
              <w:spacing w:before="0" w:after="0" w:line="240" w:lineRule="auto"/>
            </w:pPr>
            <w:r/>
            <w:r>
              <w:rPr>
                <w:rFonts w:ascii="Calibri" w:hAnsi="Calibri"/>
                <w:b w:val="0"/>
                <w:color w:val="0B2545"/>
                <w:sz w:val="18"/>
              </w:rPr>
              <w:t>Document ID</w:t>
            </w:r>
          </w:p>
        </w:tc>
        <w:tc>
          <w:tcPr>
            <w:tcW w:type="dxa" w:w="6960"/>
            <w:vAlign w:val="center"/>
            <w:tcMar>
              <w:top w:w="80" w:type="dxa"/>
              <w:start w:w="120" w:type="dxa"/>
              <w:bottom w:w="80" w:type="dxa"/>
              <w:end w:w="120" w:type="dxa"/>
            </w:tcMar>
          </w:tcPr>
          <w:p>
            <w:pPr>
              <w:spacing w:before="0" w:after="0" w:line="240" w:lineRule="auto"/>
            </w:pPr>
            <w:r/>
            <w:r>
              <w:rPr>
                <w:rFonts w:ascii="Calibri" w:hAnsi="Calibri"/>
                <w:b w:val="0"/>
                <w:color w:val="0B2545"/>
                <w:sz w:val="18"/>
              </w:rPr>
              <w:t>MM-SRS-001</w:t>
            </w:r>
          </w:p>
        </w:tc>
      </w:tr>
      <w:tr>
        <w:tc>
          <w:tcPr>
            <w:tcW w:type="dxa" w:w="2400"/>
            <w:vAlign w:val="center"/>
            <w:tcMar>
              <w:top w:w="80" w:type="dxa"/>
              <w:start w:w="120" w:type="dxa"/>
              <w:bottom w:w="80" w:type="dxa"/>
              <w:end w:w="120" w:type="dxa"/>
            </w:tcMar>
          </w:tcPr>
          <w:p>
            <w:pPr>
              <w:spacing w:before="0" w:after="0" w:line="240" w:lineRule="auto"/>
            </w:pPr>
            <w:r/>
            <w:r>
              <w:rPr>
                <w:rFonts w:ascii="Calibri" w:hAnsi="Calibri"/>
                <w:b w:val="0"/>
                <w:color w:val="0B2545"/>
                <w:sz w:val="18"/>
              </w:rPr>
              <w:t>Version</w:t>
            </w:r>
          </w:p>
        </w:tc>
        <w:tc>
          <w:tcPr>
            <w:tcW w:type="dxa" w:w="6960"/>
            <w:vAlign w:val="center"/>
            <w:tcMar>
              <w:top w:w="80" w:type="dxa"/>
              <w:start w:w="120" w:type="dxa"/>
              <w:bottom w:w="80" w:type="dxa"/>
              <w:end w:w="120" w:type="dxa"/>
            </w:tcMar>
          </w:tcPr>
          <w:p>
            <w:r>
              <w:t>1.1</w:t>
            </w:r>
          </w:p>
        </w:tc>
      </w:tr>
      <w:tr>
        <w:tc>
          <w:tcPr>
            <w:tcW w:type="dxa" w:w="2400"/>
            <w:vAlign w:val="center"/>
            <w:tcMar>
              <w:top w:w="80" w:type="dxa"/>
              <w:start w:w="120" w:type="dxa"/>
              <w:bottom w:w="80" w:type="dxa"/>
              <w:end w:w="120" w:type="dxa"/>
            </w:tcMar>
          </w:tcPr>
          <w:p>
            <w:pPr>
              <w:spacing w:before="0" w:after="0" w:line="240" w:lineRule="auto"/>
            </w:pPr>
            <w:r/>
            <w:r>
              <w:rPr>
                <w:rFonts w:ascii="Calibri" w:hAnsi="Calibri"/>
                <w:b w:val="0"/>
                <w:color w:val="0B2545"/>
                <w:sz w:val="18"/>
              </w:rPr>
              <w:t>Status</w:t>
            </w:r>
          </w:p>
        </w:tc>
        <w:tc>
          <w:tcPr>
            <w:tcW w:type="dxa" w:w="6960"/>
            <w:vAlign w:val="center"/>
            <w:tcMar>
              <w:top w:w="80" w:type="dxa"/>
              <w:start w:w="120" w:type="dxa"/>
              <w:bottom w:w="80" w:type="dxa"/>
              <w:end w:w="120" w:type="dxa"/>
            </w:tcMar>
          </w:tcPr>
          <w:p>
            <w:r>
              <w:t>Implementation-aligned specification: Milestones 1 and 2 complete; Milestones 3 and 4 planned</w:t>
            </w:r>
          </w:p>
        </w:tc>
      </w:tr>
      <w:tr>
        <w:tc>
          <w:tcPr>
            <w:tcW w:type="dxa" w:w="2400"/>
            <w:vAlign w:val="center"/>
            <w:tcMar>
              <w:top w:w="80" w:type="dxa"/>
              <w:start w:w="120" w:type="dxa"/>
              <w:bottom w:w="80" w:type="dxa"/>
              <w:end w:w="120" w:type="dxa"/>
            </w:tcMar>
          </w:tcPr>
          <w:p>
            <w:pPr>
              <w:spacing w:before="0" w:after="0" w:line="240" w:lineRule="auto"/>
            </w:pPr>
            <w:r/>
            <w:r>
              <w:rPr>
                <w:rFonts w:ascii="Calibri" w:hAnsi="Calibri"/>
                <w:b w:val="0"/>
                <w:color w:val="0B2545"/>
                <w:sz w:val="18"/>
              </w:rPr>
              <w:t>Prepared date</w:t>
            </w:r>
          </w:p>
        </w:tc>
        <w:tc>
          <w:tcPr>
            <w:tcW w:type="dxa" w:w="6960"/>
            <w:vAlign w:val="center"/>
            <w:tcMar>
              <w:top w:w="80" w:type="dxa"/>
              <w:start w:w="120" w:type="dxa"/>
              <w:bottom w:w="80" w:type="dxa"/>
              <w:end w:w="120" w:type="dxa"/>
            </w:tcMar>
          </w:tcPr>
          <w:p>
            <w:r>
              <w:t>20 August 2026</w:t>
            </w:r>
          </w:p>
        </w:tc>
      </w:tr>
      <w:tr>
        <w:tc>
          <w:tcPr>
            <w:tcW w:type="dxa" w:w="2400"/>
            <w:vAlign w:val="center"/>
            <w:tcMar>
              <w:top w:w="80" w:type="dxa"/>
              <w:start w:w="120" w:type="dxa"/>
              <w:bottom w:w="80" w:type="dxa"/>
              <w:end w:w="120" w:type="dxa"/>
            </w:tcMar>
          </w:tcPr>
          <w:p>
            <w:pPr>
              <w:spacing w:before="0" w:after="0" w:line="240" w:lineRule="auto"/>
            </w:pPr>
            <w:r/>
            <w:r>
              <w:rPr>
                <w:rFonts w:ascii="Calibri" w:hAnsi="Calibri"/>
                <w:b w:val="0"/>
                <w:color w:val="0B2545"/>
                <w:sz w:val="18"/>
              </w:rPr>
              <w:t>Prepared for</w:t>
            </w:r>
          </w:p>
        </w:tc>
        <w:tc>
          <w:tcPr>
            <w:tcW w:type="dxa" w:w="6960"/>
            <w:vAlign w:val="center"/>
            <w:tcMar>
              <w:top w:w="80" w:type="dxa"/>
              <w:start w:w="120" w:type="dxa"/>
              <w:bottom w:w="80" w:type="dxa"/>
              <w:end w:w="120" w:type="dxa"/>
            </w:tcMar>
          </w:tcPr>
          <w:p>
            <w:pPr>
              <w:spacing w:before="0" w:after="0" w:line="240" w:lineRule="auto"/>
            </w:pPr>
            <w:r/>
            <w:r>
              <w:rPr>
                <w:rFonts w:ascii="Calibri" w:hAnsi="Calibri"/>
                <w:b w:val="0"/>
                <w:color w:val="0B2545"/>
                <w:sz w:val="18"/>
              </w:rPr>
              <w:t>MarketMind AI project stakeholders</w:t>
            </w:r>
          </w:p>
        </w:tc>
      </w:tr>
      <w:tr>
        <w:tc>
          <w:tcPr>
            <w:tcW w:type="dxa" w:w="2400"/>
            <w:vAlign w:val="center"/>
            <w:tcMar>
              <w:top w:w="80" w:type="dxa"/>
              <w:start w:w="120" w:type="dxa"/>
              <w:bottom w:w="80" w:type="dxa"/>
              <w:end w:w="120" w:type="dxa"/>
            </w:tcMar>
          </w:tcPr>
          <w:p>
            <w:pPr>
              <w:spacing w:before="0" w:after="0" w:line="240" w:lineRule="auto"/>
            </w:pPr>
            <w:r/>
            <w:r>
              <w:rPr>
                <w:rFonts w:ascii="Calibri" w:hAnsi="Calibri"/>
                <w:b w:val="0"/>
                <w:color w:val="0B2545"/>
                <w:sz w:val="18"/>
              </w:rPr>
              <w:t>Primary source</w:t>
            </w:r>
          </w:p>
        </w:tc>
        <w:tc>
          <w:tcPr>
            <w:tcW w:type="dxa" w:w="6960"/>
            <w:vAlign w:val="center"/>
            <w:tcMar>
              <w:top w:w="80" w:type="dxa"/>
              <w:start w:w="120" w:type="dxa"/>
              <w:bottom w:w="80" w:type="dxa"/>
              <w:end w:w="120" w:type="dxa"/>
            </w:tcMar>
          </w:tcPr>
          <w:p>
            <w:pPr>
              <w:spacing w:before="0" w:after="0" w:line="240" w:lineRule="auto"/>
            </w:pPr>
            <w:r/>
            <w:r>
              <w:rPr>
                <w:rFonts w:ascii="Calibri" w:hAnsi="Calibri"/>
                <w:b w:val="0"/>
                <w:color w:val="0B2545"/>
                <w:sz w:val="18"/>
              </w:rPr>
              <w:t>AI_Small Business Sales Intelligence Platform.pdf (18 pages)</w:t>
            </w:r>
          </w:p>
        </w:tc>
      </w:tr>
      <w:tr>
        <w:tc>
          <w:tcPr>
            <w:tcW w:type="dxa" w:w="2400"/>
            <w:vAlign w:val="center"/>
            <w:tcMar>
              <w:top w:w="80" w:type="dxa"/>
              <w:start w:w="120" w:type="dxa"/>
              <w:bottom w:w="80" w:type="dxa"/>
              <w:end w:w="120" w:type="dxa"/>
            </w:tcMar>
          </w:tcPr>
          <w:p>
            <w:pPr>
              <w:spacing w:before="0" w:after="0" w:line="240" w:lineRule="auto"/>
            </w:pPr>
            <w:r/>
            <w:r>
              <w:rPr>
                <w:rFonts w:ascii="Calibri" w:hAnsi="Calibri"/>
                <w:b w:val="0"/>
                <w:color w:val="0B2545"/>
                <w:sz w:val="18"/>
              </w:rPr>
              <w:t>Data sources</w:t>
            </w:r>
          </w:p>
        </w:tc>
        <w:tc>
          <w:tcPr>
            <w:tcW w:type="dxa" w:w="6960"/>
            <w:vAlign w:val="center"/>
            <w:tcMar>
              <w:top w:w="80" w:type="dxa"/>
              <w:start w:w="120" w:type="dxa"/>
              <w:bottom w:w="80" w:type="dxa"/>
              <w:end w:w="120" w:type="dxa"/>
            </w:tcMar>
          </w:tcPr>
          <w:p>
            <w:r>
              <w:t>Cleaned sales, inventory and customer datasets; Amazon sales data; train/eval Parquet demand data</w:t>
            </w:r>
          </w:p>
        </w:tc>
      </w:tr>
    </w:tbl>
    <w:p>
      <w:pPr>
        <w:spacing w:after="20"/>
      </w:pPr>
    </w:p>
    <w:p>
      <w:pPr>
        <w:spacing w:before="80" w:after="160" w:line="259" w:lineRule="auto"/>
        <w:ind w:left="173" w:right="173"/>
        <w:shd w:fill="F4F6F9"/>
        <w:pBdr>
          <w:left w:val="single" w:sz="16" w:space="8" w:color="0B2545"/>
        </w:pBdr>
      </w:pPr>
      <w:r>
        <w:rPr>
          <w:rFonts w:ascii="Calibri" w:hAnsi="Calibri"/>
          <w:b/>
          <w:color w:val="0B2545"/>
        </w:rPr>
        <w:t xml:space="preserve">Specification intent: </w:t>
      </w:r>
      <w:r>
        <w:rPr>
          <w:rFonts w:ascii="Calibri" w:hAnsi="Calibri"/>
          <w:color w:val="0B2545"/>
        </w:rPr>
        <w:t>This document converts the supplied concept brief and datasets into testable software, data, AI/ML, security, operational, and acceptance requirements. Items not supported by the supplied datasets are marked as explicit data dependencies.</w:t>
      </w:r>
    </w:p>
    <w:p>
      <w:pPr>
        <w:spacing w:after="120" w:line="264" w:lineRule="auto"/>
      </w:pPr>
      <w:r>
        <w:rPr>
          <w:rFonts w:ascii="Calibri" w:hAnsi="Calibri"/>
          <w:i/>
          <w:color w:val="666666"/>
        </w:rPr>
        <w:t>Confidentiality: Project use. Distribution should be limited to authorized project stakeholders.</w:t>
      </w:r>
    </w:p>
    <w:p>
      <w:r>
        <w:br w:type="page"/>
      </w:r>
    </w:p>
    <w:p>
      <w:pPr>
        <w:pStyle w:val="Heading1"/>
        <w:keepNext/>
        <w:keepLines/>
      </w:pPr>
      <w:r>
        <w:t>Document Control</w:t>
      </w:r>
    </w:p>
    <w:p>
      <w:pPr>
        <w:pStyle w:val="Heading2"/>
        <w:keepNext/>
        <w:keepLines/>
      </w:pPr>
      <w:r>
        <w:t>Revision History</w:t>
      </w:r>
    </w:p>
    <w:tbl>
      <w:tblPr>
        <w:tblStyle w:val="TableGrid"/>
        <w:tblW w:type="dxa" w:w="9360"/>
        <w:jc w:val="left"/>
        <w:tblLayout w:type="fixed"/>
        <w:tblLook w:firstColumn="1" w:firstRow="1" w:lastColumn="0" w:lastRow="0" w:noHBand="0" w:noVBand="1" w:val="04A0"/>
        <w:tblInd w:w="120" w:type="dxa"/>
      </w:tblPr>
      <w:tblGrid>
        <w:gridCol w:w="1100"/>
        <w:gridCol w:w="1450"/>
        <w:gridCol w:w="2500"/>
        <w:gridCol w:w="4310"/>
      </w:tblGrid>
      <w:tr>
        <w:trPr>
          <w:tblHeader w:val="true"/>
        </w:trPr>
        <w:tc>
          <w:tcPr>
            <w:tcW w:type="dxa" w:w="11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Version</w:t>
            </w:r>
          </w:p>
        </w:tc>
        <w:tc>
          <w:tcPr>
            <w:tcW w:type="dxa" w:w="145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Date</w:t>
            </w:r>
          </w:p>
        </w:tc>
        <w:tc>
          <w:tcPr>
            <w:tcW w:type="dxa" w:w="25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Author / Owner</w:t>
            </w:r>
          </w:p>
        </w:tc>
        <w:tc>
          <w:tcPr>
            <w:tcW w:type="dxa" w:w="431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Description</w:t>
            </w:r>
          </w:p>
        </w:tc>
      </w:tr>
      <w:tr>
        <w:tc>
          <w:tcPr>
            <w:tcW w:type="dxa" w:w="1100"/>
            <w:vAlign w:val="center"/>
            <w:tcMar>
              <w:top w:w="80" w:type="dxa"/>
              <w:start w:w="120" w:type="dxa"/>
              <w:bottom w:w="80" w:type="dxa"/>
              <w:end w:w="120" w:type="dxa"/>
            </w:tcMar>
          </w:tcPr>
          <w:p>
            <w:pPr>
              <w:spacing w:before="0" w:after="0" w:line="240" w:lineRule="auto"/>
            </w:pPr>
            <w:r/>
            <w:r>
              <w:rPr>
                <w:rFonts w:ascii="Calibri" w:hAnsi="Calibri"/>
                <w:b w:val="0"/>
                <w:color w:val="0B2545"/>
                <w:sz w:val="17"/>
              </w:rPr>
              <w:t>1.0</w:t>
            </w:r>
          </w:p>
        </w:tc>
        <w:tc>
          <w:tcPr>
            <w:tcW w:type="dxa" w:w="1450"/>
            <w:vAlign w:val="center"/>
            <w:tcMar>
              <w:top w:w="80" w:type="dxa"/>
              <w:start w:w="120" w:type="dxa"/>
              <w:bottom w:w="80" w:type="dxa"/>
              <w:end w:w="120" w:type="dxa"/>
            </w:tcMar>
          </w:tcPr>
          <w:p>
            <w:pPr>
              <w:spacing w:before="0" w:after="0" w:line="240" w:lineRule="auto"/>
            </w:pPr>
            <w:r/>
            <w:r>
              <w:rPr>
                <w:rFonts w:ascii="Calibri" w:hAnsi="Calibri"/>
                <w:b w:val="0"/>
                <w:color w:val="0B2545"/>
                <w:sz w:val="17"/>
              </w:rPr>
              <w:t>25 Jul 2026</w:t>
            </w:r>
          </w:p>
        </w:tc>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7"/>
              </w:rPr>
              <w:t>Project Requirements Team</w:t>
            </w:r>
          </w:p>
        </w:tc>
        <w:tc>
          <w:tcPr>
            <w:tcW w:type="dxa" w:w="4310"/>
            <w:vAlign w:val="center"/>
            <w:tcMar>
              <w:top w:w="80" w:type="dxa"/>
              <w:start w:w="120" w:type="dxa"/>
              <w:bottom w:w="80" w:type="dxa"/>
              <w:end w:w="120" w:type="dxa"/>
            </w:tcMar>
          </w:tcPr>
          <w:p>
            <w:pPr>
              <w:spacing w:before="0" w:after="0" w:line="240" w:lineRule="auto"/>
            </w:pPr>
            <w:r/>
            <w:r>
              <w:rPr>
                <w:rFonts w:ascii="Calibri" w:hAnsi="Calibri"/>
                <w:b w:val="0"/>
                <w:color w:val="0B2545"/>
                <w:sz w:val="17"/>
              </w:rPr>
              <w:t>Initial comprehensive SRS derived from the concept document and supplied Parquet datasets.</w:t>
            </w:r>
          </w:p>
        </w:tc>
      </w:tr>
      <w:tr>
        <w:tc>
          <w:tcPr>
            <w:tcW w:type="dxa" w:w="1100"/>
            <w:vAlign w:val="center"/>
          </w:tcPr>
          <w:p>
            <w:r/>
            <w:r>
              <w:rPr>
                <w:rFonts w:ascii="Aptos" w:hAnsi="Aptos"/>
                <w:b w:val="0"/>
                <w:sz w:val="18"/>
              </w:rPr>
              <w:t>1.1</w:t>
            </w:r>
          </w:p>
        </w:tc>
        <w:tc>
          <w:tcPr>
            <w:tcW w:type="dxa" w:w="1450"/>
            <w:vAlign w:val="center"/>
          </w:tcPr>
          <w:p>
            <w:r/>
            <w:r>
              <w:rPr>
                <w:rFonts w:ascii="Aptos" w:hAnsi="Aptos"/>
                <w:b w:val="0"/>
                <w:sz w:val="18"/>
              </w:rPr>
              <w:t>20 Aug 2026</w:t>
            </w:r>
          </w:p>
        </w:tc>
        <w:tc>
          <w:tcPr>
            <w:tcW w:type="dxa" w:w="2500"/>
            <w:vAlign w:val="center"/>
          </w:tcPr>
          <w:p>
            <w:r/>
            <w:r>
              <w:rPr>
                <w:rFonts w:ascii="Aptos" w:hAnsi="Aptos"/>
                <w:b w:val="0"/>
                <w:sz w:val="18"/>
              </w:rPr>
              <w:t>MarketMind project team</w:t>
            </w:r>
          </w:p>
        </w:tc>
        <w:tc>
          <w:tcPr>
            <w:tcW w:type="dxa" w:w="4310"/>
            <w:vAlign w:val="center"/>
          </w:tcPr>
          <w:p>
            <w:r/>
            <w:r>
              <w:rPr>
                <w:rFonts w:ascii="Aptos" w:hAnsi="Aptos"/>
                <w:b w:val="0"/>
                <w:sz w:val="18"/>
              </w:rPr>
              <w:t>Aligned authentication, onboarding, RBAC, dashboards, data imports, segmentation and forecasting with the implemented application; reserved Milestones 3 and 4 for future delivery.</w:t>
            </w:r>
          </w:p>
        </w:tc>
      </w:tr>
    </w:tbl>
    <w:p>
      <w:pPr>
        <w:spacing w:after="20"/>
      </w:pPr>
    </w:p>
    <w:p>
      <w:pPr>
        <w:pStyle w:val="Heading2"/>
        <w:keepNext/>
        <w:keepLines/>
      </w:pPr>
      <w:r>
        <w:t>Approval Record</w:t>
      </w:r>
    </w:p>
    <w:tbl>
      <w:tblPr>
        <w:tblStyle w:val="TableGrid"/>
        <w:tblW w:type="dxa" w:w="9360"/>
        <w:jc w:val="left"/>
        <w:tblLayout w:type="fixed"/>
        <w:tblLook w:firstColumn="1" w:firstRow="1" w:lastColumn="0" w:lastRow="0" w:noHBand="0" w:noVBand="1" w:val="04A0"/>
        <w:tblInd w:w="120" w:type="dxa"/>
      </w:tblPr>
      <w:tblGrid>
        <w:gridCol w:w="2600"/>
        <w:gridCol w:w="2500"/>
        <w:gridCol w:w="1900"/>
        <w:gridCol w:w="2360"/>
      </w:tblGrid>
      <w:tr>
        <w:trPr>
          <w:tblHeader w:val="true"/>
        </w:trPr>
        <w:tc>
          <w:tcPr>
            <w:tcW w:type="dxa" w:w="26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Role</w:t>
            </w:r>
          </w:p>
        </w:tc>
        <w:tc>
          <w:tcPr>
            <w:tcW w:type="dxa" w:w="25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Name</w:t>
            </w:r>
          </w:p>
        </w:tc>
        <w:tc>
          <w:tcPr>
            <w:tcW w:type="dxa" w:w="19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Decision</w:t>
            </w:r>
          </w:p>
        </w:tc>
        <w:tc>
          <w:tcPr>
            <w:tcW w:type="dxa" w:w="23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Date</w:t>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7"/>
              </w:rPr>
              <w:t>Business Sponsor / Product Owner</w:t>
            </w:r>
          </w:p>
        </w:tc>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7"/>
              </w:rPr>
              <w:t>To be assigned</w:t>
            </w:r>
          </w:p>
        </w:tc>
        <w:tc>
          <w:tcPr>
            <w:tcW w:type="dxa" w:w="1900"/>
            <w:vAlign w:val="center"/>
            <w:tcMar>
              <w:top w:w="80" w:type="dxa"/>
              <w:start w:w="120" w:type="dxa"/>
              <w:bottom w:w="80" w:type="dxa"/>
              <w:end w:w="120" w:type="dxa"/>
            </w:tcMar>
          </w:tcPr>
          <w:p>
            <w:pPr>
              <w:spacing w:before="0" w:after="0" w:line="240" w:lineRule="auto"/>
            </w:pPr>
            <w:r/>
            <w:r>
              <w:rPr>
                <w:rFonts w:ascii="Calibri" w:hAnsi="Calibri"/>
                <w:b w:val="0"/>
                <w:color w:val="0B2545"/>
                <w:sz w:val="17"/>
              </w:rPr>
              <w:t>Pending</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7"/>
              </w:rPr>
              <w:t>Technical Lead</w:t>
            </w:r>
          </w:p>
        </w:tc>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7"/>
              </w:rPr>
              <w:t>To be assigned</w:t>
            </w:r>
          </w:p>
        </w:tc>
        <w:tc>
          <w:tcPr>
            <w:tcW w:type="dxa" w:w="1900"/>
            <w:vAlign w:val="center"/>
            <w:tcMar>
              <w:top w:w="80" w:type="dxa"/>
              <w:start w:w="120" w:type="dxa"/>
              <w:bottom w:w="80" w:type="dxa"/>
              <w:end w:w="120" w:type="dxa"/>
            </w:tcMar>
          </w:tcPr>
          <w:p>
            <w:pPr>
              <w:spacing w:before="0" w:after="0" w:line="240" w:lineRule="auto"/>
            </w:pPr>
            <w:r/>
            <w:r>
              <w:rPr>
                <w:rFonts w:ascii="Calibri" w:hAnsi="Calibri"/>
                <w:b w:val="0"/>
                <w:color w:val="0B2545"/>
                <w:sz w:val="17"/>
              </w:rPr>
              <w:t>Pending</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7"/>
              </w:rPr>
              <w:t>Data Science Lead</w:t>
            </w:r>
          </w:p>
        </w:tc>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7"/>
              </w:rPr>
              <w:t>To be assigned</w:t>
            </w:r>
          </w:p>
        </w:tc>
        <w:tc>
          <w:tcPr>
            <w:tcW w:type="dxa" w:w="1900"/>
            <w:vAlign w:val="center"/>
            <w:tcMar>
              <w:top w:w="80" w:type="dxa"/>
              <w:start w:w="120" w:type="dxa"/>
              <w:bottom w:w="80" w:type="dxa"/>
              <w:end w:w="120" w:type="dxa"/>
            </w:tcMar>
          </w:tcPr>
          <w:p>
            <w:pPr>
              <w:spacing w:before="0" w:after="0" w:line="240" w:lineRule="auto"/>
            </w:pPr>
            <w:r/>
            <w:r>
              <w:rPr>
                <w:rFonts w:ascii="Calibri" w:hAnsi="Calibri"/>
                <w:b w:val="0"/>
                <w:color w:val="0B2545"/>
                <w:sz w:val="17"/>
              </w:rPr>
              <w:t>Pending</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7"/>
              </w:rPr>
              <w:t>Security / Privacy Reviewer</w:t>
            </w:r>
          </w:p>
        </w:tc>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7"/>
              </w:rPr>
              <w:t>To be assigned</w:t>
            </w:r>
          </w:p>
        </w:tc>
        <w:tc>
          <w:tcPr>
            <w:tcW w:type="dxa" w:w="1900"/>
            <w:vAlign w:val="center"/>
            <w:tcMar>
              <w:top w:w="80" w:type="dxa"/>
              <w:start w:w="120" w:type="dxa"/>
              <w:bottom w:w="80" w:type="dxa"/>
              <w:end w:w="120" w:type="dxa"/>
            </w:tcMar>
          </w:tcPr>
          <w:p>
            <w:pPr>
              <w:spacing w:before="0" w:after="0" w:line="240" w:lineRule="auto"/>
            </w:pPr>
            <w:r/>
            <w:r>
              <w:rPr>
                <w:rFonts w:ascii="Calibri" w:hAnsi="Calibri"/>
                <w:b w:val="0"/>
                <w:color w:val="0B2545"/>
                <w:sz w:val="17"/>
              </w:rPr>
              <w:t>Pending</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7"/>
              </w:rPr>
              <w:t>Quality Assurance Lead</w:t>
            </w:r>
          </w:p>
        </w:tc>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7"/>
              </w:rPr>
              <w:t>To be assigned</w:t>
            </w:r>
          </w:p>
        </w:tc>
        <w:tc>
          <w:tcPr>
            <w:tcW w:type="dxa" w:w="1900"/>
            <w:vAlign w:val="center"/>
            <w:tcMar>
              <w:top w:w="80" w:type="dxa"/>
              <w:start w:w="120" w:type="dxa"/>
              <w:bottom w:w="80" w:type="dxa"/>
              <w:end w:w="120" w:type="dxa"/>
            </w:tcMar>
          </w:tcPr>
          <w:p>
            <w:pPr>
              <w:spacing w:before="0" w:after="0" w:line="240" w:lineRule="auto"/>
            </w:pPr>
            <w:r/>
            <w:r>
              <w:rPr>
                <w:rFonts w:ascii="Calibri" w:hAnsi="Calibri"/>
                <w:b w:val="0"/>
                <w:color w:val="0B2545"/>
                <w:sz w:val="17"/>
              </w:rPr>
              <w:t>Pending</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r>
          </w:p>
        </w:tc>
      </w:tr>
    </w:tbl>
    <w:p>
      <w:pPr>
        <w:spacing w:after="20"/>
      </w:pPr>
    </w:p>
    <w:p>
      <w:pPr>
        <w:pStyle w:val="Heading2"/>
        <w:keepNext/>
        <w:keepLines/>
      </w:pPr>
      <w:r>
        <w:t>Requirement Conventions</w:t>
      </w:r>
    </w:p>
    <w:p>
      <w:pPr>
        <w:pStyle w:val="ListBullet"/>
        <w:spacing w:after="80" w:line="264" w:lineRule="auto"/>
      </w:pPr>
      <w:r>
        <w:rPr>
          <w:rFonts w:ascii="Calibri" w:hAnsi="Calibri"/>
          <w:color w:val="0B2545"/>
        </w:rPr>
        <w:t>"Shall" denotes a mandatory, testable requirement.</w:t>
      </w:r>
    </w:p>
    <w:p>
      <w:pPr>
        <w:pStyle w:val="ListBullet"/>
        <w:spacing w:after="80" w:line="264" w:lineRule="auto"/>
      </w:pPr>
      <w:r>
        <w:rPr>
          <w:rFonts w:ascii="Calibri" w:hAnsi="Calibri"/>
          <w:color w:val="0B2545"/>
        </w:rPr>
        <w:t>"Should" denotes a recommended capability that may be deferred only with Product Owner approval.</w:t>
      </w:r>
    </w:p>
    <w:p>
      <w:pPr>
        <w:pStyle w:val="ListBullet"/>
        <w:spacing w:after="80" w:line="264" w:lineRule="auto"/>
      </w:pPr>
      <w:r>
        <w:rPr>
          <w:rFonts w:ascii="Calibri" w:hAnsi="Calibri"/>
          <w:color w:val="0B2545"/>
        </w:rPr>
        <w:t>"May" denotes an optional capability.</w:t>
      </w:r>
    </w:p>
    <w:p>
      <w:pPr>
        <w:pStyle w:val="ListBullet"/>
        <w:spacing w:after="80" w:line="264" w:lineRule="auto"/>
      </w:pPr>
      <w:r>
        <w:rPr>
          <w:rFonts w:ascii="Calibri" w:hAnsi="Calibri"/>
          <w:color w:val="0B2545"/>
        </w:rPr>
        <w:t>All identifiers are stable and shall be retained in implementation, test cases, and change requests.</w:t>
      </w:r>
    </w:p>
    <w:p>
      <w:pPr>
        <w:pStyle w:val="ListBullet"/>
        <w:spacing w:after="80" w:line="264" w:lineRule="auto"/>
      </w:pPr>
      <w:r>
        <w:rPr>
          <w:rFonts w:ascii="Calibri" w:hAnsi="Calibri"/>
          <w:color w:val="0B2545"/>
        </w:rPr>
        <w:t>TBD values are controlled decisions, not permission to omit the requirement.</w:t>
      </w:r>
    </w:p>
    <w:p>
      <w:pPr>
        <w:pStyle w:val="Heading2"/>
        <w:keepNext/>
        <w:keepLines/>
      </w:pPr>
      <w:r>
        <w:t>Source-to-SRS Mapping</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trPr>
        <w:tc>
          <w:tcPr>
            <w:tcW w:type="dxa" w:w="245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Source</w:t>
            </w:r>
          </w:p>
        </w:tc>
        <w:tc>
          <w:tcPr>
            <w:tcW w:type="dxa" w:w="691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Coverage in this SRS</w:t>
            </w:r>
          </w:p>
        </w:tc>
      </w:tr>
      <w:tr>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7"/>
              </w:rPr>
              <w:t>PDF pp. 1-5</w:t>
            </w:r>
          </w:p>
        </w:tc>
        <w:tc>
          <w:tcPr>
            <w:tcW w:type="dxa" w:w="6910"/>
            <w:vAlign w:val="center"/>
            <w:tcMar>
              <w:top w:w="80" w:type="dxa"/>
              <w:start w:w="120" w:type="dxa"/>
              <w:bottom w:w="80" w:type="dxa"/>
              <w:end w:w="120" w:type="dxa"/>
            </w:tcMar>
          </w:tcPr>
          <w:p>
            <w:pPr>
              <w:spacing w:before="0" w:after="0" w:line="240" w:lineRule="auto"/>
            </w:pPr>
            <w:r/>
            <w:r>
              <w:rPr>
                <w:rFonts w:ascii="Calibri" w:hAnsi="Calibri"/>
                <w:b w:val="0"/>
                <w:color w:val="0B2545"/>
                <w:sz w:val="17"/>
              </w:rPr>
              <w:t>Objectives, outcomes, user roles, responsibilities, permissions, and RBAC.</w:t>
            </w:r>
          </w:p>
        </w:tc>
      </w:tr>
      <w:tr>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7"/>
              </w:rPr>
              <w:t>PDF pp. 5-11</w:t>
            </w:r>
          </w:p>
        </w:tc>
        <w:tc>
          <w:tcPr>
            <w:tcW w:type="dxa" w:w="6910"/>
            <w:vAlign w:val="center"/>
            <w:tcMar>
              <w:top w:w="80" w:type="dxa"/>
              <w:start w:w="120" w:type="dxa"/>
              <w:bottom w:w="80" w:type="dxa"/>
              <w:end w:w="120" w:type="dxa"/>
            </w:tcMar>
          </w:tcPr>
          <w:p>
            <w:pPr>
              <w:spacing w:before="0" w:after="0" w:line="240" w:lineRule="auto"/>
            </w:pPr>
            <w:r/>
            <w:r>
              <w:rPr>
                <w:rFonts w:ascii="Calibri" w:hAnsi="Calibri"/>
                <w:b w:val="0"/>
                <w:color w:val="0B2545"/>
                <w:sz w:val="17"/>
              </w:rPr>
              <w:t>Sales upload, inventory, invoicing, AI modules, dashboards, and implementation concepts.</w:t>
            </w:r>
          </w:p>
        </w:tc>
      </w:tr>
      <w:tr>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7"/>
              </w:rPr>
              <w:t>PDF pp. 12-15</w:t>
            </w:r>
          </w:p>
        </w:tc>
        <w:tc>
          <w:tcPr>
            <w:tcW w:type="dxa" w:w="6910"/>
            <w:vAlign w:val="center"/>
            <w:tcMar>
              <w:top w:w="80" w:type="dxa"/>
              <w:start w:w="120" w:type="dxa"/>
              <w:bottom w:w="80" w:type="dxa"/>
              <w:end w:w="120" w:type="dxa"/>
            </w:tcMar>
          </w:tcPr>
          <w:p>
            <w:pPr>
              <w:spacing w:before="0" w:after="0" w:line="240" w:lineRule="auto"/>
            </w:pPr>
            <w:r/>
            <w:r>
              <w:rPr>
                <w:rFonts w:ascii="Calibri" w:hAnsi="Calibri"/>
                <w:b w:val="0"/>
                <w:color w:val="0B2545"/>
                <w:sz w:val="17"/>
              </w:rPr>
              <w:t>Eight-week milestone plan, outcomes, and evaluation checkpoints.</w:t>
            </w:r>
          </w:p>
        </w:tc>
      </w:tr>
      <w:tr>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7"/>
              </w:rPr>
              <w:t>PDF pp. 15-17</w:t>
            </w:r>
          </w:p>
        </w:tc>
        <w:tc>
          <w:tcPr>
            <w:tcW w:type="dxa" w:w="6910"/>
            <w:vAlign w:val="center"/>
            <w:tcMar>
              <w:top w:w="80" w:type="dxa"/>
              <w:start w:w="120" w:type="dxa"/>
              <w:bottom w:w="80" w:type="dxa"/>
              <w:end w:w="120" w:type="dxa"/>
            </w:tcMar>
          </w:tcPr>
          <w:p>
            <w:pPr>
              <w:spacing w:before="0" w:after="0" w:line="240" w:lineRule="auto"/>
            </w:pPr>
            <w:r/>
            <w:r>
              <w:rPr>
                <w:rFonts w:ascii="Calibri" w:hAnsi="Calibri"/>
                <w:b w:val="0"/>
                <w:color w:val="0B2545"/>
                <w:sz w:val="17"/>
              </w:rPr>
              <w:t>Technology stack, deployment tools, and quantitative ML metrics.</w:t>
            </w:r>
          </w:p>
        </w:tc>
      </w:tr>
      <w:tr>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7"/>
              </w:rPr>
              <w:t>train.parquet / eval.parquet</w:t>
            </w:r>
          </w:p>
        </w:tc>
        <w:tc>
          <w:tcPr>
            <w:tcW w:type="dxa" w:w="6910"/>
            <w:vAlign w:val="center"/>
            <w:tcMar>
              <w:top w:w="80" w:type="dxa"/>
              <w:start w:w="120" w:type="dxa"/>
              <w:bottom w:w="80" w:type="dxa"/>
              <w:end w:w="120" w:type="dxa"/>
            </w:tcMar>
          </w:tcPr>
          <w:p>
            <w:pPr>
              <w:spacing w:before="0" w:after="0" w:line="240" w:lineRule="auto"/>
            </w:pPr>
            <w:r/>
            <w:r>
              <w:rPr>
                <w:rFonts w:ascii="Calibri" w:hAnsi="Calibri"/>
                <w:b w:val="0"/>
                <w:color w:val="0B2545"/>
                <w:sz w:val="17"/>
              </w:rPr>
              <w:t>Observed schema, scale, field ranges, ingestion contract, model feature constraints, and data gaps.</w:t>
            </w:r>
          </w:p>
        </w:tc>
      </w:tr>
    </w:tbl>
    <w:p>
      <w:pPr>
        <w:spacing w:after="20"/>
      </w:pPr>
    </w:p>
    <w:p>
      <w:r>
        <w:br w:type="page"/>
      </w:r>
    </w:p>
    <w:p>
      <w:pPr>
        <w:pStyle w:val="Heading1"/>
        <w:keepNext/>
        <w:keepLines/>
      </w:pPr>
      <w:r>
        <w:t>Table of Contents</w:t>
      </w:r>
    </w:p>
    <w:p>
      <w:r>
        <w:rPr>
          <w:rFonts w:ascii="Calibri" w:hAnsi="Calibri"/>
          <w:sz w:val="20"/>
        </w:rPr>
        <w:fldChar w:fldCharType="begin"/>
        <w:instrText xml:space="preserve">TOC \o "1-3" \h \z \u</w:instrText>
        <w:fldChar w:fldCharType="separate"/>
        <w:t>1</w:t>
        <w:fldChar w:fldCharType="end"/>
      </w:r>
    </w:p>
    <w:p>
      <w:r>
        <w:br w:type="page"/>
      </w:r>
    </w:p>
    <w:p>
      <w:pPr>
        <w:pStyle w:val="Heading1"/>
        <w:keepNext/>
        <w:keepLines/>
      </w:pPr>
      <w:r>
        <w:t>1. Introduction</w:t>
      </w:r>
    </w:p>
    <w:p>
      <w:pPr>
        <w:pStyle w:val="Heading2"/>
        <w:keepNext/>
        <w:keepLines/>
      </w:pPr>
      <w:r>
        <w:t>1.1 Purpose</w:t>
      </w:r>
    </w:p>
    <w:p>
      <w:pPr>
        <w:spacing w:after="120" w:line="264" w:lineRule="auto"/>
      </w:pPr>
      <w:r>
        <w:rPr>
          <w:rFonts w:ascii="Calibri" w:hAnsi="Calibri"/>
          <w:i w:val="0"/>
          <w:color w:val="0B2545"/>
        </w:rPr>
        <w:t>This SRS defines the complete functional and non-functional baseline for MarketMind AI, a multi-user sales intelligence platform for small and medium retail businesses. It is intended to guide product design, architecture, implementation, AI model development, testing, deployment, operations, security review, and user acceptance.</w:t>
      </w:r>
    </w:p>
    <w:p>
      <w:pPr>
        <w:pStyle w:val="Heading2"/>
        <w:keepNext/>
        <w:keepLines/>
      </w:pPr>
      <w:r>
        <w:t>1.2 Product Scope</w:t>
      </w:r>
    </w:p>
    <w:p>
      <w:pPr>
        <w:spacing w:after="120" w:line="264" w:lineRule="auto"/>
      </w:pPr>
      <w:r>
        <w:rPr>
          <w:rFonts w:ascii="Calibri" w:hAnsi="Calibri"/>
          <w:i w:val="0"/>
          <w:color w:val="0B2545"/>
        </w:rPr>
        <w:t>MarketMind AI shall allow authorized users to ingest and manage sales data; monitor revenue, transactions, inventory, invoices, customers, and payments; obtain forecasts, customer segments, churn risk, recommendations, and anomaly alerts; and export operational and analytical reports. The platform shall support multiple stores and, if productized as a SaaS offering, multiple logically isolated business tenants.</w:t>
      </w:r>
      <w:r>
        <w:t xml:space="preserve"> In revision 1.1, forecasting and customer segmentation are implemented; churn prediction, product recommendations and formal ML anomaly detection remain planned for Milestone 3.</w:t>
      </w:r>
    </w:p>
    <w:p>
      <w:pPr>
        <w:pStyle w:val="ListBullet"/>
        <w:spacing w:after="80" w:line="264" w:lineRule="auto"/>
      </w:pPr>
      <w:r>
        <w:rPr>
          <w:rFonts w:ascii="Calibri" w:hAnsi="Calibri"/>
          <w:color w:val="0B2545"/>
        </w:rPr>
        <w:t>Target organizations: retail stores, supermarkets, startups, and small enterprises.</w:t>
      </w:r>
    </w:p>
    <w:p>
      <w:pPr>
        <w:pStyle w:val="ListBullet"/>
        <w:spacing w:after="80" w:line="264" w:lineRule="auto"/>
      </w:pPr>
      <w:r>
        <w:rPr>
          <w:rFonts w:ascii="Calibri" w:hAnsi="Calibri"/>
          <w:color w:val="0B2545"/>
        </w:rPr>
        <w:t>Primary value: faster, evidence-based decisions and improved sales, retention, stock availability, and profitability.</w:t>
      </w:r>
    </w:p>
    <w:p>
      <w:pPr>
        <w:pStyle w:val="ListBullet"/>
        <w:spacing w:after="80" w:line="264" w:lineRule="auto"/>
      </w:pPr>
      <w:r>
        <w:rPr>
          <w:rFonts w:ascii="Calibri" w:hAnsi="Calibri"/>
          <w:color w:val="0B2545"/>
        </w:rPr>
        <w:t>Delivery form: responsive web application with REST APIs, asynchronous analytics jobs, relational operational storage, analytical/model artifacts, and containerized deployment.</w:t>
      </w:r>
    </w:p>
    <w:p>
      <w:pPr>
        <w:pStyle w:val="Heading2"/>
        <w:keepNext/>
        <w:keepLines/>
      </w:pPr>
      <w:r>
        <w:t>1.3 Business Objectives and Success Outcomes</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Objective</w:t>
            </w:r>
          </w:p>
        </w:tc>
        <w:tc>
          <w:tcPr>
            <w:tcW w:type="dxa" w:w="59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Success indicator</w:t>
            </w:r>
          </w:p>
        </w:tc>
      </w:tr>
      <w:tr>
        <w:tc>
          <w:tcPr>
            <w:tcW w:type="dxa" w:w="3400"/>
            <w:vAlign w:val="center"/>
            <w:tcMar>
              <w:top w:w="80" w:type="dxa"/>
              <w:start w:w="120" w:type="dxa"/>
              <w:bottom w:w="80" w:type="dxa"/>
              <w:end w:w="120" w:type="dxa"/>
            </w:tcMar>
          </w:tcPr>
          <w:p>
            <w:pPr>
              <w:spacing w:before="0" w:after="0" w:line="240" w:lineRule="auto"/>
            </w:pPr>
            <w:r/>
            <w:r>
              <w:rPr>
                <w:rFonts w:ascii="Calibri" w:hAnsi="Calibri"/>
                <w:b w:val="0"/>
                <w:color w:val="0B2545"/>
                <w:sz w:val="17"/>
              </w:rPr>
              <w:t>Centralize business data</w:t>
            </w:r>
          </w:p>
        </w:tc>
        <w:tc>
          <w:tcPr>
            <w:tcW w:type="dxa" w:w="5960"/>
            <w:vAlign w:val="center"/>
            <w:tcMar>
              <w:top w:w="80" w:type="dxa"/>
              <w:start w:w="120" w:type="dxa"/>
              <w:bottom w:w="80" w:type="dxa"/>
              <w:end w:w="120" w:type="dxa"/>
            </w:tcMar>
          </w:tcPr>
          <w:p>
            <w:pPr>
              <w:spacing w:before="0" w:after="0" w:line="240" w:lineRule="auto"/>
            </w:pPr>
            <w:r/>
            <w:r>
              <w:rPr>
                <w:rFonts w:ascii="Calibri" w:hAnsi="Calibri"/>
                <w:b w:val="0"/>
                <w:color w:val="0B2545"/>
                <w:sz w:val="17"/>
              </w:rPr>
              <w:t>Validated sales, product, inventory, customer, and invoice records are accessible under role-based permissions.</w:t>
            </w:r>
          </w:p>
        </w:tc>
      </w:tr>
      <w:tr>
        <w:tc>
          <w:tcPr>
            <w:tcW w:type="dxa" w:w="3400"/>
            <w:vAlign w:val="center"/>
            <w:tcMar>
              <w:top w:w="80" w:type="dxa"/>
              <w:start w:w="120" w:type="dxa"/>
              <w:bottom w:w="80" w:type="dxa"/>
              <w:end w:w="120" w:type="dxa"/>
            </w:tcMar>
          </w:tcPr>
          <w:p>
            <w:pPr>
              <w:spacing w:before="0" w:after="0" w:line="240" w:lineRule="auto"/>
            </w:pPr>
            <w:r/>
            <w:r>
              <w:rPr>
                <w:rFonts w:ascii="Calibri" w:hAnsi="Calibri"/>
                <w:b w:val="0"/>
                <w:color w:val="0B2545"/>
                <w:sz w:val="17"/>
              </w:rPr>
              <w:t>Improve sales visibility</w:t>
            </w:r>
          </w:p>
        </w:tc>
        <w:tc>
          <w:tcPr>
            <w:tcW w:type="dxa" w:w="5960"/>
            <w:vAlign w:val="center"/>
            <w:tcMar>
              <w:top w:w="80" w:type="dxa"/>
              <w:start w:w="120" w:type="dxa"/>
              <w:bottom w:w="80" w:type="dxa"/>
              <w:end w:w="120" w:type="dxa"/>
            </w:tcMar>
          </w:tcPr>
          <w:p>
            <w:pPr>
              <w:spacing w:before="0" w:after="0" w:line="240" w:lineRule="auto"/>
            </w:pPr>
            <w:r/>
            <w:r>
              <w:rPr>
                <w:rFonts w:ascii="Calibri" w:hAnsi="Calibri"/>
                <w:b w:val="0"/>
                <w:color w:val="0B2545"/>
                <w:sz w:val="17"/>
              </w:rPr>
              <w:t>Dashboards show consistent KPIs with traceable definitions and drill-downs.</w:t>
            </w:r>
          </w:p>
        </w:tc>
      </w:tr>
      <w:tr>
        <w:tc>
          <w:tcPr>
            <w:tcW w:type="dxa" w:w="3400"/>
            <w:vAlign w:val="center"/>
            <w:tcMar>
              <w:top w:w="80" w:type="dxa"/>
              <w:start w:w="120" w:type="dxa"/>
              <w:bottom w:w="80" w:type="dxa"/>
              <w:end w:w="120" w:type="dxa"/>
            </w:tcMar>
          </w:tcPr>
          <w:p>
            <w:pPr>
              <w:spacing w:before="0" w:after="0" w:line="240" w:lineRule="auto"/>
            </w:pPr>
            <w:r/>
            <w:r>
              <w:rPr>
                <w:rFonts w:ascii="Calibri" w:hAnsi="Calibri"/>
                <w:b w:val="0"/>
                <w:color w:val="0B2545"/>
                <w:sz w:val="17"/>
              </w:rPr>
              <w:t>Predict demand and revenue</w:t>
            </w:r>
          </w:p>
        </w:tc>
        <w:tc>
          <w:tcPr>
            <w:tcW w:type="dxa" w:w="5960"/>
            <w:vAlign w:val="center"/>
            <w:tcMar>
              <w:top w:w="80" w:type="dxa"/>
              <w:start w:w="120" w:type="dxa"/>
              <w:bottom w:w="80" w:type="dxa"/>
              <w:end w:w="120" w:type="dxa"/>
            </w:tcMar>
          </w:tcPr>
          <w:p>
            <w:pPr>
              <w:spacing w:before="0" w:after="0" w:line="240" w:lineRule="auto"/>
            </w:pPr>
            <w:r/>
            <w:r>
              <w:rPr>
                <w:rFonts w:ascii="Calibri" w:hAnsi="Calibri"/>
                <w:b w:val="0"/>
                <w:color w:val="0B2545"/>
                <w:sz w:val="17"/>
              </w:rPr>
              <w:t>Time-aware forecasts are generated, evaluated, versioned, and exposed with uncertainty.</w:t>
            </w:r>
          </w:p>
        </w:tc>
      </w:tr>
      <w:tr>
        <w:tc>
          <w:tcPr>
            <w:tcW w:type="dxa" w:w="3400"/>
            <w:vAlign w:val="center"/>
            <w:tcMar>
              <w:top w:w="80" w:type="dxa"/>
              <w:start w:w="120" w:type="dxa"/>
              <w:bottom w:w="80" w:type="dxa"/>
              <w:end w:w="120" w:type="dxa"/>
            </w:tcMar>
          </w:tcPr>
          <w:p>
            <w:pPr>
              <w:spacing w:before="0" w:after="0" w:line="240" w:lineRule="auto"/>
            </w:pPr>
            <w:r/>
            <w:r>
              <w:rPr>
                <w:rFonts w:ascii="Calibri" w:hAnsi="Calibri"/>
                <w:b w:val="0"/>
                <w:color w:val="0B2545"/>
                <w:sz w:val="17"/>
              </w:rPr>
              <w:t>Improve retention</w:t>
            </w:r>
          </w:p>
        </w:tc>
        <w:tc>
          <w:tcPr>
            <w:tcW w:type="dxa" w:w="5960"/>
            <w:vAlign w:val="center"/>
            <w:tcMar>
              <w:top w:w="80" w:type="dxa"/>
              <w:start w:w="120" w:type="dxa"/>
              <w:bottom w:w="80" w:type="dxa"/>
              <w:end w:w="120" w:type="dxa"/>
            </w:tcMar>
          </w:tcPr>
          <w:p>
            <w:pPr>
              <w:spacing w:before="0" w:after="0" w:line="240" w:lineRule="auto"/>
            </w:pPr>
            <w:r/>
            <w:r>
              <w:rPr>
                <w:rFonts w:ascii="Calibri" w:hAnsi="Calibri"/>
                <w:b w:val="0"/>
                <w:color w:val="0B2545"/>
                <w:sz w:val="17"/>
              </w:rPr>
              <w:t>Eligible customers receive churn scores, risk bands, explanations, and recommended actions.</w:t>
            </w:r>
          </w:p>
        </w:tc>
      </w:tr>
      <w:tr>
        <w:tc>
          <w:tcPr>
            <w:tcW w:type="dxa" w:w="3400"/>
            <w:vAlign w:val="center"/>
            <w:tcMar>
              <w:top w:w="80" w:type="dxa"/>
              <w:start w:w="120" w:type="dxa"/>
              <w:bottom w:w="80" w:type="dxa"/>
              <w:end w:w="120" w:type="dxa"/>
            </w:tcMar>
          </w:tcPr>
          <w:p>
            <w:pPr>
              <w:spacing w:before="0" w:after="0" w:line="240" w:lineRule="auto"/>
            </w:pPr>
            <w:r/>
            <w:r>
              <w:rPr>
                <w:rFonts w:ascii="Calibri" w:hAnsi="Calibri"/>
                <w:b w:val="0"/>
                <w:color w:val="0B2545"/>
                <w:sz w:val="17"/>
              </w:rPr>
              <w:t>Increase basket value</w:t>
            </w:r>
          </w:p>
        </w:tc>
        <w:tc>
          <w:tcPr>
            <w:tcW w:type="dxa" w:w="5960"/>
            <w:vAlign w:val="center"/>
            <w:tcMar>
              <w:top w:w="80" w:type="dxa"/>
              <w:start w:w="120" w:type="dxa"/>
              <w:bottom w:w="80" w:type="dxa"/>
              <w:end w:w="120" w:type="dxa"/>
            </w:tcMar>
          </w:tcPr>
          <w:p>
            <w:pPr>
              <w:spacing w:before="0" w:after="0" w:line="240" w:lineRule="auto"/>
            </w:pPr>
            <w:r/>
            <w:r>
              <w:rPr>
                <w:rFonts w:ascii="Calibri" w:hAnsi="Calibri"/>
                <w:b w:val="0"/>
                <w:color w:val="0B2545"/>
                <w:sz w:val="17"/>
              </w:rPr>
              <w:t>Cross-sell and upsell recommendations are measurable using offline and online metrics.</w:t>
            </w:r>
          </w:p>
        </w:tc>
      </w:tr>
      <w:tr>
        <w:tc>
          <w:tcPr>
            <w:tcW w:type="dxa" w:w="3400"/>
            <w:vAlign w:val="center"/>
            <w:tcMar>
              <w:top w:w="80" w:type="dxa"/>
              <w:start w:w="120" w:type="dxa"/>
              <w:bottom w:w="80" w:type="dxa"/>
              <w:end w:w="120" w:type="dxa"/>
            </w:tcMar>
          </w:tcPr>
          <w:p>
            <w:pPr>
              <w:spacing w:before="0" w:after="0" w:line="240" w:lineRule="auto"/>
            </w:pPr>
            <w:r/>
            <w:r>
              <w:rPr>
                <w:rFonts w:ascii="Calibri" w:hAnsi="Calibri"/>
                <w:b w:val="0"/>
                <w:color w:val="0B2545"/>
                <w:sz w:val="17"/>
              </w:rPr>
              <w:t>Reduce operational loss</w:t>
            </w:r>
          </w:p>
        </w:tc>
        <w:tc>
          <w:tcPr>
            <w:tcW w:type="dxa" w:w="5960"/>
            <w:vAlign w:val="center"/>
            <w:tcMar>
              <w:top w:w="80" w:type="dxa"/>
              <w:start w:w="120" w:type="dxa"/>
              <w:bottom w:w="80" w:type="dxa"/>
              <w:end w:w="120" w:type="dxa"/>
            </w:tcMar>
          </w:tcPr>
          <w:p>
            <w:pPr>
              <w:spacing w:before="0" w:after="0" w:line="240" w:lineRule="auto"/>
            </w:pPr>
            <w:r/>
            <w:r>
              <w:rPr>
                <w:rFonts w:ascii="Calibri" w:hAnsi="Calibri"/>
                <w:b w:val="0"/>
                <w:color w:val="0B2545"/>
                <w:sz w:val="17"/>
              </w:rPr>
              <w:t>Low-stock, suspicious sale, and inventory anomalies generate actionable alerts.</w:t>
            </w:r>
          </w:p>
        </w:tc>
      </w:tr>
      <w:tr>
        <w:tc>
          <w:tcPr>
            <w:tcW w:type="dxa" w:w="3400"/>
            <w:vAlign w:val="center"/>
            <w:tcMar>
              <w:top w:w="80" w:type="dxa"/>
              <w:start w:w="120" w:type="dxa"/>
              <w:bottom w:w="80" w:type="dxa"/>
              <w:end w:w="120" w:type="dxa"/>
            </w:tcMar>
          </w:tcPr>
          <w:p>
            <w:pPr>
              <w:spacing w:before="0" w:after="0" w:line="240" w:lineRule="auto"/>
            </w:pPr>
            <w:r/>
            <w:r>
              <w:rPr>
                <w:rFonts w:ascii="Calibri" w:hAnsi="Calibri"/>
                <w:b w:val="0"/>
                <w:color w:val="0B2545"/>
                <w:sz w:val="17"/>
              </w:rPr>
              <w:t>Enable safe operations</w:t>
            </w:r>
          </w:p>
        </w:tc>
        <w:tc>
          <w:tcPr>
            <w:tcW w:type="dxa" w:w="5960"/>
            <w:vAlign w:val="center"/>
            <w:tcMar>
              <w:top w:w="80" w:type="dxa"/>
              <w:start w:w="120" w:type="dxa"/>
              <w:bottom w:w="80" w:type="dxa"/>
              <w:end w:w="120" w:type="dxa"/>
            </w:tcMar>
          </w:tcPr>
          <w:p>
            <w:pPr>
              <w:spacing w:before="0" w:after="0" w:line="240" w:lineRule="auto"/>
            </w:pPr>
            <w:r/>
            <w:r>
              <w:rPr>
                <w:rFonts w:ascii="Calibri" w:hAnsi="Calibri"/>
                <w:b w:val="0"/>
                <w:color w:val="0B2545"/>
                <w:sz w:val="17"/>
              </w:rPr>
              <w:t>Security, audit, backup, model monitoring, and deployment controls meet this SRS.</w:t>
            </w:r>
          </w:p>
        </w:tc>
      </w:tr>
    </w:tbl>
    <w:p>
      <w:pPr>
        <w:spacing w:after="20"/>
      </w:pPr>
    </w:p>
    <w:p>
      <w:pPr>
        <w:pStyle w:val="Heading2"/>
        <w:keepNext/>
        <w:keepLines/>
      </w:pPr>
      <w:r>
        <w:t>1.4 Intended Audience</w:t>
      </w:r>
    </w:p>
    <w:p>
      <w:pPr>
        <w:pStyle w:val="ListBullet"/>
        <w:spacing w:after="80" w:line="264" w:lineRule="auto"/>
      </w:pPr>
      <w:r>
        <w:rPr>
          <w:rFonts w:ascii="Calibri" w:hAnsi="Calibri"/>
          <w:color w:val="0B2545"/>
        </w:rPr>
        <w:t>Product Owner and business stakeholders - approve scope, KPIs, policies, and acceptance thresholds.</w:t>
      </w:r>
    </w:p>
    <w:p>
      <w:pPr>
        <w:pStyle w:val="ListBullet"/>
        <w:spacing w:after="80" w:line="264" w:lineRule="auto"/>
      </w:pPr>
      <w:r>
        <w:rPr>
          <w:rFonts w:ascii="Calibri" w:hAnsi="Calibri"/>
          <w:color w:val="0B2545"/>
        </w:rPr>
        <w:t>UX designers - design role-specific workflows and accessible dashboards.</w:t>
      </w:r>
    </w:p>
    <w:p>
      <w:pPr>
        <w:pStyle w:val="ListBullet"/>
        <w:spacing w:after="80" w:line="264" w:lineRule="auto"/>
      </w:pPr>
      <w:r>
        <w:rPr>
          <w:rFonts w:ascii="Calibri" w:hAnsi="Calibri"/>
          <w:color w:val="0B2545"/>
        </w:rPr>
        <w:t>Backend and frontend engineers - implement APIs, services, screens, authorization, and exports.</w:t>
      </w:r>
    </w:p>
    <w:p>
      <w:pPr>
        <w:pStyle w:val="ListBullet"/>
        <w:spacing w:after="80" w:line="264" w:lineRule="auto"/>
      </w:pPr>
      <w:r>
        <w:rPr>
          <w:rFonts w:ascii="Calibri" w:hAnsi="Calibri"/>
          <w:color w:val="0B2545"/>
        </w:rPr>
        <w:t>Data engineers and data scientists - build ingestion, features, models, evaluation, and monitoring.</w:t>
      </w:r>
    </w:p>
    <w:p>
      <w:pPr>
        <w:pStyle w:val="ListBullet"/>
        <w:spacing w:after="80" w:line="264" w:lineRule="auto"/>
      </w:pPr>
      <w:r>
        <w:rPr>
          <w:rFonts w:ascii="Calibri" w:hAnsi="Calibri"/>
          <w:color w:val="0B2545"/>
        </w:rPr>
        <w:t>QA engineers - derive functional, security, performance, data, and model test cases.</w:t>
      </w:r>
    </w:p>
    <w:p>
      <w:pPr>
        <w:pStyle w:val="ListBullet"/>
        <w:spacing w:after="80" w:line="264" w:lineRule="auto"/>
      </w:pPr>
      <w:r>
        <w:rPr>
          <w:rFonts w:ascii="Calibri" w:hAnsi="Calibri"/>
          <w:color w:val="0B2545"/>
        </w:rPr>
        <w:t>DevOps/SRE and security teams - deploy, monitor, back up, recover, and protect the platform.</w:t>
      </w:r>
    </w:p>
    <w:p>
      <w:pPr>
        <w:pStyle w:val="Heading2"/>
        <w:keepNext/>
        <w:keepLines/>
      </w:pPr>
      <w:r>
        <w:t>1.5 Definitions and Acronyms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Term</w:t>
            </w:r>
          </w:p>
        </w:tc>
        <w:tc>
          <w:tcPr>
            <w:tcW w:type="dxa" w:w="71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Definition</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AI/ML</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Artificial Intelligence / Machine Learning.</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RBAC</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Role-Based Access Control.</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KPI</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Key Performance Indicator with a governed formula and dimensional scope.</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Tenant</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A logically isolated business organization using the platform.</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Forecast horizon</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Future period for which predictions are generated.</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Churn</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A configurable period of customer inactivity or reduced engagement.</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Precision@K / Recall@K</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Top-K recommendation relevance metrics.</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MAE / RMSE / R2</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Regression accuracy and goodness-of-fit metrics.</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Model registry</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Versioned inventory of models, features, metrics, approvals, and deployment state.</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PII</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Personally identifiable information.</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RPO / RTO</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Recovery Point Objective / Recovery Time Objective.</w:t>
            </w:r>
          </w:p>
        </w:tc>
      </w:tr>
    </w:tbl>
    <w:p>
      <w:pPr>
        <w:spacing w:after="20"/>
      </w:pPr>
    </w:p>
    <w:p>
      <w:pPr>
        <w:pStyle w:val="Heading2"/>
        <w:keepNext/>
        <w:keepLines/>
      </w:pPr>
      <w:r>
        <w:t>1.6 References</w:t>
      </w:r>
    </w:p>
    <w:p>
      <w:pPr>
        <w:pStyle w:val="ListBullet"/>
        <w:spacing w:after="80" w:line="264" w:lineRule="auto"/>
      </w:pPr>
      <w:r>
        <w:rPr>
          <w:rFonts w:ascii="Calibri" w:hAnsi="Calibri"/>
          <w:color w:val="0B2545"/>
        </w:rPr>
        <w:t>MarketMind AI - Small Business Sales Intelligence Platform, supplied PDF, 18 pages.</w:t>
      </w:r>
    </w:p>
    <w:p>
      <w:pPr>
        <w:pStyle w:val="ListBullet"/>
        <w:spacing w:after="80" w:line="264" w:lineRule="auto"/>
      </w:pPr>
      <w:r>
        <w:rPr>
          <w:rFonts w:ascii="Calibri" w:hAnsi="Calibri"/>
          <w:color w:val="0B2545"/>
        </w:rPr>
        <w:t>D:\MarketMind\Dataset\train.parquet, Parquet v2, Snappy compression, 4,500,000 rows.</w:t>
      </w:r>
    </w:p>
    <w:p>
      <w:pPr>
        <w:pStyle w:val="ListBullet"/>
        <w:spacing w:after="80" w:line="264" w:lineRule="auto"/>
      </w:pPr>
      <w:r>
        <w:rPr>
          <w:rFonts w:ascii="Calibri" w:hAnsi="Calibri"/>
          <w:color w:val="0B2545"/>
        </w:rPr>
        <w:t>D:\MarketMind\Dataset\eval.parquet, Parquet v2, Snappy compression, 350,000 rows.</w:t>
      </w:r>
    </w:p>
    <w:p>
      <w:pPr>
        <w:pStyle w:val="ListBullet"/>
        <w:spacing w:after="80" w:line="264" w:lineRule="auto"/>
      </w:pPr>
      <w:r>
        <w:rPr>
          <w:rFonts w:ascii="Calibri" w:hAnsi="Calibri"/>
          <w:color w:val="0B2545"/>
        </w:rPr>
        <w:t>OWASP Application Security Verification Standard and OWASP API Security Top 10 (target security guidance; exact version to be approved).</w:t>
      </w:r>
    </w:p>
    <w:p>
      <w:pPr>
        <w:pStyle w:val="ListBullet"/>
        <w:spacing w:after="80" w:line="264" w:lineRule="auto"/>
      </w:pPr>
      <w:r>
        <w:rPr>
          <w:rFonts w:ascii="Calibri" w:hAnsi="Calibri"/>
          <w:color w:val="0B2545"/>
        </w:rPr>
        <w:t>WCAG 2.2 Level AA (target accessibility baseline).</w:t>
      </w:r>
    </w:p>
    <w:p>
      <w:pPr>
        <w:pStyle w:val="Heading1"/>
        <w:keepNext/>
        <w:keepLines/>
      </w:pPr>
      <w:r>
        <w:t>2. Overall Description</w:t>
      </w:r>
    </w:p>
    <w:p>
      <w:pPr>
        <w:pStyle w:val="Heading2"/>
        <w:keepNext/>
        <w:keepLines/>
      </w:pPr>
      <w:r>
        <w:t>2.1 Product Perspective</w:t>
      </w:r>
    </w:p>
    <w:p>
      <w:pPr>
        <w:spacing w:after="120" w:line="264" w:lineRule="auto"/>
      </w:pPr>
      <w:r>
        <w:rPr>
          <w:rFonts w:ascii="Calibri" w:hAnsi="Calibri"/>
          <w:i w:val="0"/>
          <w:color w:val="0B2545"/>
        </w:rPr>
        <w:t>The solution is a full-stack analytics product comprising a browser-based frontend, FastAPI backend, PostgreSQL operational database, object storage for source files and artifacts, an asynchronous job/queue layer, analytics/feature pipelines, model training and inference services, reporting services, and observability controls. SQLite may be used only for local development or demonstration, not the production multi-user deployment.</w:t>
      </w:r>
    </w:p>
    <w:p>
      <w:pPr>
        <w:pStyle w:val="Heading2"/>
        <w:keepNext/>
        <w:keepLines/>
      </w:pPr>
      <w:r>
        <w:t>2.2 System Context and Component Responsibilities</w:t>
      </w:r>
    </w:p>
    <w:tbl>
      <w:tblPr>
        <w:tblStyle w:val="TableGrid"/>
        <w:tblW w:type="dxa" w:w="9360"/>
        <w:jc w:val="left"/>
        <w:tblLayout w:type="fixed"/>
        <w:tblLook w:firstColumn="1" w:firstRow="1" w:lastColumn="0" w:lastRow="0" w:noHBand="0" w:noVBand="1" w:val="04A0"/>
        <w:tblInd w:w="120" w:type="dxa"/>
      </w:tblPr>
      <w:tblGrid>
        <w:gridCol w:w="2000"/>
        <w:gridCol w:w="4800"/>
        <w:gridCol w:w="2560"/>
      </w:tblGrid>
      <w:tr>
        <w:trPr>
          <w:tblHeader w:val="true"/>
        </w:trPr>
        <w:tc>
          <w:tcPr>
            <w:tcW w:type="dxa" w:w="20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Component</w:t>
            </w:r>
          </w:p>
        </w:tc>
        <w:tc>
          <w:tcPr>
            <w:tcW w:type="dxa" w:w="48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Responsibility</w:t>
            </w:r>
          </w:p>
        </w:tc>
        <w:tc>
          <w:tcPr>
            <w:tcW w:type="dxa" w:w="25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Primary interfaces</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6"/>
              </w:rPr>
              <w:t>Web UI</w:t>
            </w:r>
          </w:p>
        </w:tc>
        <w:tc>
          <w:tcPr>
            <w:tcW w:type="dxa" w:w="4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Role-specific workflows, charts, forms, filters, alerts, exports.</w:t>
            </w:r>
          </w:p>
        </w:tc>
        <w:tc>
          <w:tcPr>
            <w:tcW w:type="dxa" w:w="2560"/>
            <w:vAlign w:val="center"/>
            <w:tcMar>
              <w:top w:w="80" w:type="dxa"/>
              <w:start w:w="120" w:type="dxa"/>
              <w:bottom w:w="80" w:type="dxa"/>
              <w:end w:w="120" w:type="dxa"/>
            </w:tcMar>
          </w:tcPr>
          <w:p>
            <w:pPr>
              <w:spacing w:before="0" w:after="0" w:line="240" w:lineRule="auto"/>
            </w:pPr>
            <w:r/>
            <w:r>
              <w:rPr>
                <w:rFonts w:ascii="Calibri" w:hAnsi="Calibri"/>
                <w:b w:val="0"/>
                <w:color w:val="0B2545"/>
                <w:sz w:val="16"/>
              </w:rPr>
              <w:t>HTTPS / REST.</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API gateway/backend</w:t>
            </w:r>
          </w:p>
        </w:tc>
        <w:tc>
          <w:tcPr>
            <w:tcW w:type="dxa" w:w="4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Authentication, authorization, validation, business workflows, orchestration.</w:t>
            </w:r>
          </w:p>
        </w:tc>
        <w:tc>
          <w:tcPr>
            <w:tcW w:type="dxa" w:w="256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REST/JSON; file upload.</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6"/>
              </w:rPr>
              <w:t>Operational database</w:t>
            </w:r>
          </w:p>
        </w:tc>
        <w:tc>
          <w:tcPr>
            <w:tcW w:type="dxa" w:w="4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Users, tenants, stores, products, transactions, inventory, invoices, alerts, audit.</w:t>
            </w:r>
          </w:p>
        </w:tc>
        <w:tc>
          <w:tcPr>
            <w:tcW w:type="dxa" w:w="2560"/>
            <w:vAlign w:val="center"/>
            <w:tcMar>
              <w:top w:w="80" w:type="dxa"/>
              <w:start w:w="120" w:type="dxa"/>
              <w:bottom w:w="80" w:type="dxa"/>
              <w:end w:w="120" w:type="dxa"/>
            </w:tcMar>
          </w:tcPr>
          <w:p>
            <w:pPr>
              <w:spacing w:before="0" w:after="0" w:line="240" w:lineRule="auto"/>
            </w:pPr>
            <w:r/>
            <w:r>
              <w:rPr>
                <w:rFonts w:ascii="Calibri" w:hAnsi="Calibri"/>
                <w:b w:val="0"/>
                <w:color w:val="0B2545"/>
                <w:sz w:val="16"/>
              </w:rPr>
              <w:t>SQL via service layer.</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6"/>
              </w:rPr>
              <w:t>Object storage</w:t>
            </w:r>
          </w:p>
        </w:tc>
        <w:tc>
          <w:tcPr>
            <w:tcW w:type="dxa" w:w="4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Raw uploads, processed datasets, reports, model artifacts.</w:t>
            </w:r>
          </w:p>
        </w:tc>
        <w:tc>
          <w:tcPr>
            <w:tcW w:type="dxa" w:w="2560"/>
            <w:vAlign w:val="center"/>
            <w:tcMar>
              <w:top w:w="80" w:type="dxa"/>
              <w:start w:w="120" w:type="dxa"/>
              <w:bottom w:w="80" w:type="dxa"/>
              <w:end w:w="120" w:type="dxa"/>
            </w:tcMar>
          </w:tcPr>
          <w:p>
            <w:pPr>
              <w:spacing w:before="0" w:after="0" w:line="240" w:lineRule="auto"/>
            </w:pPr>
            <w:r/>
            <w:r>
              <w:rPr>
                <w:rFonts w:ascii="Calibri" w:hAnsi="Calibri"/>
                <w:b w:val="0"/>
                <w:color w:val="0B2545"/>
                <w:sz w:val="16"/>
              </w:rPr>
              <w:t>Signed/internal object access.</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6"/>
              </w:rPr>
              <w:t>Job workers</w:t>
            </w:r>
          </w:p>
        </w:tc>
        <w:tc>
          <w:tcPr>
            <w:tcW w:type="dxa" w:w="4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Imports, aggregates, training, scoring, report generation.</w:t>
            </w:r>
          </w:p>
        </w:tc>
        <w:tc>
          <w:tcPr>
            <w:tcW w:type="dxa" w:w="2560"/>
            <w:vAlign w:val="center"/>
            <w:tcMar>
              <w:top w:w="80" w:type="dxa"/>
              <w:start w:w="120" w:type="dxa"/>
              <w:bottom w:w="80" w:type="dxa"/>
              <w:end w:w="120" w:type="dxa"/>
            </w:tcMar>
          </w:tcPr>
          <w:p>
            <w:pPr>
              <w:spacing w:before="0" w:after="0" w:line="240" w:lineRule="auto"/>
            </w:pPr>
            <w:r/>
            <w:r>
              <w:rPr>
                <w:rFonts w:ascii="Calibri" w:hAnsi="Calibri"/>
                <w:b w:val="0"/>
                <w:color w:val="0B2545"/>
                <w:sz w:val="16"/>
              </w:rPr>
              <w:t>Queue and job status APIs.</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AI/ML services</w:t>
            </w:r>
          </w:p>
        </w:tc>
        <w:tc>
          <w:tcPr>
            <w:tcW w:type="dxa" w:w="4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Features, training, evaluation, registry, batch/online inference.</w:t>
            </w:r>
          </w:p>
        </w:tc>
        <w:tc>
          <w:tcPr>
            <w:tcW w:type="dxa" w:w="256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Internal APIs and artifact store.</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6"/>
              </w:rPr>
              <w:t>Monitoring</w:t>
            </w:r>
          </w:p>
        </w:tc>
        <w:tc>
          <w:tcPr>
            <w:tcW w:type="dxa" w:w="4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Logs, metrics, traces, health checks, alerting.</w:t>
            </w:r>
          </w:p>
        </w:tc>
        <w:tc>
          <w:tcPr>
            <w:tcW w:type="dxa" w:w="2560"/>
            <w:vAlign w:val="center"/>
            <w:tcMar>
              <w:top w:w="80" w:type="dxa"/>
              <w:start w:w="120" w:type="dxa"/>
              <w:bottom w:w="80" w:type="dxa"/>
              <w:end w:w="120" w:type="dxa"/>
            </w:tcMar>
          </w:tcPr>
          <w:p>
            <w:pPr>
              <w:spacing w:before="0" w:after="0" w:line="240" w:lineRule="auto"/>
            </w:pPr>
            <w:r/>
            <w:r>
              <w:rPr>
                <w:rFonts w:ascii="Calibri" w:hAnsi="Calibri"/>
                <w:b w:val="0"/>
                <w:color w:val="0B2545"/>
                <w:sz w:val="16"/>
              </w:rPr>
              <w:t>OpenTelemetry-compatible signals.</w:t>
            </w:r>
          </w:p>
        </w:tc>
      </w:tr>
    </w:tbl>
    <w:p>
      <w:pPr>
        <w:spacing w:after="20"/>
      </w:pPr>
    </w:p>
    <w:p>
      <w:pPr>
        <w:pStyle w:val="Heading2"/>
        <w:keepNext/>
        <w:keepLines/>
      </w:pPr>
      <w:r>
        <w:t>2.3 User Classes and Characteristics</w:t>
      </w:r>
    </w:p>
    <w:tbl>
      <w:tblPr>
        <w:tblStyle w:val="TableGrid"/>
        <w:tblW w:type="dxa" w:w="9360"/>
        <w:jc w:val="left"/>
        <w:tblLayout w:type="fixed"/>
        <w:tblLook w:firstColumn="1" w:firstRow="1" w:lastColumn="0" w:lastRow="0" w:noHBand="0" w:noVBand="1" w:val="04A0"/>
        <w:tblInd w:w="120" w:type="dxa"/>
      </w:tblPr>
      <w:tblGrid>
        <w:gridCol w:w="1900"/>
        <w:gridCol w:w="4200"/>
        <w:gridCol w:w="3260"/>
      </w:tblGrid>
      <w:tr>
        <w:trPr>
          <w:tblHeader w:val="true"/>
        </w:trPr>
        <w:tc>
          <w:tcPr>
            <w:tcW w:type="dxa" w:w="19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Role</w:t>
            </w:r>
          </w:p>
        </w:tc>
        <w:tc>
          <w:tcPr>
            <w:tcW w:type="dxa" w:w="42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Primary duties</w:t>
            </w:r>
          </w:p>
        </w:tc>
        <w:tc>
          <w:tcPr>
            <w:tcW w:type="dxa" w:w="32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Access summary</w:t>
            </w:r>
          </w:p>
        </w:tc>
      </w:tr>
      <w:tr>
        <w:tc>
          <w:tcPr>
            <w:tcW w:type="dxa" w:w="1900"/>
            <w:vAlign w:val="center"/>
            <w:tcMar>
              <w:top w:w="80" w:type="dxa"/>
              <w:start w:w="120" w:type="dxa"/>
              <w:bottom w:w="80" w:type="dxa"/>
              <w:end w:w="120" w:type="dxa"/>
            </w:tcMar>
          </w:tcPr>
          <w:p>
            <w:pPr>
              <w:spacing w:before="0" w:after="0" w:line="240" w:lineRule="auto"/>
            </w:pPr>
            <w:r/>
            <w:r>
              <w:rPr>
                <w:rFonts w:ascii="Calibri" w:hAnsi="Calibri"/>
                <w:b w:val="0"/>
                <w:color w:val="0B2545"/>
                <w:sz w:val="16"/>
              </w:rPr>
              <w:t>Business Owner</w:t>
            </w:r>
          </w:p>
        </w:tc>
        <w:tc>
          <w:tcPr>
            <w:tcW w:type="dxa" w:w="4200"/>
            <w:vAlign w:val="center"/>
            <w:tcMar>
              <w:top w:w="80" w:type="dxa"/>
              <w:start w:w="120" w:type="dxa"/>
              <w:bottom w:w="80" w:type="dxa"/>
              <w:end w:w="120" w:type="dxa"/>
            </w:tcMar>
          </w:tcPr>
          <w:p>
            <w:r/>
            <w:r>
              <w:rPr>
                <w:rFonts w:ascii="Aptos" w:hAnsi="Aptos"/>
                <w:b w:val="0"/>
                <w:sz w:val="18"/>
              </w:rPr>
              <w:t>Own the business workspace; create stores; invite Store Managers and Sales Executives; monitor performance, customers, inventory and forecasts.</w:t>
            </w:r>
          </w:p>
        </w:tc>
        <w:tc>
          <w:tcPr>
            <w:tcW w:type="dxa" w:w="3260"/>
            <w:vAlign w:val="center"/>
            <w:tcMar>
              <w:top w:w="80" w:type="dxa"/>
              <w:start w:w="120" w:type="dxa"/>
              <w:bottom w:w="80" w:type="dxa"/>
              <w:end w:w="120" w:type="dxa"/>
            </w:tcMar>
          </w:tcPr>
          <w:p>
            <w:r/>
            <w:r>
              <w:rPr>
                <w:rFonts w:ascii="Aptos" w:hAnsi="Aptos"/>
                <w:b w:val="0"/>
                <w:sz w:val="18"/>
              </w:rPr>
              <w:t>Business-wide tenant access, onboarding and employee management. Cannot create or configure the internal Platform Administrator.</w:t>
            </w:r>
          </w:p>
        </w:tc>
      </w:tr>
      <w:tr>
        <w:tc>
          <w:tcPr>
            <w:tcW w:type="dxa" w:w="1900"/>
            <w:vAlign w:val="center"/>
            <w:tcMar>
              <w:top w:w="80" w:type="dxa"/>
              <w:start w:w="120" w:type="dxa"/>
              <w:bottom w:w="80" w:type="dxa"/>
              <w:end w:w="120" w:type="dxa"/>
            </w:tcMar>
          </w:tcPr>
          <w:p>
            <w:pPr>
              <w:spacing w:before="0" w:after="0" w:line="240" w:lineRule="auto"/>
            </w:pPr>
            <w:r/>
            <w:r>
              <w:rPr>
                <w:rFonts w:ascii="Calibri" w:hAnsi="Calibri"/>
                <w:b w:val="0"/>
                <w:color w:val="0B2545"/>
                <w:sz w:val="16"/>
              </w:rPr>
              <w:t>Store Manager</w:t>
            </w:r>
          </w:p>
        </w:tc>
        <w:tc>
          <w:tcPr>
            <w:tcW w:type="dxa" w:w="4200"/>
            <w:vAlign w:val="center"/>
            <w:tcMar>
              <w:top w:w="80" w:type="dxa"/>
              <w:start w:w="120" w:type="dxa"/>
              <w:bottom w:w="80" w:type="dxa"/>
              <w:end w:w="120" w:type="dxa"/>
            </w:tcMar>
          </w:tcPr>
          <w:p>
            <w:r/>
            <w:r>
              <w:rPr>
                <w:rFonts w:ascii="Aptos" w:hAnsi="Aptos"/>
                <w:b w:val="0"/>
                <w:sz w:val="18"/>
              </w:rPr>
              <w:t>Run an assigned store; manage store inventory and sales operations; monitor store customers and product demand.</w:t>
            </w:r>
          </w:p>
        </w:tc>
        <w:tc>
          <w:tcPr>
            <w:tcW w:type="dxa" w:w="3260"/>
            <w:vAlign w:val="center"/>
            <w:tcMar>
              <w:top w:w="80" w:type="dxa"/>
              <w:start w:w="120" w:type="dxa"/>
              <w:bottom w:w="80" w:type="dxa"/>
              <w:end w:w="120" w:type="dxa"/>
            </w:tcMar>
          </w:tcPr>
          <w:p>
            <w:r/>
            <w:r>
              <w:rPr>
                <w:rFonts w:ascii="Aptos" w:hAnsi="Aptos"/>
                <w:b w:val="0"/>
                <w:sz w:val="18"/>
              </w:rPr>
              <w:t>Assigned-store operational records, alerts, summaries and demand forecasts; no tenant employee or platform administration.</w:t>
            </w:r>
          </w:p>
        </w:tc>
      </w:tr>
      <w:tr>
        <w:tc>
          <w:tcPr>
            <w:tcW w:type="dxa" w:w="1900"/>
            <w:vAlign w:val="center"/>
            <w:tcMar>
              <w:top w:w="80" w:type="dxa"/>
              <w:start w:w="120" w:type="dxa"/>
              <w:bottom w:w="80" w:type="dxa"/>
              <w:end w:w="120" w:type="dxa"/>
            </w:tcMar>
          </w:tcPr>
          <w:p>
            <w:pPr>
              <w:spacing w:before="0" w:after="0" w:line="240" w:lineRule="auto"/>
            </w:pPr>
            <w:r/>
            <w:r>
              <w:rPr>
                <w:rFonts w:ascii="Calibri" w:hAnsi="Calibri"/>
                <w:b w:val="0"/>
                <w:color w:val="0B2545"/>
                <w:sz w:val="16"/>
              </w:rPr>
              <w:t>Sales Executive</w:t>
            </w:r>
          </w:p>
        </w:tc>
        <w:tc>
          <w:tcPr>
            <w:tcW w:type="dxa" w:w="4200"/>
            <w:vAlign w:val="center"/>
            <w:tcMar>
              <w:top w:w="80" w:type="dxa"/>
              <w:start w:w="120" w:type="dxa"/>
              <w:bottom w:w="80" w:type="dxa"/>
              <w:end w:w="120" w:type="dxa"/>
            </w:tcMar>
          </w:tcPr>
          <w:p>
            <w:r/>
            <w:r>
              <w:rPr>
                <w:rFonts w:ascii="Aptos" w:hAnsi="Aptos"/>
                <w:b w:val="0"/>
                <w:sz w:val="18"/>
              </w:rPr>
              <w:t>Record own sales, manage invoices and assigned customers, and track personal targets and forecast.</w:t>
            </w:r>
          </w:p>
        </w:tc>
        <w:tc>
          <w:tcPr>
            <w:tcW w:type="dxa" w:w="3260"/>
            <w:vAlign w:val="center"/>
            <w:tcMar>
              <w:top w:w="80" w:type="dxa"/>
              <w:start w:w="120" w:type="dxa"/>
              <w:bottom w:w="80" w:type="dxa"/>
              <w:end w:w="120" w:type="dxa"/>
            </w:tcMar>
          </w:tcPr>
          <w:p>
            <w:r/>
            <w:r>
              <w:rPr>
                <w:rFonts w:ascii="Aptos" w:hAnsi="Aptos"/>
                <w:b w:val="0"/>
                <w:sz w:val="18"/>
              </w:rPr>
              <w:t>Personal and assigned-customer scope only; no store-wide, tenant-wide or administrative access.</w:t>
            </w:r>
          </w:p>
        </w:tc>
      </w:tr>
      <w:tr>
        <w:tc>
          <w:tcPr>
            <w:tcW w:type="dxa" w:w="1900"/>
            <w:vAlign w:val="center"/>
            <w:tcMar>
              <w:top w:w="80" w:type="dxa"/>
              <w:start w:w="120" w:type="dxa"/>
              <w:bottom w:w="80" w:type="dxa"/>
              <w:end w:w="120" w:type="dxa"/>
            </w:tcMar>
          </w:tcPr>
          <w:p>
            <w:pPr>
              <w:spacing w:before="0" w:after="0" w:line="240" w:lineRule="auto"/>
            </w:pPr>
            <w:r/>
            <w:r>
              <w:rPr>
                <w:rFonts w:ascii="Calibri" w:hAnsi="Calibri"/>
                <w:b w:val="0"/>
                <w:color w:val="0B2545"/>
                <w:sz w:val="16"/>
              </w:rPr>
              <w:t>System Administrator</w:t>
            </w:r>
          </w:p>
        </w:tc>
        <w:tc>
          <w:tcPr>
            <w:tcW w:type="dxa" w:w="4200"/>
            <w:vAlign w:val="center"/>
            <w:tcMar>
              <w:top w:w="80" w:type="dxa"/>
              <w:start w:w="120" w:type="dxa"/>
              <w:bottom w:w="80" w:type="dxa"/>
              <w:end w:w="120" w:type="dxa"/>
            </w:tcMar>
          </w:tcPr>
          <w:p>
            <w:r/>
            <w:r>
              <w:rPr>
                <w:rFonts w:ascii="Aptos" w:hAnsi="Aptos"/>
                <w:b w:val="0"/>
                <w:sz w:val="18"/>
              </w:rPr>
              <w:t>Operate MarketMind platform security, permissions, datasets, model monitoring and audit controls.</w:t>
            </w:r>
          </w:p>
        </w:tc>
        <w:tc>
          <w:tcPr>
            <w:tcW w:type="dxa" w:w="3260"/>
            <w:vAlign w:val="center"/>
            <w:tcMar>
              <w:top w:w="80" w:type="dxa"/>
              <w:start w:w="120" w:type="dxa"/>
              <w:bottom w:w="80" w:type="dxa"/>
              <w:end w:w="120" w:type="dxa"/>
            </w:tcMar>
          </w:tcPr>
          <w:p>
            <w:r/>
            <w:r>
              <w:rPr>
                <w:rFonts w:ascii="Aptos" w:hAnsi="Aptos"/>
                <w:b w:val="0"/>
                <w:sz w:val="18"/>
              </w:rPr>
              <w:t>Internally provisioned, MFA-protected platform account. It is not created by a business owner and does not replace tenant workforce management.</w:t>
            </w:r>
          </w:p>
        </w:tc>
      </w:tr>
    </w:tbl>
    <w:p>
      <w:pPr>
        <w:spacing w:after="20"/>
      </w:pPr>
    </w:p>
    <w:p>
      <w:pPr>
        <w:pStyle w:val="Heading2"/>
        <w:keepNext/>
        <w:keepLines/>
      </w:pPr>
      <w:r>
        <w:t>2.4 Operating Environment</w:t>
      </w:r>
    </w:p>
    <w:p>
      <w:pPr>
        <w:pStyle w:val="ListBullet"/>
        <w:spacing w:after="80" w:line="264" w:lineRule="auto"/>
      </w:pPr>
      <w:r>
        <w:rPr>
          <w:rFonts w:ascii="Calibri" w:hAnsi="Calibri"/>
          <w:color w:val="0B2545"/>
        </w:rPr>
        <w:t>Modern desktop and mobile browsers: latest two stable versions of Chrome, Edge, Firefox, and Safari.</w:t>
      </w:r>
    </w:p>
    <w:p>
      <w:pPr>
        <w:pStyle w:val="ListBullet"/>
        <w:spacing w:after="80" w:line="264" w:lineRule="auto"/>
      </w:pPr>
      <w:r>
        <w:rPr>
          <w:rFonts w:ascii="Calibri" w:hAnsi="Calibri"/>
          <w:color w:val="0B2545"/>
        </w:rPr>
        <w:t>Backend runtime: Python 3.11+ with FastAPI; frontend: ReactJS with Tailwind CSS. Streamlit may be used only for a prototype unless approved as the production UI.</w:t>
      </w:r>
    </w:p>
    <w:p>
      <w:pPr>
        <w:pStyle w:val="ListBullet"/>
        <w:spacing w:after="80" w:line="264" w:lineRule="auto"/>
      </w:pPr>
      <w:r>
        <w:rPr>
          <w:rFonts w:ascii="Calibri" w:hAnsi="Calibri"/>
          <w:color w:val="0B2545"/>
        </w:rPr>
        <w:t>Production database: supported PostgreSQL release; object storage with encryption; container runtime using Docker/Docker Compose.</w:t>
      </w:r>
    </w:p>
    <w:p>
      <w:pPr>
        <w:pStyle w:val="ListBullet"/>
        <w:spacing w:after="80" w:line="264" w:lineRule="auto"/>
      </w:pPr>
      <w:r>
        <w:rPr>
          <w:rFonts w:ascii="Calibri" w:hAnsi="Calibri"/>
          <w:color w:val="0B2545"/>
        </w:rPr>
        <w:t>Deployment: Render, Railway, or an equivalent cloud platform able to meet security, availability, backup, and observability requirements.</w:t>
      </w:r>
    </w:p>
    <w:p>
      <w:pPr>
        <w:pStyle w:val="ListBullet"/>
        <w:spacing w:after="80" w:line="264" w:lineRule="auto"/>
      </w:pPr>
      <w:r>
        <w:rPr>
          <w:rFonts w:ascii="Calibri" w:hAnsi="Calibri"/>
          <w:color w:val="0B2545"/>
        </w:rPr>
        <w:t>Time shall be stored in UTC and rendered in the tenant/store-configured time zone.</w:t>
      </w:r>
    </w:p>
    <w:p>
      <w:pPr>
        <w:pStyle w:val="Heading2"/>
        <w:keepNext/>
        <w:keepLines/>
      </w:pPr>
      <w:r>
        <w:t>2.5 Constraints</w:t>
      </w:r>
    </w:p>
    <w:p>
      <w:pPr>
        <w:pStyle w:val="ListBullet"/>
        <w:spacing w:after="80" w:line="264" w:lineRule="auto"/>
      </w:pPr>
      <w:r>
        <w:rPr>
          <w:rFonts w:ascii="Calibri" w:hAnsi="Calibri"/>
          <w:color w:val="0B2545"/>
        </w:rPr>
        <w:t>The supplied datasets are daily store-product records and do not provide customer identity, invoice/payment, unit price/cost, supplier, or true on-hand stock quantity.</w:t>
      </w:r>
    </w:p>
    <w:p>
      <w:pPr>
        <w:pStyle w:val="ListBullet"/>
        <w:spacing w:after="80" w:line="264" w:lineRule="auto"/>
      </w:pPr>
      <w:r>
        <w:rPr>
          <w:rFonts w:ascii="Calibri" w:hAnsi="Calibri"/>
          <w:color w:val="0B2545"/>
        </w:rPr>
        <w:t>AI results are decision support; the system shall not autonomously alter prices, inventory policies, or customer communications without an authorized human-controlled workflow.</w:t>
      </w:r>
    </w:p>
    <w:p>
      <w:pPr>
        <w:pStyle w:val="ListBullet"/>
        <w:spacing w:after="80" w:line="264" w:lineRule="auto"/>
      </w:pPr>
      <w:r>
        <w:rPr>
          <w:rFonts w:ascii="Calibri" w:hAnsi="Calibri"/>
          <w:color w:val="0B2545"/>
        </w:rPr>
        <w:t>Production secrets shall not be stored in source code, images, or client-side bundles.</w:t>
      </w:r>
    </w:p>
    <w:p>
      <w:pPr>
        <w:pStyle w:val="ListBullet"/>
        <w:spacing w:after="80" w:line="264" w:lineRule="auto"/>
      </w:pPr>
      <w:r>
        <w:rPr>
          <w:rFonts w:ascii="Calibri" w:hAnsi="Calibri"/>
          <w:color w:val="0B2545"/>
        </w:rPr>
        <w:t>All business data and model outputs shall remain tenant-isolated.</w:t>
      </w:r>
    </w:p>
    <w:p>
      <w:pPr>
        <w:pStyle w:val="ListBullet"/>
        <w:spacing w:after="80" w:line="264" w:lineRule="auto"/>
      </w:pPr>
      <w:r>
        <w:rPr>
          <w:rFonts w:ascii="Calibri" w:hAnsi="Calibri"/>
          <w:color w:val="0B2545"/>
        </w:rPr>
        <w:t>Model performance thresholds shall be approved using actual business baselines before production release.</w:t>
      </w:r>
    </w:p>
    <w:p>
      <w:pPr>
        <w:pStyle w:val="Heading2"/>
        <w:keepNext/>
        <w:keepLines/>
      </w:pPr>
      <w:r>
        <w:t>2.6 Assumptions and Dependencies</w:t>
      </w:r>
    </w:p>
    <w:p>
      <w:pPr>
        <w:pStyle w:val="ListBullet"/>
        <w:spacing w:after="80" w:line="264" w:lineRule="auto"/>
      </w:pPr>
      <w:r>
        <w:rPr>
          <w:rFonts w:ascii="Calibri" w:hAnsi="Calibri"/>
          <w:color w:val="0B2545"/>
        </w:rPr>
        <w:t>Each tenant will provide data ownership confirmation, field mappings, currency, time zone, fiscal calendar, and churn definition.</w:t>
      </w:r>
    </w:p>
    <w:p>
      <w:pPr>
        <w:pStyle w:val="ListBullet"/>
        <w:spacing w:after="80" w:line="264" w:lineRule="auto"/>
      </w:pPr>
      <w:r>
        <w:rPr>
          <w:rFonts w:ascii="Calibri" w:hAnsi="Calibri"/>
          <w:color w:val="0B2545"/>
        </w:rPr>
        <w:t>Unique and stable identifiers will exist for stores, products, customers, transactions, invoices, and users.</w:t>
      </w:r>
    </w:p>
    <w:p>
      <w:pPr>
        <w:pStyle w:val="ListBullet"/>
        <w:spacing w:after="80" w:line="264" w:lineRule="auto"/>
      </w:pPr>
      <w:r>
        <w:rPr>
          <w:rFonts w:ascii="Calibri" w:hAnsi="Calibri"/>
          <w:color w:val="0B2545"/>
        </w:rPr>
        <w:t>Customer-level ML requires consented, sufficiently long, consistently captured customer purchase history.</w:t>
      </w:r>
    </w:p>
    <w:p>
      <w:pPr>
        <w:pStyle w:val="ListBullet"/>
        <w:spacing w:after="80" w:line="264" w:lineRule="auto"/>
      </w:pPr>
      <w:r>
        <w:rPr>
          <w:rFonts w:ascii="Calibri" w:hAnsi="Calibri"/>
          <w:color w:val="0B2545"/>
        </w:rPr>
        <w:t>Email/SMS notifications require an approved provider and sender configuration.</w:t>
      </w:r>
    </w:p>
    <w:p>
      <w:pPr>
        <w:pStyle w:val="ListBullet"/>
        <w:spacing w:after="80" w:line="264" w:lineRule="auto"/>
      </w:pPr>
      <w:r>
        <w:rPr>
          <w:rFonts w:ascii="Calibri" w:hAnsi="Calibri"/>
          <w:color w:val="0B2545"/>
        </w:rPr>
        <w:t>Cloud deployment requires managed database, object storage, backup, TLS certificate, DNS, and secret-management services.</w:t>
      </w:r>
    </w:p>
    <w:p>
      <w:pPr>
        <w:pStyle w:val="Heading2"/>
        <w:keepNext/>
        <w:keepLines/>
      </w:pPr>
      <w:r>
        <w:t>2.7 Out of Scope for Version 1.0</w:t>
      </w:r>
    </w:p>
    <w:p>
      <w:pPr>
        <w:pStyle w:val="ListBullet"/>
        <w:spacing w:after="80" w:line="264" w:lineRule="auto"/>
      </w:pPr>
      <w:r>
        <w:rPr>
          <w:rFonts w:ascii="Calibri" w:hAnsi="Calibri"/>
          <w:color w:val="0B2545"/>
        </w:rPr>
        <w:t>Autonomous purchasing, pricing, refunds, or customer outreach without approval.</w:t>
      </w:r>
    </w:p>
    <w:p>
      <w:pPr>
        <w:pStyle w:val="ListBullet"/>
        <w:spacing w:after="80" w:line="264" w:lineRule="auto"/>
      </w:pPr>
      <w:r>
        <w:rPr>
          <w:rFonts w:ascii="Calibri" w:hAnsi="Calibri"/>
          <w:color w:val="0B2545"/>
        </w:rPr>
        <w:t>Native mobile applications; responsive web is in scope.</w:t>
      </w:r>
    </w:p>
    <w:p>
      <w:pPr>
        <w:pStyle w:val="ListBullet"/>
        <w:spacing w:after="80" w:line="264" w:lineRule="auto"/>
      </w:pPr>
      <w:r>
        <w:rPr>
          <w:rFonts w:ascii="Calibri" w:hAnsi="Calibri"/>
          <w:color w:val="0B2545"/>
        </w:rPr>
        <w:t>Full accounting/general ledger, payroll, procurement, and supplier contract management.</w:t>
      </w:r>
    </w:p>
    <w:p>
      <w:pPr>
        <w:pStyle w:val="ListBullet"/>
        <w:spacing w:after="80" w:line="264" w:lineRule="auto"/>
      </w:pPr>
      <w:r>
        <w:rPr>
          <w:rFonts w:ascii="Calibri" w:hAnsi="Calibri"/>
          <w:color w:val="0B2545"/>
        </w:rPr>
        <w:t>Computer-vision loss prevention or biometric identification.</w:t>
      </w:r>
    </w:p>
    <w:p>
      <w:pPr>
        <w:pStyle w:val="ListBullet"/>
        <w:spacing w:after="80" w:line="264" w:lineRule="auto"/>
      </w:pPr>
      <w:r>
        <w:rPr>
          <w:rFonts w:ascii="Calibri" w:hAnsi="Calibri"/>
          <w:color w:val="0B2545"/>
        </w:rPr>
        <w:t>Real-time point-of-sale device drivers unless separately integrated through documented APIs.</w:t>
      </w:r>
    </w:p>
    <w:p>
      <w:pPr>
        <w:pStyle w:val="Heading1"/>
        <w:keepNext/>
        <w:keepLines/>
      </w:pPr>
      <w:r>
        <w:t>3. Roles and Access Control</w:t>
      </w:r>
    </w:p>
    <w:p>
      <w:pPr>
        <w:pStyle w:val="Heading2"/>
        <w:keepNext/>
        <w:keepLines/>
      </w:pPr>
      <w:r>
        <w:t>3.1 RBAC Matrix</w:t>
      </w:r>
    </w:p>
    <w:tbl>
      <w:tblPr>
        <w:tblStyle w:val="TableGrid"/>
        <w:tblW w:type="dxa" w:w="9360"/>
        <w:jc w:val="left"/>
        <w:tblLayout w:type="fixed"/>
        <w:tblLook w:firstColumn="1" w:firstRow="1" w:lastColumn="0" w:lastRow="0" w:noHBand="0" w:noVBand="1" w:val="04A0"/>
        <w:tblInd w:w="120" w:type="dxa"/>
      </w:tblPr>
      <w:tblGrid>
        <w:gridCol w:w="2500"/>
        <w:gridCol w:w="1715"/>
        <w:gridCol w:w="1715"/>
        <w:gridCol w:w="1715"/>
        <w:gridCol w:w="1715"/>
      </w:tblGrid>
      <w:tr>
        <w:trPr>
          <w:tblHeader w:val="true"/>
        </w:trPr>
        <w:tc>
          <w:tcPr>
            <w:tcW w:type="dxa" w:w="25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5"/>
              </w:rPr>
              <w:t>Capability</w:t>
            </w:r>
          </w:p>
        </w:tc>
        <w:tc>
          <w:tcPr>
            <w:tcW w:type="dxa" w:w="1715"/>
            <w:shd w:fill="F2F4F7"/>
            <w:vAlign w:val="center"/>
            <w:tcMar>
              <w:top w:w="80" w:type="dxa"/>
              <w:start w:w="120" w:type="dxa"/>
              <w:bottom w:w="80" w:type="dxa"/>
              <w:end w:w="120" w:type="dxa"/>
            </w:tcMar>
          </w:tcPr>
          <w:p>
            <w:pPr>
              <w:spacing w:before="0" w:after="0" w:line="240" w:lineRule="auto"/>
            </w:pPr>
            <w:r/>
            <w:r>
              <w:rPr>
                <w:rFonts w:ascii="Calibri" w:hAnsi="Calibri"/>
                <w:b/>
                <w:color w:val="0B2545"/>
                <w:sz w:val="15"/>
              </w:rPr>
              <w:t>Owner</w:t>
            </w:r>
          </w:p>
        </w:tc>
        <w:tc>
          <w:tcPr>
            <w:tcW w:type="dxa" w:w="1715"/>
            <w:shd w:fill="F2F4F7"/>
            <w:vAlign w:val="center"/>
            <w:tcMar>
              <w:top w:w="80" w:type="dxa"/>
              <w:start w:w="120" w:type="dxa"/>
              <w:bottom w:w="80" w:type="dxa"/>
              <w:end w:w="120" w:type="dxa"/>
            </w:tcMar>
          </w:tcPr>
          <w:p>
            <w:pPr>
              <w:spacing w:before="0" w:after="0" w:line="240" w:lineRule="auto"/>
            </w:pPr>
            <w:r/>
            <w:r>
              <w:rPr>
                <w:rFonts w:ascii="Calibri" w:hAnsi="Calibri"/>
                <w:b/>
                <w:color w:val="0B2545"/>
                <w:sz w:val="15"/>
              </w:rPr>
              <w:t>Manager</w:t>
            </w:r>
          </w:p>
        </w:tc>
        <w:tc>
          <w:tcPr>
            <w:tcW w:type="dxa" w:w="1715"/>
            <w:shd w:fill="F2F4F7"/>
            <w:vAlign w:val="center"/>
            <w:tcMar>
              <w:top w:w="80" w:type="dxa"/>
              <w:start w:w="120" w:type="dxa"/>
              <w:bottom w:w="80" w:type="dxa"/>
              <w:end w:w="120" w:type="dxa"/>
            </w:tcMar>
          </w:tcPr>
          <w:p>
            <w:pPr>
              <w:spacing w:before="0" w:after="0" w:line="240" w:lineRule="auto"/>
            </w:pPr>
            <w:r/>
            <w:r>
              <w:rPr>
                <w:rFonts w:ascii="Calibri" w:hAnsi="Calibri"/>
                <w:b/>
                <w:color w:val="0B2545"/>
                <w:sz w:val="15"/>
              </w:rPr>
              <w:t>Sales Exec.</w:t>
            </w:r>
          </w:p>
        </w:tc>
        <w:tc>
          <w:tcPr>
            <w:tcW w:type="dxa" w:w="1715"/>
            <w:shd w:fill="F2F4F7"/>
            <w:vAlign w:val="center"/>
            <w:tcMar>
              <w:top w:w="80" w:type="dxa"/>
              <w:start w:w="120" w:type="dxa"/>
              <w:bottom w:w="80" w:type="dxa"/>
              <w:end w:w="120" w:type="dxa"/>
            </w:tcMar>
          </w:tcPr>
          <w:p>
            <w:pPr>
              <w:spacing w:before="0" w:after="0" w:line="240" w:lineRule="auto"/>
            </w:pPr>
            <w:r/>
            <w:r>
              <w:rPr>
                <w:rFonts w:ascii="Calibri" w:hAnsi="Calibri"/>
                <w:b/>
                <w:color w:val="0B2545"/>
                <w:sz w:val="15"/>
              </w:rPr>
              <w:t>Admin</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5"/>
              </w:rPr>
              <w:t>Sales dashboard</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View all</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View store</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Limited/personal</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All</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5"/>
              </w:rPr>
              <w:t>Sales records</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View</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Create/update</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Create/update</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All</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5"/>
              </w:rPr>
              <w:t>Inventory</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View/analytics</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Manage</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No</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All</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5"/>
              </w:rPr>
              <w:t>Forecasts</w:t>
            </w:r>
          </w:p>
        </w:tc>
        <w:tc>
          <w:tcPr>
            <w:tcW w:type="dxa" w:w="1715"/>
            <w:vAlign w:val="center"/>
            <w:tcMar>
              <w:top w:w="80" w:type="dxa"/>
              <w:start w:w="120" w:type="dxa"/>
              <w:bottom w:w="80" w:type="dxa"/>
              <w:end w:w="120" w:type="dxa"/>
            </w:tcMar>
          </w:tcPr>
          <w:p>
            <w:pPr>
              <w:jc w:val="center"/>
            </w:pPr>
            <w:r/>
            <w:r>
              <w:rPr>
                <w:rFonts w:ascii="Aptos" w:hAnsi="Aptos"/>
                <w:b w:val="0"/>
                <w:sz w:val="18"/>
              </w:rPr>
              <w:t>Business revenue</w:t>
            </w:r>
          </w:p>
        </w:tc>
        <w:tc>
          <w:tcPr>
            <w:tcW w:type="dxa" w:w="1715"/>
            <w:vAlign w:val="center"/>
            <w:tcMar>
              <w:top w:w="80" w:type="dxa"/>
              <w:start w:w="120" w:type="dxa"/>
              <w:bottom w:w="80" w:type="dxa"/>
              <w:end w:w="120" w:type="dxa"/>
            </w:tcMar>
          </w:tcPr>
          <w:p>
            <w:pPr>
              <w:jc w:val="center"/>
            </w:pPr>
            <w:r/>
            <w:r>
              <w:rPr>
                <w:rFonts w:ascii="Aptos" w:hAnsi="Aptos"/>
                <w:b w:val="0"/>
                <w:sz w:val="18"/>
              </w:rPr>
              <w:t>Store demand</w:t>
            </w:r>
          </w:p>
        </w:tc>
        <w:tc>
          <w:tcPr>
            <w:tcW w:type="dxa" w:w="1715"/>
            <w:vAlign w:val="center"/>
            <w:tcMar>
              <w:top w:w="80" w:type="dxa"/>
              <w:start w:w="120" w:type="dxa"/>
              <w:bottom w:w="80" w:type="dxa"/>
              <w:end w:w="120" w:type="dxa"/>
            </w:tcMar>
          </w:tcPr>
          <w:p>
            <w:pPr>
              <w:jc w:val="center"/>
            </w:pPr>
            <w:r/>
            <w:r>
              <w:rPr>
                <w:rFonts w:ascii="Aptos" w:hAnsi="Aptos"/>
                <w:b w:val="0"/>
                <w:sz w:val="18"/>
              </w:rPr>
              <w:t>Personal only</w:t>
            </w:r>
          </w:p>
        </w:tc>
        <w:tc>
          <w:tcPr>
            <w:tcW w:type="dxa" w:w="1715"/>
            <w:vAlign w:val="center"/>
            <w:tcMar>
              <w:top w:w="80" w:type="dxa"/>
              <w:start w:w="120" w:type="dxa"/>
              <w:bottom w:w="80" w:type="dxa"/>
              <w:end w:w="120" w:type="dxa"/>
            </w:tcMar>
          </w:tcPr>
          <w:p>
            <w:pPr>
              <w:jc w:val="center"/>
            </w:pPr>
            <w:r/>
            <w:r>
              <w:rPr>
                <w:rFonts w:ascii="Aptos" w:hAnsi="Aptos"/>
                <w:b w:val="0"/>
                <w:sz w:val="18"/>
              </w:rPr>
              <w:t>All scopes / monitor</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5"/>
              </w:rPr>
              <w:t>Churn</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View/export</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View summary</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No</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All/configure</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5"/>
              </w:rPr>
              <w:t>Recommendations</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View</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View</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View assigned</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All/configure</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5"/>
              </w:rPr>
              <w:t>Customer segments</w:t>
            </w:r>
          </w:p>
        </w:tc>
        <w:tc>
          <w:tcPr>
            <w:tcW w:type="dxa" w:w="1715"/>
            <w:vAlign w:val="center"/>
            <w:tcMar>
              <w:top w:w="80" w:type="dxa"/>
              <w:start w:w="120" w:type="dxa"/>
              <w:bottom w:w="80" w:type="dxa"/>
              <w:end w:w="120" w:type="dxa"/>
            </w:tcMar>
          </w:tcPr>
          <w:p>
            <w:pPr>
              <w:jc w:val="center"/>
            </w:pPr>
            <w:r/>
            <w:r>
              <w:rPr>
                <w:rFonts w:ascii="Aptos" w:hAnsi="Aptos"/>
                <w:b w:val="0"/>
                <w:sz w:val="18"/>
              </w:rPr>
              <w:t>Business-wide</w:t>
            </w:r>
          </w:p>
        </w:tc>
        <w:tc>
          <w:tcPr>
            <w:tcW w:type="dxa" w:w="1715"/>
            <w:vAlign w:val="center"/>
            <w:tcMar>
              <w:top w:w="80" w:type="dxa"/>
              <w:start w:w="120" w:type="dxa"/>
              <w:bottom w:w="80" w:type="dxa"/>
              <w:end w:w="120" w:type="dxa"/>
            </w:tcMar>
          </w:tcPr>
          <w:p>
            <w:pPr>
              <w:jc w:val="center"/>
            </w:pPr>
            <w:r/>
            <w:r>
              <w:rPr>
                <w:rFonts w:ascii="Aptos" w:hAnsi="Aptos"/>
                <w:b w:val="0"/>
                <w:sz w:val="18"/>
              </w:rPr>
              <w:t>Store summary</w:t>
            </w:r>
          </w:p>
        </w:tc>
        <w:tc>
          <w:tcPr>
            <w:tcW w:type="dxa" w:w="1715"/>
            <w:vAlign w:val="center"/>
            <w:tcMar>
              <w:top w:w="80" w:type="dxa"/>
              <w:start w:w="120" w:type="dxa"/>
              <w:bottom w:w="80" w:type="dxa"/>
              <w:end w:w="120" w:type="dxa"/>
            </w:tcMar>
          </w:tcPr>
          <w:p>
            <w:pPr>
              <w:jc w:val="center"/>
            </w:pPr>
            <w:r/>
            <w:r>
              <w:rPr>
                <w:rFonts w:ascii="Aptos" w:hAnsi="Aptos"/>
                <w:b w:val="0"/>
                <w:sz w:val="18"/>
              </w:rPr>
              <w:t>Assigned only</w:t>
            </w:r>
          </w:p>
        </w:tc>
        <w:tc>
          <w:tcPr>
            <w:tcW w:type="dxa" w:w="1715"/>
            <w:vAlign w:val="center"/>
            <w:tcMar>
              <w:top w:w="80" w:type="dxa"/>
              <w:start w:w="120" w:type="dxa"/>
              <w:bottom w:w="80" w:type="dxa"/>
              <w:end w:w="120" w:type="dxa"/>
            </w:tcMar>
          </w:tcPr>
          <w:p>
            <w:pPr>
              <w:jc w:val="center"/>
            </w:pPr>
            <w:r/>
            <w:r>
              <w:rPr>
                <w:rFonts w:ascii="Aptos" w:hAnsi="Aptos"/>
                <w:b w:val="0"/>
                <w:sz w:val="18"/>
              </w:rPr>
              <w:t>All / monitor</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5"/>
              </w:rPr>
              <w:t>Invoices</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View</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View</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Create/update</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All</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5"/>
              </w:rPr>
              <w:t>Users and roles</w:t>
            </w:r>
          </w:p>
        </w:tc>
        <w:tc>
          <w:tcPr>
            <w:tcW w:type="dxa" w:w="1715"/>
            <w:vAlign w:val="center"/>
            <w:tcMar>
              <w:top w:w="80" w:type="dxa"/>
              <w:start w:w="120" w:type="dxa"/>
              <w:bottom w:w="80" w:type="dxa"/>
              <w:end w:w="120" w:type="dxa"/>
            </w:tcMar>
          </w:tcPr>
          <w:p>
            <w:pPr>
              <w:jc w:val="center"/>
            </w:pPr>
            <w:r/>
            <w:r>
              <w:rPr>
                <w:rFonts w:ascii="Aptos" w:hAnsi="Aptos"/>
                <w:b w:val="0"/>
                <w:sz w:val="18"/>
              </w:rPr>
              <w:t>Invite/manage tenant staff</w:t>
            </w:r>
          </w:p>
        </w:tc>
        <w:tc>
          <w:tcPr>
            <w:tcW w:type="dxa" w:w="1715"/>
            <w:vAlign w:val="center"/>
            <w:tcMar>
              <w:top w:w="80" w:type="dxa"/>
              <w:start w:w="120" w:type="dxa"/>
              <w:bottom w:w="80" w:type="dxa"/>
              <w:end w:w="120" w:type="dxa"/>
            </w:tcMar>
          </w:tcPr>
          <w:p>
            <w:pPr>
              <w:jc w:val="center"/>
            </w:pPr>
            <w:r/>
            <w:r>
              <w:rPr>
                <w:rFonts w:ascii="Aptos" w:hAnsi="Aptos"/>
                <w:b w:val="0"/>
                <w:sz w:val="18"/>
              </w:rPr>
              <w:t>No</w:t>
            </w:r>
          </w:p>
        </w:tc>
        <w:tc>
          <w:tcPr>
            <w:tcW w:type="dxa" w:w="1715"/>
            <w:vAlign w:val="center"/>
            <w:tcMar>
              <w:top w:w="80" w:type="dxa"/>
              <w:start w:w="120" w:type="dxa"/>
              <w:bottom w:w="80" w:type="dxa"/>
              <w:end w:w="120" w:type="dxa"/>
            </w:tcMar>
          </w:tcPr>
          <w:p>
            <w:pPr>
              <w:jc w:val="center"/>
            </w:pPr>
            <w:r/>
            <w:r>
              <w:rPr>
                <w:rFonts w:ascii="Aptos" w:hAnsi="Aptos"/>
                <w:b w:val="0"/>
                <w:sz w:val="18"/>
              </w:rPr>
              <w:t>No</w:t>
            </w:r>
          </w:p>
        </w:tc>
        <w:tc>
          <w:tcPr>
            <w:tcW w:type="dxa" w:w="1715"/>
            <w:vAlign w:val="center"/>
            <w:tcMar>
              <w:top w:w="80" w:type="dxa"/>
              <w:start w:w="120" w:type="dxa"/>
              <w:bottom w:w="80" w:type="dxa"/>
              <w:end w:w="120" w:type="dxa"/>
            </w:tcMar>
          </w:tcPr>
          <w:p>
            <w:pPr>
              <w:jc w:val="center"/>
            </w:pPr>
            <w:r/>
            <w:r>
              <w:rPr>
                <w:rFonts w:ascii="Aptos" w:hAnsi="Aptos"/>
                <w:b w:val="0"/>
                <w:sz w:val="18"/>
              </w:rPr>
              <w:t>Platform permissions only</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5"/>
              </w:rPr>
              <w:t>Dataset/model config</w:t>
            </w:r>
          </w:p>
        </w:tc>
        <w:tc>
          <w:tcPr>
            <w:tcW w:type="dxa" w:w="1715"/>
            <w:vAlign w:val="center"/>
            <w:tcMar>
              <w:top w:w="80" w:type="dxa"/>
              <w:start w:w="120" w:type="dxa"/>
              <w:bottom w:w="80" w:type="dxa"/>
              <w:end w:w="120" w:type="dxa"/>
            </w:tcMar>
          </w:tcPr>
          <w:p>
            <w:pPr>
              <w:jc w:val="center"/>
            </w:pPr>
            <w:r/>
            <w:r>
              <w:rPr>
                <w:rFonts w:ascii="Aptos" w:hAnsi="Aptos"/>
                <w:b w:val="0"/>
                <w:sz w:val="18"/>
              </w:rPr>
              <w:t>Run approved tenant training</w:t>
            </w:r>
          </w:p>
        </w:tc>
        <w:tc>
          <w:tcPr>
            <w:tcW w:type="dxa" w:w="1715"/>
            <w:vAlign w:val="center"/>
            <w:tcMar>
              <w:top w:w="80" w:type="dxa"/>
              <w:start w:w="120" w:type="dxa"/>
              <w:bottom w:w="80" w:type="dxa"/>
              <w:end w:w="120" w:type="dxa"/>
            </w:tcMar>
          </w:tcPr>
          <w:p>
            <w:pPr>
              <w:jc w:val="center"/>
            </w:pPr>
            <w:r/>
            <w:r>
              <w:rPr>
                <w:rFonts w:ascii="Aptos" w:hAnsi="Aptos"/>
                <w:b w:val="0"/>
                <w:sz w:val="18"/>
              </w:rPr>
              <w:t>No</w:t>
            </w:r>
          </w:p>
        </w:tc>
        <w:tc>
          <w:tcPr>
            <w:tcW w:type="dxa" w:w="1715"/>
            <w:vAlign w:val="center"/>
            <w:tcMar>
              <w:top w:w="80" w:type="dxa"/>
              <w:start w:w="120" w:type="dxa"/>
              <w:bottom w:w="80" w:type="dxa"/>
              <w:end w:w="120" w:type="dxa"/>
            </w:tcMar>
          </w:tcPr>
          <w:p>
            <w:pPr>
              <w:jc w:val="center"/>
            </w:pPr>
            <w:r/>
            <w:r>
              <w:rPr>
                <w:rFonts w:ascii="Aptos" w:hAnsi="Aptos"/>
                <w:b w:val="0"/>
                <w:sz w:val="18"/>
              </w:rPr>
              <w:t>No</w:t>
            </w:r>
          </w:p>
        </w:tc>
        <w:tc>
          <w:tcPr>
            <w:tcW w:type="dxa" w:w="1715"/>
            <w:vAlign w:val="center"/>
            <w:tcMar>
              <w:top w:w="80" w:type="dxa"/>
              <w:start w:w="120" w:type="dxa"/>
              <w:bottom w:w="80" w:type="dxa"/>
              <w:end w:w="120" w:type="dxa"/>
            </w:tcMar>
          </w:tcPr>
          <w:p>
            <w:pPr>
              <w:jc w:val="center"/>
            </w:pPr>
            <w:r/>
            <w:r>
              <w:rPr>
                <w:rFonts w:ascii="Aptos" w:hAnsi="Aptos"/>
                <w:b w:val="0"/>
                <w:sz w:val="18"/>
              </w:rPr>
              <w:t>Manage / monitor</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5"/>
              </w:rPr>
              <w:t>Audit/security</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No</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No</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No</w:t>
            </w:r>
          </w:p>
        </w:tc>
        <w:tc>
          <w:tcPr>
            <w:tcW w:type="dxa" w:w="1715"/>
            <w:vAlign w:val="center"/>
            <w:tcMar>
              <w:top w:w="80" w:type="dxa"/>
              <w:start w:w="120" w:type="dxa"/>
              <w:bottom w:w="80" w:type="dxa"/>
              <w:end w:w="120" w:type="dxa"/>
            </w:tcMar>
          </w:tcPr>
          <w:p>
            <w:pPr>
              <w:spacing w:before="0" w:after="0" w:line="240" w:lineRule="auto"/>
            </w:pPr>
            <w:r/>
            <w:r>
              <w:rPr>
                <w:rFonts w:ascii="Calibri" w:hAnsi="Calibri"/>
                <w:b w:val="0"/>
                <w:color w:val="0B2545"/>
                <w:sz w:val="15"/>
              </w:rPr>
              <w:t>Manage</w:t>
            </w:r>
          </w:p>
        </w:tc>
      </w:tr>
    </w:tbl>
    <w:p>
      <w:pPr>
        <w:spacing w:after="20"/>
      </w:pPr>
    </w:p>
    <w:p>
      <w:pPr>
        <w:pStyle w:val="Heading2"/>
        <w:keepNext/>
        <w:keepLines/>
      </w:pPr>
      <w:r>
        <w:t>3.2 Identity, Authentication, and Authorization Requirements</w:t>
      </w:r>
    </w:p>
    <w:tbl>
      <w:tblPr>
        <w:tblStyle w:val="TableGrid"/>
        <w:tblW w:type="dxa" w:w="9360"/>
        <w:jc w:val="left"/>
        <w:tblLayout w:type="fixed"/>
        <w:tblLook w:firstColumn="1" w:firstRow="1" w:lastColumn="0" w:lastRow="0" w:noHBand="0" w:noVBand="1" w:val="04A0"/>
        <w:tblInd w:w="120" w:type="dxa"/>
      </w:tblPr>
      <w:tblGrid>
        <w:gridCol w:w="1200"/>
        <w:gridCol w:w="5350"/>
        <w:gridCol w:w="2810"/>
      </w:tblGrid>
      <w:tr>
        <w:trPr>
          <w:tblHeader w:val="true"/>
        </w:trPr>
        <w:tc>
          <w:tcPr>
            <w:tcW w:type="dxa" w:w="120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ID</w:t>
            </w:r>
          </w:p>
        </w:tc>
        <w:tc>
          <w:tcPr>
            <w:tcW w:type="dxa" w:w="535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Requirement</w:t>
            </w:r>
          </w:p>
        </w:tc>
        <w:tc>
          <w:tcPr>
            <w:tcW w:type="dxa" w:w="281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Verification / Acceptance Evidence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FR-AUTH-001</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support secure user invitation/registration, activation, login, logout, password reset, and account deactivation.</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End-to-end identity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FR-AUTH-002</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verify email ownership before enabling normal access, unless users are provisioned by an approved administrator or SSO.</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Unverified accounts are denied.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FR-AUTH-003</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enforce configurable password length and breached/common-password rejection.</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Policy tests and negative cases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FR-AUTH-004</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support multi-factor authentication for administrators and make it configurable for other roles.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MFA enrollment/recovery tested.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FR-AUTH-005</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issue short-lived authenticated sessions/tokens and rotate or revoke refresh credentials after logout, password reset, or account disablement.</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Revocation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FR-AUTH-006</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enforce RBAC in backend authorization middleware for every protected action; hiding a UI control shall not be considered authorization.</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Direct API bypass attempts fail.</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FR-AUTH-007</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bind each user to a tenant and optional store/territory scope and shall prevent cross-tenant access.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Isolation suite passes.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FR-AUTH-008</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deny access by default when no explicit permission is granted.</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Permission matrix negative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FR-AUTH-009</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lock or throttle accounts after configurable repeated authentication failures and record the event.</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Rate/lock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FR-AUTH-010</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allow users to view and update permitted profile fields and preferred locale/time zone.</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Profile validation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FR-AUTH-011</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Administrator role/permission changes shall require re-authentication and shall be audit logged with before/after values.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Audit event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FR-AUTH-012</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terminate inactive sessions after a configurable timeout and warn users before expiration.</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Idle timeout tested.</w:t>
            </w:r>
          </w:p>
        </w:tc>
      </w:tr>
    </w:tbl>
    <w:p>
      <w:pPr>
        <w:spacing w:after="20"/>
      </w:pPr>
    </w:p>
    <w:p>
      <w:pPr>
        <w:pStyle w:val="Heading1"/>
        <w:keepNext/>
        <w:keepLines/>
      </w:pPr>
      <w:r>
        <w:t>4. Functional Requirements</w:t>
      </w:r>
    </w:p>
    <w:p>
      <w:pPr>
        <w:pStyle w:val="Heading2"/>
        <w:keepNext/>
        <w:keepLines/>
      </w:pPr>
      <w:r>
        <w:t>4.1 Business and Master Data</w:t>
      </w:r>
    </w:p>
    <w:tbl>
      <w:tblPr>
        <w:tblStyle w:val="TableGrid"/>
        <w:tblW w:type="dxa" w:w="9360"/>
        <w:jc w:val="left"/>
        <w:tblLayout w:type="fixed"/>
        <w:tblLook w:firstColumn="1" w:firstRow="1" w:lastColumn="0" w:lastRow="0" w:noHBand="0" w:noVBand="1" w:val="04A0"/>
        <w:tblInd w:w="120" w:type="dxa"/>
      </w:tblPr>
      <w:tblGrid>
        <w:gridCol w:w="1200"/>
        <w:gridCol w:w="5350"/>
        <w:gridCol w:w="2810"/>
      </w:tblGrid>
      <w:tr>
        <w:trPr>
          <w:tblHeader w:val="true"/>
        </w:trPr>
        <w:tc>
          <w:tcPr>
            <w:tcW w:type="dxa" w:w="120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ID</w:t>
            </w:r>
          </w:p>
        </w:tc>
        <w:tc>
          <w:tcPr>
            <w:tcW w:type="dxa" w:w="535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Requirement</w:t>
            </w:r>
          </w:p>
        </w:tc>
        <w:tc>
          <w:tcPr>
            <w:tcW w:type="dxa" w:w="281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Verification / Acceptance Evidence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FR-MST-001</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maintain tenant, business, store, warehouse, currency, fiscal calendar, and time-zone master data.</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CRUD and scope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FR-MST-002</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maintain products, SKUs, three-level category hierarchy, status, unit of measure, selling price, cost, tax, and reorder policy.</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Field and hierarchy validation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FR-MST-003</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maintain customer profiles, consent flags, contact preferences, assignment, lifecycle status, and source-system identifier.</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Consent and access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FR-MST-004</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prevent deletion of referenced master records; authorized users may deactivate them with effective dates.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Referential integrity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FR-MST-005</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provide bulk import/export templates for permitted master data with validation feedback.</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Round-trip import test passes.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FR-MST-006</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detect duplicate identifiers and configurable likely duplicates before commit.</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Duplicate scenarios rejected/flagged.</w:t>
            </w:r>
          </w:p>
        </w:tc>
      </w:tr>
    </w:tbl>
    <w:p>
      <w:pPr>
        <w:spacing w:after="20"/>
      </w:pPr>
    </w:p>
    <w:p>
      <w:pPr>
        <w:pStyle w:val="Heading2"/>
        <w:keepNext/>
        <w:keepLines/>
      </w:pPr>
      <w:r>
        <w:t>4.2 Sales Data Upload and Management</w:t>
      </w:r>
    </w:p>
    <w:tbl>
      <w:tblPr>
        <w:tblStyle w:val="TableGrid"/>
        <w:tblW w:type="dxa" w:w="9360"/>
        <w:jc w:val="left"/>
        <w:tblLayout w:type="fixed"/>
        <w:tblLook w:firstColumn="1" w:firstRow="1" w:lastColumn="0" w:lastRow="0" w:noHBand="0" w:noVBand="1" w:val="04A0"/>
        <w:tblInd w:w="120" w:type="dxa"/>
      </w:tblPr>
      <w:tblGrid>
        <w:gridCol w:w="1200"/>
        <w:gridCol w:w="5350"/>
        <w:gridCol w:w="2810"/>
      </w:tblGrid>
      <w:tr>
        <w:trPr>
          <w:tblHeader w:val="true"/>
        </w:trPr>
        <w:tc>
          <w:tcPr>
            <w:tcW w:type="dxa" w:w="120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ID</w:t>
            </w:r>
          </w:p>
        </w:tc>
        <w:tc>
          <w:tcPr>
            <w:tcW w:type="dxa" w:w="535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Requirement</w:t>
            </w:r>
          </w:p>
        </w:tc>
        <w:tc>
          <w:tcPr>
            <w:tcW w:type="dxa" w:w="281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Verification / Acceptance Evidence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FR-UPL-001</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Authorized users shall upload CSV and Parquet sales datasets using a documented template or saved field mapping.</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Supported files import.</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FR-UPL-002</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enforce file type, size, malware scan, encoding, schema, tenant scope, and row-count limits before processing.</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Invalid/malicious files rejected.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FR-UPL-003</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stage uploads and present schema mapping, inferred types, sample values, and warnings before commit.</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Preview matches source.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FR-UPL-004</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validate required fields, data types, ranges, dates, array lengths, identifiers, duplicates, and referential integrity.</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Rule suite produces expected errors.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FR-UPL-005</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return row-level error reports with line/row, field, rejected value, rule, and remediation message.</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Error export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FR-UPL-006</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support atomic imports: committed batches shall not leave partial business records after failure.</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Rollback test passes.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FR-UPL-007</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compute an idempotency fingerprint and prevent accidental duplicate batch ingestion.</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Repeat upload is idempotent.</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FR-UPL-008</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store immutable raw-file metadata, uploader, checksum, mapping version, status, counts, and timestamps.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Lineage record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FR-UPL-009</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Imports exceeding synchronous limits shall run asynchronously with queued/running/completed/failed/cancelled status and progress.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Job lifecycle tested.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FR-UPL-010</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Administrators shall be able to quarantine, reprocess, or supersede a batch without destroying audit history.</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Reprocess preserves lineage.</w:t>
            </w:r>
          </w:p>
        </w:tc>
      </w:tr>
    </w:tbl>
    <w:p>
      <w:pPr>
        <w:spacing w:after="20"/>
      </w:pPr>
    </w:p>
    <w:p>
      <w:pPr>
        <w:pStyle w:val="Heading2"/>
        <w:keepNext/>
        <w:keepLines/>
      </w:pPr>
      <w:r>
        <w:t>4.3 Sales Transaction Processing</w:t>
      </w:r>
    </w:p>
    <w:tbl>
      <w:tblPr>
        <w:tblStyle w:val="TableGrid"/>
        <w:tblW w:type="dxa" w:w="9360"/>
        <w:jc w:val="left"/>
        <w:tblLayout w:type="fixed"/>
        <w:tblLook w:firstColumn="1" w:firstRow="1" w:lastColumn="0" w:lastRow="0" w:noHBand="0" w:noVBand="1" w:val="04A0"/>
        <w:tblInd w:w="120" w:type="dxa"/>
      </w:tblPr>
      <w:tblGrid>
        <w:gridCol w:w="1200"/>
        <w:gridCol w:w="5350"/>
        <w:gridCol w:w="2810"/>
      </w:tblGrid>
      <w:tr>
        <w:trPr>
          <w:tblHeader w:val="true"/>
        </w:trPr>
        <w:tc>
          <w:tcPr>
            <w:tcW w:type="dxa" w:w="120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ID</w:t>
            </w:r>
          </w:p>
        </w:tc>
        <w:tc>
          <w:tcPr>
            <w:tcW w:type="dxa" w:w="535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Requirement</w:t>
            </w:r>
          </w:p>
        </w:tc>
        <w:tc>
          <w:tcPr>
            <w:tcW w:type="dxa" w:w="281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Verification / Acceptance Evidence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FR-SAL-001</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Authorized users shall create, view, correct, and void sales transactions and line items within role and store scope.</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CRUD/void flows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FR-SAL-002</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Each transaction shall have a stable unique identifier, business date/time, store, seller, currency, amounts, tax, discounts, payment status, and optional customer.</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Schema validation passes.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FR-SAL-003</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calculate gross sales, discounts, net sales, tax, refunds, quantity, transaction count, average order value, and gross margin using governed formulas.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Reconciles to test ledger.</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FR-SAL-004</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Corrections and voids shall use reversing/versioned records rather than destructive overwrites.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History is immutable.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FR-SAL-005</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Sales aggregation shall support hour/day/week/month/fiscal period and store/product/category/customer/seller dimensions.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Aggregation test set passes.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FR-SAL-006</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reconcile imported totals against source control totals and display unresolved variances.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Variance report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FR-SAL-007</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prevent negative quantities or amounts except through configured return/refund transaction types.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Negative-case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FR-SAL-008</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expose transaction search, filters, pagination, sorting, and authorized export.</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Usability/API tests pass.</w:t>
            </w:r>
          </w:p>
        </w:tc>
      </w:tr>
    </w:tbl>
    <w:p>
      <w:pPr>
        <w:spacing w:after="20"/>
      </w:pPr>
    </w:p>
    <w:p>
      <w:pPr>
        <w:pStyle w:val="Heading2"/>
        <w:keepNext/>
        <w:keepLines/>
      </w:pPr>
      <w:r>
        <w:t>4.4 Inventory Management</w:t>
      </w:r>
    </w:p>
    <w:tbl>
      <w:tblPr>
        <w:tblStyle w:val="TableGrid"/>
        <w:tblW w:type="dxa" w:w="9360"/>
        <w:jc w:val="left"/>
        <w:tblLayout w:type="fixed"/>
        <w:tblLook w:firstColumn="1" w:firstRow="1" w:lastColumn="0" w:lastRow="0" w:noHBand="0" w:noVBand="1" w:val="04A0"/>
        <w:tblInd w:w="120" w:type="dxa"/>
      </w:tblPr>
      <w:tblGrid>
        <w:gridCol w:w="1200"/>
        <w:gridCol w:w="5350"/>
        <w:gridCol w:w="2810"/>
      </w:tblGrid>
      <w:tr>
        <w:trPr>
          <w:tblHeader w:val="true"/>
        </w:trPr>
        <w:tc>
          <w:tcPr>
            <w:tcW w:type="dxa" w:w="120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ID</w:t>
            </w:r>
          </w:p>
        </w:tc>
        <w:tc>
          <w:tcPr>
            <w:tcW w:type="dxa" w:w="535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Requirement</w:t>
            </w:r>
          </w:p>
        </w:tc>
        <w:tc>
          <w:tcPr>
            <w:tcW w:type="dxa" w:w="281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Verification / Acceptance Evidence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FR-INV-001</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maintain on-hand, reserved, available, damaged, and in-transit quantities by store/warehouse/product.</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Balance calculation passes.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FR-INV-002</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Inventory movements shall capture type, quantity, source, reference, actor, time, and resulting balance.</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Movement ledger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FR-INV-003</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Authorized managers shall record receipts, sales depletion, returns, transfers, write-offs, and adjustments.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Movement workflows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FR-INV-004</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prevent or explicitly authorize stock movements that would create a negative available balance.</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Policy enforcement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FR-INV-005</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support per-product/store reorder point, safety stock, lead time, preferred reorder quantity, and alert threshold.</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Policy CRUD tested.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FR-INV-006</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generate low-stock, out-of-stock, overstock, stale-stock, and abnormal movement alerts.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Configured conditions trigger.</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FR-INV-007</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provide stock aging, turnover, days-of-cover, sell-through, and stockout-duration analytics when required inputs exist.</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Metric formula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FR-INV-008</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Inventory alerts shall link to supporting product, store, balance, trend, and recommended action.</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Alert evidence visible.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FR-INV-009</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 stock-count workflow shall support count entry, variance review, approval, and controlled adjustment.</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Approval workflow tested.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FR-INV-010</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reconcile sales-driven stock movements and flag missing, delayed, or duplicated movements.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Reconciliation exceptions verified.</w:t>
            </w:r>
          </w:p>
        </w:tc>
      </w:tr>
    </w:tbl>
    <w:p>
      <w:pPr>
        <w:spacing w:after="20"/>
      </w:pPr>
    </w:p>
    <w:p>
      <w:pPr>
        <w:pStyle w:val="Heading2"/>
        <w:keepNext/>
        <w:keepLines/>
      </w:pPr>
      <w:r>
        <w:t>4.5 Invoice and Payment Management</w:t>
      </w:r>
    </w:p>
    <w:tbl>
      <w:tblPr>
        <w:tblStyle w:val="TableGrid"/>
        <w:tblW w:type="dxa" w:w="9360"/>
        <w:jc w:val="left"/>
        <w:tblLayout w:type="fixed"/>
        <w:tblLook w:firstColumn="1" w:firstRow="1" w:lastColumn="0" w:lastRow="0" w:noHBand="0" w:noVBand="1" w:val="04A0"/>
        <w:tblInd w:w="120" w:type="dxa"/>
      </w:tblPr>
      <w:tblGrid>
        <w:gridCol w:w="1200"/>
        <w:gridCol w:w="5350"/>
        <w:gridCol w:w="2810"/>
      </w:tblGrid>
      <w:tr>
        <w:trPr>
          <w:tblHeader w:val="true"/>
        </w:trPr>
        <w:tc>
          <w:tcPr>
            <w:tcW w:type="dxa" w:w="120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ID</w:t>
            </w:r>
          </w:p>
        </w:tc>
        <w:tc>
          <w:tcPr>
            <w:tcW w:type="dxa" w:w="535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Requirement</w:t>
            </w:r>
          </w:p>
        </w:tc>
        <w:tc>
          <w:tcPr>
            <w:tcW w:type="dxa" w:w="281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Verification / Acceptance Evidence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FR-BIL-001</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Authorized users shall create invoices from sales or manually create permitted invoices with one or more line items.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Invoice creation tested.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FR-BIL-002</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Invoice numbering shall be unique per tenant and follow a configurable sequence and prefix.</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Concurrency uniqueness test passes.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FR-BIL-003</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calculate subtotal, discounts, tax, total, amount paid, balance due, and due date.</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Calculation suite passes.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FR-BIL-004</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Invoices shall support draft, issued, partially paid, paid, overdue, cancelled, and refunded states with valid transitions.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State machine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FR-BIL-005</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Authorized users shall record payments, payment method/reference, refunds, and reconciliation notes.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Payment ledger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FR-BIL-006</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Issued invoices shall be downloadable as a stable PDF and optionally emailed through an approved provider.</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PDF/email evidence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FR-BIL-007</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provide aging and overdue views and configurable reminders without sending duplicate reminders.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Aging/reminder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FR-BIL-008</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Issued financial records shall not be hard-deleted; corrections shall preserve audit history.</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Retention controls verified.</w:t>
            </w:r>
          </w:p>
        </w:tc>
      </w:tr>
    </w:tbl>
    <w:p>
      <w:pPr>
        <w:spacing w:after="20"/>
      </w:pPr>
    </w:p>
    <w:p>
      <w:pPr>
        <w:pStyle w:val="Heading2"/>
        <w:keepNext/>
        <w:keepLines/>
      </w:pPr>
      <w:r>
        <w:t>4.6 Dashboards, Analytics, and Reporting</w:t>
      </w:r>
    </w:p>
    <w:tbl>
      <w:tblPr>
        <w:tblStyle w:val="TableGrid"/>
        <w:tblW w:type="dxa" w:w="9360"/>
        <w:jc w:val="left"/>
        <w:tblLayout w:type="fixed"/>
        <w:tblLook w:firstColumn="1" w:firstRow="1" w:lastColumn="0" w:lastRow="0" w:noHBand="0" w:noVBand="1" w:val="04A0"/>
        <w:tblInd w:w="120" w:type="dxa"/>
      </w:tblPr>
      <w:tblGrid>
        <w:gridCol w:w="1200"/>
        <w:gridCol w:w="5350"/>
        <w:gridCol w:w="2810"/>
      </w:tblGrid>
      <w:tr>
        <w:trPr>
          <w:tblHeader w:val="true"/>
        </w:trPr>
        <w:tc>
          <w:tcPr>
            <w:tcW w:type="dxa" w:w="120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ID</w:t>
            </w:r>
          </w:p>
        </w:tc>
        <w:tc>
          <w:tcPr>
            <w:tcW w:type="dxa" w:w="535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Requirement</w:t>
            </w:r>
          </w:p>
        </w:tc>
        <w:tc>
          <w:tcPr>
            <w:tcW w:type="dxa" w:w="281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Verification / Acceptance Evidence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FR-DAS-001</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provide role-specific dashboards with tenant/store/date/currency scope applied server-side.</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Role screenshots and API tests.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FR-DAS-002</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sales dashboard shall display net revenue, growth, transaction count, quantity, average order value, gross margin when available, and comparison to prior period/target.</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KPI reconciliation passes.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FR-DAS-003</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Users shall filter and drill from KPI to store, category, product, seller, customer, and transaction where authorized.</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Drill path tested.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FR-DAS-004</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All KPI cards and charts shall expose metric definition, calculation timestamp, data freshness, scope, and units.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Metadata visible.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FR-DAS-005</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inventory dashboard shall show current risk, low/out-of-stock products, movements, turnover, and alerts.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Dashboard acceptance test.</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FR-DAS-006</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AI dashboards shall distinguish actuals from predictions and display model version, horizon, confidence/uncertainty, and last run.</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Labels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FR-DAS-007</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Users shall save permitted filter views and reset to a role-appropriate default.</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Saved view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FR-DAS-008</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Reports shall be downloadable as CSV/XLSX for data and PDF for presentation, with applied filters and generation timestamp.</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Export content reconciles.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FR-DAS-009</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Large report generation shall run asynchronously and enforce authorization again at download time.</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Async/auth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FR-DAS-010</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Dashboard empty, partial, delayed, and error states shall explain the condition and next action without showing misleading zeroes.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State review passes.</w:t>
            </w:r>
          </w:p>
        </w:tc>
      </w:tr>
    </w:tbl>
    <w:p>
      <w:pPr>
        <w:spacing w:after="20"/>
      </w:pPr>
    </w:p>
    <w:p>
      <w:pPr>
        <w:pStyle w:val="Heading2"/>
        <w:keepNext/>
        <w:keepLines/>
      </w:pPr>
      <w:r>
        <w:t>4.7 Customer Segmentation</w:t>
      </w:r>
    </w:p>
    <w:tbl>
      <w:tblPr>
        <w:tblStyle w:val="TableGrid"/>
        <w:tblW w:type="dxa" w:w="9360"/>
        <w:jc w:val="left"/>
        <w:tblLayout w:type="fixed"/>
        <w:tblLook w:firstColumn="1" w:firstRow="1" w:lastColumn="0" w:lastRow="0" w:noHBand="0" w:noVBand="1" w:val="04A0"/>
        <w:tblInd w:w="120" w:type="dxa"/>
      </w:tblPr>
      <w:tblGrid>
        <w:gridCol w:w="1200"/>
        <w:gridCol w:w="5350"/>
        <w:gridCol w:w="2810"/>
      </w:tblGrid>
      <w:tr>
        <w:trPr>
          <w:tblHeader w:val="true"/>
        </w:trPr>
        <w:tc>
          <w:tcPr>
            <w:tcW w:type="dxa" w:w="120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ID</w:t>
            </w:r>
          </w:p>
        </w:tc>
        <w:tc>
          <w:tcPr>
            <w:tcW w:type="dxa" w:w="535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Requirement</w:t>
            </w:r>
          </w:p>
        </w:tc>
        <w:tc>
          <w:tcPr>
            <w:tcW w:type="dxa" w:w="281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Verification / Acceptance Evidence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FR-SEG-001</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compute configurable customer features including recency, frequency, monetary value, tenure, discount affinity, category breadth, and engagement.</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Feature definitions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FR-SEG-002</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pipeline shall support K-Means and at least one comparator such as hierarchical clustering.</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Both algorithms evaluated.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FR-SEG-003</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Training shall standardize/encode features, handle missing values, detect outliers, and record preprocessing artifacts.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Pipeline reproducible.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FR-SEG-004</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select/approve a cluster count using quantitative metrics and business interpretability.</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Silhouette and review recorded.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FR-SEG-005</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Each segment shall have a stable version, label, profile, size, distinguishing features, and recommended business actions.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Segment report complete.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FR-SEG-006</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Authorized users shall view segment summaries and permitted customer membership and export results.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RBAC/export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FR-SEG-007</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monitor population shift, assignment stability, and material segment-size changes.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Monitoring alert tested.</w:t>
            </w:r>
          </w:p>
        </w:tc>
      </w:tr>
    </w:tbl>
    <w:p>
      <w:pPr>
        <w:spacing w:after="20"/>
      </w:pPr>
    </w:p>
    <w:p>
      <w:pPr>
        <w:pStyle w:val="Heading2"/>
        <w:keepNext/>
        <w:keepLines/>
      </w:pPr>
      <w:r>
        <w:t>4.8 Sales and Demand Forecasting</w:t>
      </w:r>
    </w:p>
    <w:tbl>
      <w:tblPr>
        <w:tblStyle w:val="TableGrid"/>
        <w:tblW w:type="dxa" w:w="9360"/>
        <w:jc w:val="left"/>
        <w:tblLayout w:type="fixed"/>
        <w:tblLook w:firstColumn="1" w:firstRow="1" w:lastColumn="0" w:lastRow="0" w:noHBand="0" w:noVBand="1" w:val="04A0"/>
        <w:tblInd w:w="120" w:type="dxa"/>
      </w:tblPr>
      <w:tblGrid>
        <w:gridCol w:w="1200"/>
        <w:gridCol w:w="5350"/>
        <w:gridCol w:w="2810"/>
      </w:tblGrid>
      <w:tr>
        <w:trPr>
          <w:tblHeader w:val="true"/>
        </w:trPr>
        <w:tc>
          <w:tcPr>
            <w:tcW w:type="dxa" w:w="120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ID</w:t>
            </w:r>
          </w:p>
        </w:tc>
        <w:tc>
          <w:tcPr>
            <w:tcW w:type="dxa" w:w="535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Requirement</w:t>
            </w:r>
          </w:p>
        </w:tc>
        <w:tc>
          <w:tcPr>
            <w:tcW w:type="dxa" w:w="281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Verification / Acceptance Evidence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FR-FCT-001</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generate forecasts for configurable store/product/category/aggregate series and day/week/month horizons.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Forecast jobs cover scopes.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FR-FCT-002</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Features shall include historical sales, calendar/seasonality, discounts/promotions, holidays, stock availability, and weather when available.</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Feature lineage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FR-FCT-003</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pipeline shall compare at least a seasonal naive baseline with approved candidates such as Prophet, XGBoost, and Random Forest.</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Evaluation report contains baseline.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FR-FCT-004</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Training and validation shall use chronological splits or rolling backtests; random leakage across time is prohibited.</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Split audit passes.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FR-FCT-005</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Forecasts shall include point estimates and an uncertainty interval or calibrated prediction range.</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Output schema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FR-FCT-006</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report MAE, RMSE, R2 where meaningful, bias, and business-weighted error by key dimensions.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Metric computation tested.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FR-FCT-007</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identify insufficient-history, intermittent-demand, cold-start, and stockout-censored series.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Edge cases labeled.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FR-FCT-008</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Authorized users shall view forecast vs. actual, trend, seasonality, drivers, and downloadable forecast data.</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UI/export acceptance.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FR-FCT-009</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Forecasts shall never overwrite actual transactions and shall be versioned by run/model/horizon.</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Data separation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FR-FCT-010</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Actuals shall be joined to matured forecasts to calculate ongoing accuracy and drift.</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Monitoring backfill verified.</w:t>
            </w:r>
          </w:p>
        </w:tc>
      </w:tr>
    </w:tbl>
    <w:p>
      <w:pPr>
        <w:spacing w:after="20"/>
      </w:pPr>
    </w:p>
    <w:p>
      <w:pPr>
        <w:pStyle w:val="Heading2"/>
        <w:keepNext/>
        <w:keepLines/>
      </w:pPr>
      <w:r>
        <w:t>4.9 Customer Churn Prediction (Milestone 3 - Planned)</w:t>
      </w:r>
    </w:p>
    <w:tbl>
      <w:tblPr>
        <w:tblStyle w:val="TableGrid"/>
        <w:tblW w:type="dxa" w:w="9360"/>
        <w:jc w:val="left"/>
        <w:tblLayout w:type="fixed"/>
        <w:tblLook w:firstColumn="1" w:firstRow="1" w:lastColumn="0" w:lastRow="0" w:noHBand="0" w:noVBand="1" w:val="04A0"/>
        <w:tblInd w:w="120" w:type="dxa"/>
      </w:tblPr>
      <w:tblGrid>
        <w:gridCol w:w="1200"/>
        <w:gridCol w:w="5350"/>
        <w:gridCol w:w="2810"/>
      </w:tblGrid>
      <w:tr>
        <w:trPr>
          <w:tblHeader w:val="true"/>
        </w:trPr>
        <w:tc>
          <w:tcPr>
            <w:tcW w:type="dxa" w:w="120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ID</w:t>
            </w:r>
          </w:p>
        </w:tc>
        <w:tc>
          <w:tcPr>
            <w:tcW w:type="dxa" w:w="535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Requirement</w:t>
            </w:r>
          </w:p>
        </w:tc>
        <w:tc>
          <w:tcPr>
            <w:tcW w:type="dxa" w:w="281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Verification / Acceptance Evidence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FR-CHN-001</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Product Owner shall configure the churn observation window, prediction window, inactivity threshold, eligibility, and exclusions.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Definition is versioned.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FR-CHN-002</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build labels without using information after the prediction cutoff.</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Leakage audit passes.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FR-CHN-003</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pipeline shall compare logistic regression with approved tree-based candidates such as Random Forest and XGBoost.</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Benchmark report complete.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FR-CHN-004</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report accuracy, precision, recall, F1, ROC-AUC/PR-AUC as appropriate, calibration, and confusion matrix by approved slices.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Metrics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FR-CHN-005</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Each eligible customer shall receive a probability, risk band, model version, score time, and top permitted drivers.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Scoring schema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FR-CHN-006</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Authorized users shall filter risk lists and record retention action, owner, due date, outcome, and notes.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Workflow tested.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FR-CHN-007</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monitor class balance, performance, calibration, feature drift, and group-level disparities.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Monitoring dashboard complete.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FR-CHN-008</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No customer shall be denied service or subject to automated adverse action solely from a churn score.</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Policy and UI notice verified.</w:t>
            </w:r>
          </w:p>
        </w:tc>
      </w:tr>
    </w:tbl>
    <w:p>
      <w:pPr>
        <w:spacing w:after="20"/>
      </w:pPr>
    </w:p>
    <w:p>
      <w:pPr>
        <w:pStyle w:val="Heading2"/>
        <w:keepNext/>
        <w:keepLines/>
      </w:pPr>
      <w:r>
        <w:t>4.10 Product Recommendation Engine (Milestone 3 - Planned)</w:t>
      </w:r>
    </w:p>
    <w:tbl>
      <w:tblPr>
        <w:tblStyle w:val="TableGrid"/>
        <w:tblW w:type="dxa" w:w="9360"/>
        <w:jc w:val="left"/>
        <w:tblLayout w:type="fixed"/>
        <w:tblLook w:firstColumn="1" w:firstRow="1" w:lastColumn="0" w:lastRow="0" w:noHBand="0" w:noVBand="1" w:val="04A0"/>
        <w:tblInd w:w="120" w:type="dxa"/>
      </w:tblPr>
      <w:tblGrid>
        <w:gridCol w:w="1200"/>
        <w:gridCol w:w="5350"/>
        <w:gridCol w:w="2810"/>
      </w:tblGrid>
      <w:tr>
        <w:trPr>
          <w:tblHeader w:val="true"/>
        </w:trPr>
        <w:tc>
          <w:tcPr>
            <w:tcW w:type="dxa" w:w="120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ID</w:t>
            </w:r>
          </w:p>
        </w:tc>
        <w:tc>
          <w:tcPr>
            <w:tcW w:type="dxa" w:w="535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Requirement</w:t>
            </w:r>
          </w:p>
        </w:tc>
        <w:tc>
          <w:tcPr>
            <w:tcW w:type="dxa" w:w="281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Verification / Acceptance Evidence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FR-REC-001</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support association-rule recommendations and, when customer-item history is sufficient, collaborative filtering.</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Both supported paths tested.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FR-REC-002</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Recommendations shall support cross-sell, upsell, complementary, and personalized contexts.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Context output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FR-REC-003</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engine shall exclude inactive, unavailable, restricted, already-in-cart where inappropriate, and tenant-ineligible products.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Eligibility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FR-REC-004</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Each result shall include ranked products, score, reason, model/rule version, and generation time.</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Response contract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FR-REC-005</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engine shall provide popularity/category fallbacks for new users or sparse histories.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Cold-start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FR-REC-006</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Offline evaluation shall include Precision@K, Recall@K, coverage, diversity, and popularity bias; online use shall log impressions, clicks, additions, and conversions.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Metric/event logs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FR-REC-007</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Authorized users shall view recommendations in customer, product, invoice, and operational contexts allowed by role.</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RBAC/UI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FR-REC-008</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Business users shall be able to provide permitted feedback or suppress a result, with changes audited.</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Feedback loop tested.</w:t>
            </w:r>
          </w:p>
        </w:tc>
      </w:tr>
    </w:tbl>
    <w:p>
      <w:pPr>
        <w:spacing w:after="20"/>
      </w:pPr>
    </w:p>
    <w:p>
      <w:pPr>
        <w:pStyle w:val="Heading2"/>
        <w:keepNext/>
        <w:keepLines/>
      </w:pPr>
      <w:r>
        <w:t>4.11 Anomaly Detection and Alerts (Rules Implemented; ML Model Planned for Milestone 3)</w:t>
      </w:r>
    </w:p>
    <w:tbl>
      <w:tblPr>
        <w:tblStyle w:val="TableGrid"/>
        <w:tblW w:type="dxa" w:w="9360"/>
        <w:jc w:val="left"/>
        <w:tblLayout w:type="fixed"/>
        <w:tblLook w:firstColumn="1" w:firstRow="1" w:lastColumn="0" w:lastRow="0" w:noHBand="0" w:noVBand="1" w:val="04A0"/>
        <w:tblInd w:w="120" w:type="dxa"/>
      </w:tblPr>
      <w:tblGrid>
        <w:gridCol w:w="1200"/>
        <w:gridCol w:w="5350"/>
        <w:gridCol w:w="2810"/>
      </w:tblGrid>
      <w:tr>
        <w:trPr>
          <w:tblHeader w:val="true"/>
        </w:trPr>
        <w:tc>
          <w:tcPr>
            <w:tcW w:type="dxa" w:w="120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ID</w:t>
            </w:r>
          </w:p>
        </w:tc>
        <w:tc>
          <w:tcPr>
            <w:tcW w:type="dxa" w:w="535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Requirement</w:t>
            </w:r>
          </w:p>
        </w:tc>
        <w:tc>
          <w:tcPr>
            <w:tcW w:type="dxa" w:w="281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Verification / Acceptance Evidence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FR-ANO-001</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detect unusual sales amounts/frequency, discounts, returns, revenue patterns, stock changes, and data-quality anomalies.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Scenario library triggers.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FR-ANO-002</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detection pipeline shall support statistical rules and an approved model such as Isolation Forest.</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Rule/model outputs compared.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FR-ANO-003</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Thresholds shall be configurable by tenant and relevant store/product/category context.</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Configuration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FR-ANO-004</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Each anomaly shall have type, severity, score, evidence, baseline, affected entity, occurrence time, detector version, and status.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Alert schema complete.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FR-ANO-005</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Alerts shall support new, acknowledged, investigating, resolved, dismissed, and reopened states with assignee and notes.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State transitions tested.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FR-ANO-006</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deduplicate/correlate repeated detections and suppress alerts during approved maintenance or known events.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Noise controls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FR-ANO-007</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Authorized users shall provide true-positive/false-positive feedback for tuning and evaluation.</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Feedback recorded.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FR-ANO-008</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Anomaly performance shall report reviewed detection accuracy/precision, recall where labels exist, false-positive rate, and mean time to acknowledge/resolve.</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Operational metrics available.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FR-ANO-009</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High-severity alerts shall optionally notify configured recipients through in-app and approved email/SMS channels.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Delivery and retry tests pass.</w:t>
            </w:r>
          </w:p>
        </w:tc>
      </w:tr>
    </w:tbl>
    <w:p>
      <w:pPr>
        <w:spacing w:after="20"/>
      </w:pPr>
    </w:p>
    <w:p>
      <w:pPr>
        <w:pStyle w:val="Heading2"/>
        <w:keepNext/>
        <w:keepLines/>
      </w:pPr>
      <w:r>
        <w:t>4.12 Administration, Dataset, and Model Operations</w:t>
      </w:r>
    </w:p>
    <w:tbl>
      <w:tblPr>
        <w:tblStyle w:val="TableGrid"/>
        <w:tblW w:type="dxa" w:w="9360"/>
        <w:jc w:val="left"/>
        <w:tblLayout w:type="fixed"/>
        <w:tblLook w:firstColumn="1" w:firstRow="1" w:lastColumn="0" w:lastRow="0" w:noHBand="0" w:noVBand="1" w:val="04A0"/>
        <w:tblInd w:w="120" w:type="dxa"/>
      </w:tblPr>
      <w:tblGrid>
        <w:gridCol w:w="1200"/>
        <w:gridCol w:w="5350"/>
        <w:gridCol w:w="2810"/>
      </w:tblGrid>
      <w:tr>
        <w:trPr>
          <w:tblHeader w:val="true"/>
        </w:trPr>
        <w:tc>
          <w:tcPr>
            <w:tcW w:type="dxa" w:w="120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ID</w:t>
            </w:r>
          </w:p>
        </w:tc>
        <w:tc>
          <w:tcPr>
            <w:tcW w:type="dxa" w:w="535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Requirement</w:t>
            </w:r>
          </w:p>
        </w:tc>
        <w:tc>
          <w:tcPr>
            <w:tcW w:type="dxa" w:w="2810"/>
            <w:shd w:fill="E8EEF5"/>
            <w:vAlign w:val="center"/>
            <w:tcMar>
              <w:top w:w="80" w:type="dxa"/>
              <w:start w:w="120" w:type="dxa"/>
              <w:bottom w:w="80" w:type="dxa"/>
              <w:end w:w="120" w:type="dxa"/>
            </w:tcMar>
          </w:tcPr>
          <w:p>
            <w:pPr>
              <w:spacing w:before="0" w:after="0" w:line="240" w:lineRule="auto"/>
            </w:pPr>
            <w:r/>
            <w:r>
              <w:rPr>
                <w:rFonts w:ascii="Calibri" w:hAnsi="Calibri"/>
                <w:b/>
                <w:color w:val="0B2545"/>
                <w:sz w:val="16"/>
              </w:rPr>
              <w:t>Verification / Acceptance Evidence</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FR-ADM-001</w:t>
            </w:r>
          </w:p>
        </w:tc>
        <w:tc>
          <w:tcPr>
            <w:tcW w:type="dxa" w:w="5350"/>
            <w:vAlign w:val="center"/>
            <w:tcMar>
              <w:top w:w="80" w:type="dxa"/>
              <w:start w:w="120" w:type="dxa"/>
              <w:bottom w:w="80" w:type="dxa"/>
              <w:end w:w="120" w:type="dxa"/>
            </w:tcMar>
          </w:tcPr>
          <w:p>
            <w:r/>
            <w:r>
              <w:rPr>
                <w:rFonts w:ascii="Aptos" w:hAnsi="Aptos"/>
                <w:b w:val="0"/>
                <w:sz w:val="18"/>
              </w:rPr>
              <w:t>Business Owners shall manage Store Manager and Sales Executive accounts inside their tenant. The internally provisioned Administrator shall manage platform permissions, security, datasets and models, but not tenant workforce accounts.</w:t>
            </w:r>
          </w:p>
        </w:tc>
        <w:tc>
          <w:tcPr>
            <w:tcW w:type="dxa" w:w="2810"/>
            <w:vAlign w:val="center"/>
            <w:tcMar>
              <w:top w:w="80" w:type="dxa"/>
              <w:start w:w="120" w:type="dxa"/>
              <w:bottom w:w="80" w:type="dxa"/>
              <w:end w:w="120" w:type="dxa"/>
            </w:tcMar>
          </w:tcPr>
          <w:p>
            <w:r/>
            <w:r>
              <w:rPr>
                <w:rFonts w:ascii="Aptos" w:hAnsi="Aptos"/>
                <w:b w:val="0"/>
                <w:sz w:val="18"/>
              </w:rPr>
              <w:t>Owner workforce and administrator restriction tests pass.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FR-ADM-002</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Administrators shall manage dataset schemas, mappings, quality rules, retention, and job schedules.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Configuration versioned.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FR-ADM-003</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model registry shall store model/version, algorithm, feature schema, training window, code/data references, metrics, approval, artifact checksum, and state.</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Registry completeness verified.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FR-ADM-004</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Only authorized administrators shall promote, deactivate, or roll back a model; promotion shall require recorded evaluation and approval.</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Promotion workflow tested.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FR-ADM-005</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Administrators shall configure retraining schedules, thresholds, forecast horizons, churn definitions, and alert policies.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Settings effective and audited.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FR-ADM-006</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provide job history, logs, error summaries, retry, cancel, and safe re-run controls.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Job operations tested.</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FR-ADM-007</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All privileged changes shall generate immutable audit records and optional security alerts.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Audit coverage report passes.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FR-ADM-008</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Deployment settings shall reference secrets through the environment/secret manager and shall not reveal secret values in the UI or logs.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Secret scanning passes.</w:t>
            </w:r>
          </w:p>
        </w:tc>
      </w:tr>
      <w:tr>
        <w:tc>
          <w:tcPr>
            <w:tcW w:type="dxa" w:w="1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FR-ADM-009</w:t>
            </w:r>
          </w:p>
        </w:tc>
        <w:tc>
          <w:tcPr>
            <w:tcW w:type="dxa" w:w="5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 feature flag mechanism shall enable controlled rollout and rollback of high-risk analytics capabilities.</w:t>
            </w:r>
          </w:p>
        </w:tc>
        <w:tc>
          <w:tcPr>
            <w:tcW w:type="dxa" w:w="2810"/>
            <w:vAlign w:val="center"/>
            <w:tcMar>
              <w:top w:w="80" w:type="dxa"/>
              <w:start w:w="120" w:type="dxa"/>
              <w:bottom w:w="80" w:type="dxa"/>
              <w:end w:w="120" w:type="dxa"/>
            </w:tcMar>
          </w:tcPr>
          <w:p>
            <w:pPr>
              <w:spacing w:before="0" w:after="0" w:line="240" w:lineRule="auto"/>
            </w:pPr>
            <w:r/>
            <w:r>
              <w:rPr>
                <w:rFonts w:ascii="Calibri" w:hAnsi="Calibri"/>
                <w:b w:val="0"/>
                <w:color w:val="0B2545"/>
                <w:sz w:val="16"/>
              </w:rPr>
              <w:t>Flag behavior tested.</w:t>
            </w:r>
          </w:p>
        </w:tc>
      </w:tr>
    </w:tbl>
    <w:p>
      <w:pPr>
        <w:spacing w:after="20"/>
      </w:pPr>
    </w:p>
    <w:p>
      <w:pPr>
        <w:pStyle w:val="Heading1"/>
        <w:keepNext/>
        <w:keepLines/>
      </w:pPr>
      <w:r>
        <w:t>5. Key Use Cases</w:t>
      </w:r>
    </w:p>
    <w:tbl>
      <w:tblPr>
        <w:tblStyle w:val="TableGrid"/>
        <w:tblW w:type="dxa" w:w="9360"/>
        <w:jc w:val="left"/>
        <w:tblLayout w:type="fixed"/>
        <w:tblLook w:firstColumn="1" w:firstRow="1" w:lastColumn="0" w:lastRow="0" w:noHBand="0" w:noVBand="1" w:val="04A0"/>
        <w:tblInd w:w="120" w:type="dxa"/>
      </w:tblPr>
      <w:tblGrid>
        <w:gridCol w:w="750"/>
        <w:gridCol w:w="2200"/>
        <w:gridCol w:w="1400"/>
        <w:gridCol w:w="2100"/>
        <w:gridCol w:w="2910"/>
      </w:tblGrid>
      <w:tr>
        <w:trPr>
          <w:tblHeader w:val="true"/>
          <w:cantSplit/>
        </w:trPr>
        <w:tc>
          <w:tcPr>
            <w:tcW w:type="dxa" w:w="75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5"/>
              </w:rPr>
              <w:t>ID</w:t>
            </w:r>
          </w:p>
        </w:tc>
        <w:tc>
          <w:tcPr>
            <w:tcW w:type="dxa" w:w="22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5"/>
              </w:rPr>
              <w:t>Use case</w:t>
            </w:r>
          </w:p>
        </w:tc>
        <w:tc>
          <w:tcPr>
            <w:tcW w:type="dxa" w:w="14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5"/>
              </w:rPr>
              <w:t>Actor</w:t>
            </w:r>
          </w:p>
        </w:tc>
        <w:tc>
          <w:tcPr>
            <w:tcW w:type="dxa" w:w="21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5"/>
              </w:rPr>
              <w:t>Precondition</w:t>
            </w:r>
          </w:p>
        </w:tc>
        <w:tc>
          <w:tcPr>
            <w:tcW w:type="dxa" w:w="291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5"/>
              </w:rPr>
              <w:t>Success outcome</w:t>
            </w:r>
          </w:p>
        </w:tc>
      </w:tr>
      <w:tr>
        <w:trPr>
          <w:cantSplit/>
        </w:trPr>
        <w:tc>
          <w:tcPr>
            <w:tcW w:type="dxa" w:w="750"/>
            <w:vAlign w:val="center"/>
            <w:tcMar>
              <w:top w:w="80" w:type="dxa"/>
              <w:start w:w="120" w:type="dxa"/>
              <w:bottom w:w="80" w:type="dxa"/>
              <w:end w:w="120" w:type="dxa"/>
            </w:tcMar>
          </w:tcPr>
          <w:p>
            <w:pPr>
              <w:spacing w:before="0" w:after="0" w:line="240" w:lineRule="auto"/>
            </w:pPr>
            <w:r/>
            <w:r>
              <w:rPr>
                <w:rFonts w:ascii="Calibri" w:hAnsi="Calibri"/>
                <w:b w:val="0"/>
                <w:color w:val="0B2545"/>
                <w:sz w:val="15"/>
              </w:rPr>
              <w:t>UC-01</w:t>
            </w:r>
          </w:p>
        </w:tc>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5"/>
              </w:rPr>
              <w:t>Authenticate and enter role dashboard</w:t>
            </w:r>
          </w:p>
        </w:tc>
        <w:tc>
          <w:tcPr>
            <w:tcW w:type="dxa" w:w="1400"/>
            <w:vAlign w:val="center"/>
            <w:tcMar>
              <w:top w:w="80" w:type="dxa"/>
              <w:start w:w="120" w:type="dxa"/>
              <w:bottom w:w="80" w:type="dxa"/>
              <w:end w:w="120" w:type="dxa"/>
            </w:tcMar>
          </w:tcPr>
          <w:p>
            <w:r/>
            <w:r>
              <w:rPr>
                <w:rFonts w:ascii="Aptos" w:hAnsi="Aptos"/>
                <w:b w:val="0"/>
                <w:sz w:val="18"/>
              </w:rPr>
              <w:t>Activated user</w:t>
            </w:r>
          </w:p>
        </w:tc>
        <w:tc>
          <w:tcPr>
            <w:tcW w:type="dxa" w:w="2100"/>
            <w:vAlign w:val="center"/>
            <w:tcMar>
              <w:top w:w="80" w:type="dxa"/>
              <w:start w:w="120" w:type="dxa"/>
              <w:bottom w:w="80" w:type="dxa"/>
              <w:end w:w="120" w:type="dxa"/>
            </w:tcMar>
          </w:tcPr>
          <w:p>
            <w:r/>
            <w:r>
              <w:rPr>
                <w:rFonts w:ascii="Aptos" w:hAnsi="Aptos"/>
                <w:b w:val="0"/>
                <w:sz w:val="18"/>
              </w:rPr>
              <w:t>Credentials valid; Administrator MFA valid</w:t>
            </w:r>
          </w:p>
        </w:tc>
        <w:tc>
          <w:tcPr>
            <w:tcW w:type="dxa" w:w="2910"/>
            <w:vAlign w:val="center"/>
            <w:tcMar>
              <w:top w:w="80" w:type="dxa"/>
              <w:start w:w="120" w:type="dxa"/>
              <w:bottom w:w="80" w:type="dxa"/>
              <w:end w:w="120" w:type="dxa"/>
            </w:tcMar>
          </w:tcPr>
          <w:p>
            <w:r/>
            <w:r>
              <w:rPr>
                <w:rFonts w:ascii="Aptos" w:hAnsi="Aptos"/>
                <w:b w:val="0"/>
                <w:sz w:val="18"/>
              </w:rPr>
              <w:t>Role-scoped dashboard with tenant/store context</w:t>
            </w:r>
          </w:p>
        </w:tc>
      </w:tr>
      <w:tr>
        <w:trPr>
          <w:cantSplit/>
        </w:trPr>
        <w:tc>
          <w:tcPr>
            <w:tcW w:type="dxa" w:w="750"/>
            <w:vAlign w:val="center"/>
            <w:tcMar>
              <w:top w:w="80" w:type="dxa"/>
              <w:start w:w="120" w:type="dxa"/>
              <w:bottom w:w="80" w:type="dxa"/>
              <w:end w:w="120" w:type="dxa"/>
            </w:tcMar>
          </w:tcPr>
          <w:p>
            <w:pPr>
              <w:spacing w:before="0" w:after="0" w:line="240" w:lineRule="auto"/>
            </w:pPr>
            <w:r/>
            <w:r>
              <w:rPr>
                <w:rFonts w:ascii="Calibri" w:hAnsi="Calibri"/>
                <w:b w:val="0"/>
                <w:color w:val="0B2545"/>
                <w:sz w:val="15"/>
              </w:rPr>
              <w:t>UC-02</w:t>
            </w:r>
          </w:p>
        </w:tc>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5"/>
              </w:rPr>
              <w:t>Import sales data</w:t>
            </w:r>
          </w:p>
        </w:tc>
        <w:tc>
          <w:tcPr>
            <w:tcW w:type="dxa" w:w="1400"/>
            <w:vAlign w:val="center"/>
            <w:tcMar>
              <w:top w:w="80" w:type="dxa"/>
              <w:start w:w="120" w:type="dxa"/>
              <w:bottom w:w="80" w:type="dxa"/>
              <w:end w:w="120" w:type="dxa"/>
            </w:tcMar>
          </w:tcPr>
          <w:p>
            <w:r/>
            <w:r>
              <w:rPr>
                <w:rFonts w:ascii="Aptos" w:hAnsi="Aptos"/>
                <w:b w:val="0"/>
                <w:sz w:val="18"/>
              </w:rPr>
              <w:t>Business Owner</w:t>
            </w:r>
          </w:p>
        </w:tc>
        <w:tc>
          <w:tcPr>
            <w:tcW w:type="dxa" w:w="2100"/>
            <w:vAlign w:val="center"/>
            <w:tcMar>
              <w:top w:w="80" w:type="dxa"/>
              <w:start w:w="120" w:type="dxa"/>
              <w:bottom w:w="80" w:type="dxa"/>
              <w:end w:w="120" w:type="dxa"/>
            </w:tcMar>
          </w:tcPr>
          <w:p>
            <w:r/>
            <w:r>
              <w:rPr>
                <w:rFonts w:ascii="Aptos" w:hAnsi="Aptos"/>
                <w:b w:val="0"/>
                <w:sz w:val="18"/>
              </w:rPr>
              <w:t>Template and tenant/store mapping available</w:t>
            </w:r>
          </w:p>
        </w:tc>
        <w:tc>
          <w:tcPr>
            <w:tcW w:type="dxa" w:w="2910"/>
            <w:vAlign w:val="center"/>
            <w:tcMar>
              <w:top w:w="80" w:type="dxa"/>
              <w:start w:w="120" w:type="dxa"/>
              <w:bottom w:w="80" w:type="dxa"/>
              <w:end w:w="120" w:type="dxa"/>
            </w:tcMar>
          </w:tcPr>
          <w:p>
            <w:r/>
            <w:r>
              <w:rPr>
                <w:rFonts w:ascii="Aptos" w:hAnsi="Aptos"/>
                <w:b w:val="0"/>
                <w:sz w:val="18"/>
              </w:rPr>
              <w:t>Validated import committed; errors and readiness visible</w:t>
            </w:r>
          </w:p>
        </w:tc>
      </w:tr>
      <w:tr>
        <w:trPr>
          <w:cantSplit/>
        </w:trPr>
        <w:tc>
          <w:tcPr>
            <w:tcW w:type="dxa" w:w="750"/>
            <w:vAlign w:val="center"/>
            <w:tcMar>
              <w:top w:w="80" w:type="dxa"/>
              <w:start w:w="120" w:type="dxa"/>
              <w:bottom w:w="80" w:type="dxa"/>
              <w:end w:w="120" w:type="dxa"/>
            </w:tcMar>
          </w:tcPr>
          <w:p>
            <w:pPr>
              <w:spacing w:before="0" w:after="0" w:line="240" w:lineRule="auto"/>
            </w:pPr>
            <w:r/>
            <w:r>
              <w:rPr>
                <w:rFonts w:ascii="Calibri" w:hAnsi="Calibri"/>
                <w:b w:val="0"/>
                <w:color w:val="0B2545"/>
                <w:sz w:val="15"/>
              </w:rPr>
              <w:t>UC-03</w:t>
            </w:r>
          </w:p>
        </w:tc>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5"/>
              </w:rPr>
              <w:t>Record a sale</w:t>
            </w:r>
          </w:p>
        </w:tc>
        <w:tc>
          <w:tcPr>
            <w:tcW w:type="dxa" w:w="1400"/>
            <w:vAlign w:val="center"/>
            <w:tcMar>
              <w:top w:w="80" w:type="dxa"/>
              <w:start w:w="120" w:type="dxa"/>
              <w:bottom w:w="80" w:type="dxa"/>
              <w:end w:w="120" w:type="dxa"/>
            </w:tcMar>
          </w:tcPr>
          <w:p>
            <w:pPr>
              <w:spacing w:before="0" w:after="0" w:line="240" w:lineRule="auto"/>
            </w:pPr>
            <w:r/>
            <w:r>
              <w:rPr>
                <w:rFonts w:ascii="Calibri" w:hAnsi="Calibri"/>
                <w:b w:val="0"/>
                <w:color w:val="0B2545"/>
                <w:sz w:val="15"/>
              </w:rPr>
              <w:t>Manager/Sales Executive</w:t>
            </w:r>
          </w:p>
        </w:tc>
        <w:tc>
          <w:tcPr>
            <w:tcW w:type="dxa" w:w="2100"/>
            <w:vAlign w:val="center"/>
            <w:tcMar>
              <w:top w:w="80" w:type="dxa"/>
              <w:start w:w="120" w:type="dxa"/>
              <w:bottom w:w="80" w:type="dxa"/>
              <w:end w:w="120" w:type="dxa"/>
            </w:tcMar>
          </w:tcPr>
          <w:p>
            <w:pPr>
              <w:spacing w:before="0" w:after="0" w:line="240" w:lineRule="auto"/>
            </w:pPr>
            <w:r/>
            <w:r>
              <w:rPr>
                <w:rFonts w:ascii="Calibri" w:hAnsi="Calibri"/>
                <w:b w:val="0"/>
                <w:color w:val="0B2545"/>
                <w:sz w:val="15"/>
              </w:rPr>
              <w:t>Product/store active</w:t>
            </w:r>
          </w:p>
        </w:tc>
        <w:tc>
          <w:tcPr>
            <w:tcW w:type="dxa" w:w="2910"/>
            <w:vAlign w:val="center"/>
            <w:tcMar>
              <w:top w:w="80" w:type="dxa"/>
              <w:start w:w="120" w:type="dxa"/>
              <w:bottom w:w="80" w:type="dxa"/>
              <w:end w:w="120" w:type="dxa"/>
            </w:tcMar>
          </w:tcPr>
          <w:p>
            <w:pPr>
              <w:spacing w:before="0" w:after="0" w:line="240" w:lineRule="auto"/>
            </w:pPr>
            <w:r/>
            <w:r>
              <w:rPr>
                <w:rFonts w:ascii="Calibri" w:hAnsi="Calibri"/>
                <w:b w:val="0"/>
                <w:color w:val="0B2545"/>
                <w:sz w:val="15"/>
              </w:rPr>
              <w:t>Transaction, invoice/payment, and inventory effects recorded</w:t>
            </w:r>
          </w:p>
        </w:tc>
      </w:tr>
      <w:tr>
        <w:trPr>
          <w:cantSplit/>
        </w:trPr>
        <w:tc>
          <w:tcPr>
            <w:tcW w:type="dxa" w:w="750"/>
            <w:vAlign w:val="center"/>
            <w:tcMar>
              <w:top w:w="80" w:type="dxa"/>
              <w:start w:w="120" w:type="dxa"/>
              <w:bottom w:w="80" w:type="dxa"/>
              <w:end w:w="120" w:type="dxa"/>
            </w:tcMar>
          </w:tcPr>
          <w:p>
            <w:pPr>
              <w:spacing w:before="0" w:after="0" w:line="240" w:lineRule="auto"/>
            </w:pPr>
            <w:r/>
            <w:r>
              <w:rPr>
                <w:rFonts w:ascii="Calibri" w:hAnsi="Calibri"/>
                <w:b w:val="0"/>
                <w:color w:val="0B2545"/>
                <w:sz w:val="15"/>
              </w:rPr>
              <w:t>UC-04</w:t>
            </w:r>
          </w:p>
        </w:tc>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5"/>
              </w:rPr>
              <w:t>Correct or void a sale</w:t>
            </w:r>
          </w:p>
        </w:tc>
        <w:tc>
          <w:tcPr>
            <w:tcW w:type="dxa" w:w="1400"/>
            <w:vAlign w:val="center"/>
            <w:tcMar>
              <w:top w:w="80" w:type="dxa"/>
              <w:start w:w="120" w:type="dxa"/>
              <w:bottom w:w="80" w:type="dxa"/>
              <w:end w:w="120" w:type="dxa"/>
            </w:tcMar>
          </w:tcPr>
          <w:p>
            <w:pPr>
              <w:spacing w:before="0" w:after="0" w:line="240" w:lineRule="auto"/>
            </w:pPr>
            <w:r/>
            <w:r>
              <w:rPr>
                <w:rFonts w:ascii="Calibri" w:hAnsi="Calibri"/>
                <w:b w:val="0"/>
                <w:color w:val="0B2545"/>
                <w:sz w:val="15"/>
              </w:rPr>
              <w:t>Authorized operator</w:t>
            </w:r>
          </w:p>
        </w:tc>
        <w:tc>
          <w:tcPr>
            <w:tcW w:type="dxa" w:w="2100"/>
            <w:vAlign w:val="center"/>
            <w:tcMar>
              <w:top w:w="80" w:type="dxa"/>
              <w:start w:w="120" w:type="dxa"/>
              <w:bottom w:w="80" w:type="dxa"/>
              <w:end w:w="120" w:type="dxa"/>
            </w:tcMar>
          </w:tcPr>
          <w:p>
            <w:pPr>
              <w:spacing w:before="0" w:after="0" w:line="240" w:lineRule="auto"/>
            </w:pPr>
            <w:r/>
            <w:r>
              <w:rPr>
                <w:rFonts w:ascii="Calibri" w:hAnsi="Calibri"/>
                <w:b w:val="0"/>
                <w:color w:val="0B2545"/>
                <w:sz w:val="15"/>
              </w:rPr>
              <w:t>Original transaction exists</w:t>
            </w:r>
          </w:p>
        </w:tc>
        <w:tc>
          <w:tcPr>
            <w:tcW w:type="dxa" w:w="2910"/>
            <w:vAlign w:val="center"/>
            <w:tcMar>
              <w:top w:w="80" w:type="dxa"/>
              <w:start w:w="120" w:type="dxa"/>
              <w:bottom w:w="80" w:type="dxa"/>
              <w:end w:w="120" w:type="dxa"/>
            </w:tcMar>
          </w:tcPr>
          <w:p>
            <w:pPr>
              <w:spacing w:before="0" w:after="0" w:line="240" w:lineRule="auto"/>
            </w:pPr>
            <w:r/>
            <w:r>
              <w:rPr>
                <w:rFonts w:ascii="Calibri" w:hAnsi="Calibri"/>
                <w:b w:val="0"/>
                <w:color w:val="0B2545"/>
                <w:sz w:val="15"/>
              </w:rPr>
              <w:t>Versioned reversal/correction and audit event</w:t>
            </w:r>
          </w:p>
        </w:tc>
      </w:tr>
      <w:tr>
        <w:trPr>
          <w:cantSplit/>
        </w:trPr>
        <w:tc>
          <w:tcPr>
            <w:tcW w:type="dxa" w:w="750"/>
            <w:vAlign w:val="center"/>
            <w:tcMar>
              <w:top w:w="80" w:type="dxa"/>
              <w:start w:w="120" w:type="dxa"/>
              <w:bottom w:w="80" w:type="dxa"/>
              <w:end w:w="120" w:type="dxa"/>
            </w:tcMar>
          </w:tcPr>
          <w:p>
            <w:pPr>
              <w:spacing w:before="0" w:after="0" w:line="240" w:lineRule="auto"/>
            </w:pPr>
            <w:r/>
            <w:r>
              <w:rPr>
                <w:rFonts w:ascii="Calibri" w:hAnsi="Calibri"/>
                <w:b w:val="0"/>
                <w:color w:val="0B2545"/>
                <w:sz w:val="15"/>
              </w:rPr>
              <w:t>UC-05</w:t>
            </w:r>
          </w:p>
        </w:tc>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5"/>
              </w:rPr>
              <w:t>Manage inventory movement</w:t>
            </w:r>
          </w:p>
        </w:tc>
        <w:tc>
          <w:tcPr>
            <w:tcW w:type="dxa" w:w="1400"/>
            <w:vAlign w:val="center"/>
            <w:tcMar>
              <w:top w:w="80" w:type="dxa"/>
              <w:start w:w="120" w:type="dxa"/>
              <w:bottom w:w="80" w:type="dxa"/>
              <w:end w:w="120" w:type="dxa"/>
            </w:tcMar>
          </w:tcPr>
          <w:p>
            <w:pPr>
              <w:spacing w:before="0" w:after="0" w:line="240" w:lineRule="auto"/>
            </w:pPr>
            <w:r/>
            <w:r>
              <w:rPr>
                <w:rFonts w:ascii="Calibri" w:hAnsi="Calibri"/>
                <w:b w:val="0"/>
                <w:color w:val="0B2545"/>
                <w:sz w:val="15"/>
              </w:rPr>
              <w:t>Store Manager/Admin</w:t>
            </w:r>
          </w:p>
        </w:tc>
        <w:tc>
          <w:tcPr>
            <w:tcW w:type="dxa" w:w="2100"/>
            <w:vAlign w:val="center"/>
            <w:tcMar>
              <w:top w:w="80" w:type="dxa"/>
              <w:start w:w="120" w:type="dxa"/>
              <w:bottom w:w="80" w:type="dxa"/>
              <w:end w:w="120" w:type="dxa"/>
            </w:tcMar>
          </w:tcPr>
          <w:p>
            <w:pPr>
              <w:spacing w:before="0" w:after="0" w:line="240" w:lineRule="auto"/>
            </w:pPr>
            <w:r/>
            <w:r>
              <w:rPr>
                <w:rFonts w:ascii="Calibri" w:hAnsi="Calibri"/>
                <w:b w:val="0"/>
                <w:color w:val="0B2545"/>
                <w:sz w:val="15"/>
              </w:rPr>
              <w:t>Product/store active</w:t>
            </w:r>
          </w:p>
        </w:tc>
        <w:tc>
          <w:tcPr>
            <w:tcW w:type="dxa" w:w="2910"/>
            <w:vAlign w:val="center"/>
            <w:tcMar>
              <w:top w:w="80" w:type="dxa"/>
              <w:start w:w="120" w:type="dxa"/>
              <w:bottom w:w="80" w:type="dxa"/>
              <w:end w:w="120" w:type="dxa"/>
            </w:tcMar>
          </w:tcPr>
          <w:p>
            <w:pPr>
              <w:spacing w:before="0" w:after="0" w:line="240" w:lineRule="auto"/>
            </w:pPr>
            <w:r/>
            <w:r>
              <w:rPr>
                <w:rFonts w:ascii="Calibri" w:hAnsi="Calibri"/>
                <w:b w:val="0"/>
                <w:color w:val="0B2545"/>
                <w:sz w:val="15"/>
              </w:rPr>
              <w:t>Balance updated; exceptions/alerts evaluated</w:t>
            </w:r>
          </w:p>
        </w:tc>
      </w:tr>
      <w:tr>
        <w:trPr>
          <w:cantSplit/>
        </w:trPr>
        <w:tc>
          <w:tcPr>
            <w:tcW w:type="dxa" w:w="750"/>
            <w:vAlign w:val="center"/>
            <w:tcMar>
              <w:top w:w="80" w:type="dxa"/>
              <w:start w:w="120" w:type="dxa"/>
              <w:bottom w:w="80" w:type="dxa"/>
              <w:end w:w="120" w:type="dxa"/>
            </w:tcMar>
          </w:tcPr>
          <w:p>
            <w:pPr>
              <w:spacing w:before="0" w:after="0" w:line="240" w:lineRule="auto"/>
            </w:pPr>
            <w:r/>
            <w:r>
              <w:rPr>
                <w:rFonts w:ascii="Calibri" w:hAnsi="Calibri"/>
                <w:b w:val="0"/>
                <w:color w:val="0B2545"/>
                <w:sz w:val="15"/>
              </w:rPr>
              <w:t>UC-06</w:t>
            </w:r>
          </w:p>
        </w:tc>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5"/>
              </w:rPr>
              <w:t>Generate and settle invoice</w:t>
            </w:r>
          </w:p>
        </w:tc>
        <w:tc>
          <w:tcPr>
            <w:tcW w:type="dxa" w:w="1400"/>
            <w:vAlign w:val="center"/>
            <w:tcMar>
              <w:top w:w="80" w:type="dxa"/>
              <w:start w:w="120" w:type="dxa"/>
              <w:bottom w:w="80" w:type="dxa"/>
              <w:end w:w="120" w:type="dxa"/>
            </w:tcMar>
          </w:tcPr>
          <w:p>
            <w:pPr>
              <w:spacing w:before="0" w:after="0" w:line="240" w:lineRule="auto"/>
            </w:pPr>
            <w:r/>
            <w:r>
              <w:rPr>
                <w:rFonts w:ascii="Calibri" w:hAnsi="Calibri"/>
                <w:b w:val="0"/>
                <w:color w:val="0B2545"/>
                <w:sz w:val="15"/>
              </w:rPr>
              <w:t>Sales Executive/Admin</w:t>
            </w:r>
          </w:p>
        </w:tc>
        <w:tc>
          <w:tcPr>
            <w:tcW w:type="dxa" w:w="2100"/>
            <w:vAlign w:val="center"/>
            <w:tcMar>
              <w:top w:w="80" w:type="dxa"/>
              <w:start w:w="120" w:type="dxa"/>
              <w:bottom w:w="80" w:type="dxa"/>
              <w:end w:w="120" w:type="dxa"/>
            </w:tcMar>
          </w:tcPr>
          <w:p>
            <w:pPr>
              <w:spacing w:before="0" w:after="0" w:line="240" w:lineRule="auto"/>
            </w:pPr>
            <w:r/>
            <w:r>
              <w:rPr>
                <w:rFonts w:ascii="Calibri" w:hAnsi="Calibri"/>
                <w:b w:val="0"/>
                <w:color w:val="0B2545"/>
                <w:sz w:val="15"/>
              </w:rPr>
              <w:t>Sale/customer exists</w:t>
            </w:r>
          </w:p>
        </w:tc>
        <w:tc>
          <w:tcPr>
            <w:tcW w:type="dxa" w:w="2910"/>
            <w:vAlign w:val="center"/>
            <w:tcMar>
              <w:top w:w="80" w:type="dxa"/>
              <w:start w:w="120" w:type="dxa"/>
              <w:bottom w:w="80" w:type="dxa"/>
              <w:end w:w="120" w:type="dxa"/>
            </w:tcMar>
          </w:tcPr>
          <w:p>
            <w:pPr>
              <w:spacing w:before="0" w:after="0" w:line="240" w:lineRule="auto"/>
            </w:pPr>
            <w:r/>
            <w:r>
              <w:rPr>
                <w:rFonts w:ascii="Calibri" w:hAnsi="Calibri"/>
                <w:b w:val="0"/>
                <w:color w:val="0B2545"/>
                <w:sz w:val="15"/>
              </w:rPr>
              <w:t>Invoice state and payment ledger updated</w:t>
            </w:r>
          </w:p>
        </w:tc>
      </w:tr>
      <w:tr>
        <w:trPr>
          <w:cantSplit/>
        </w:trPr>
        <w:tc>
          <w:tcPr>
            <w:tcW w:type="dxa" w:w="750"/>
            <w:vAlign w:val="center"/>
            <w:tcMar>
              <w:top w:w="80" w:type="dxa"/>
              <w:start w:w="120" w:type="dxa"/>
              <w:bottom w:w="80" w:type="dxa"/>
              <w:end w:w="120" w:type="dxa"/>
            </w:tcMar>
          </w:tcPr>
          <w:p>
            <w:pPr>
              <w:spacing w:before="0" w:after="0" w:line="240" w:lineRule="auto"/>
            </w:pPr>
            <w:r/>
            <w:r>
              <w:rPr>
                <w:rFonts w:ascii="Calibri" w:hAnsi="Calibri"/>
                <w:b w:val="0"/>
                <w:color w:val="0B2545"/>
                <w:sz w:val="15"/>
              </w:rPr>
              <w:t>UC-07</w:t>
            </w:r>
          </w:p>
        </w:tc>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5"/>
              </w:rPr>
              <w:t>Review KPIs and drill down</w:t>
            </w:r>
          </w:p>
        </w:tc>
        <w:tc>
          <w:tcPr>
            <w:tcW w:type="dxa" w:w="1400"/>
            <w:vAlign w:val="center"/>
            <w:tcMar>
              <w:top w:w="80" w:type="dxa"/>
              <w:start w:w="120" w:type="dxa"/>
              <w:bottom w:w="80" w:type="dxa"/>
              <w:end w:w="120" w:type="dxa"/>
            </w:tcMar>
          </w:tcPr>
          <w:p>
            <w:r/>
            <w:r>
              <w:rPr>
                <w:rFonts w:ascii="Aptos" w:hAnsi="Aptos"/>
                <w:b w:val="0"/>
                <w:sz w:val="18"/>
              </w:rPr>
              <w:t>Authorized role</w:t>
            </w:r>
          </w:p>
        </w:tc>
        <w:tc>
          <w:tcPr>
            <w:tcW w:type="dxa" w:w="2100"/>
            <w:vAlign w:val="center"/>
            <w:tcMar>
              <w:top w:w="80" w:type="dxa"/>
              <w:start w:w="120" w:type="dxa"/>
              <w:bottom w:w="80" w:type="dxa"/>
              <w:end w:w="120" w:type="dxa"/>
            </w:tcMar>
          </w:tcPr>
          <w:p>
            <w:r/>
            <w:r>
              <w:rPr>
                <w:rFonts w:ascii="Aptos" w:hAnsi="Aptos"/>
                <w:b w:val="0"/>
                <w:sz w:val="18"/>
              </w:rPr>
              <w:t>Scoped aggregates current</w:t>
            </w:r>
          </w:p>
        </w:tc>
        <w:tc>
          <w:tcPr>
            <w:tcW w:type="dxa" w:w="2910"/>
            <w:vAlign w:val="center"/>
            <w:tcMar>
              <w:top w:w="80" w:type="dxa"/>
              <w:start w:w="120" w:type="dxa"/>
              <w:bottom w:w="80" w:type="dxa"/>
              <w:end w:w="120" w:type="dxa"/>
            </w:tcMar>
          </w:tcPr>
          <w:p>
            <w:r/>
            <w:r>
              <w:rPr>
                <w:rFonts w:ascii="Aptos" w:hAnsi="Aptos"/>
                <w:b w:val="0"/>
                <w:sz w:val="18"/>
              </w:rPr>
              <w:t>Personal, store, business or admin view reconciles to source</w:t>
            </w:r>
          </w:p>
        </w:tc>
      </w:tr>
      <w:tr>
        <w:trPr>
          <w:cantSplit/>
        </w:trPr>
        <w:tc>
          <w:tcPr>
            <w:tcW w:type="dxa" w:w="750"/>
            <w:vAlign w:val="center"/>
            <w:tcMar>
              <w:top w:w="80" w:type="dxa"/>
              <w:start w:w="120" w:type="dxa"/>
              <w:bottom w:w="80" w:type="dxa"/>
              <w:end w:w="120" w:type="dxa"/>
            </w:tcMar>
          </w:tcPr>
          <w:p>
            <w:pPr>
              <w:spacing w:before="0" w:after="0" w:line="240" w:lineRule="auto"/>
            </w:pPr>
            <w:r/>
            <w:r>
              <w:rPr>
                <w:rFonts w:ascii="Calibri" w:hAnsi="Calibri"/>
                <w:b w:val="0"/>
                <w:color w:val="0B2545"/>
                <w:sz w:val="15"/>
              </w:rPr>
              <w:t>UC-08</w:t>
            </w:r>
          </w:p>
        </w:tc>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5"/>
              </w:rPr>
              <w:t>Generate a sales forecast</w:t>
            </w:r>
          </w:p>
        </w:tc>
        <w:tc>
          <w:tcPr>
            <w:tcW w:type="dxa" w:w="1400"/>
            <w:vAlign w:val="center"/>
            <w:tcMar>
              <w:top w:w="80" w:type="dxa"/>
              <w:start w:w="120" w:type="dxa"/>
              <w:bottom w:w="80" w:type="dxa"/>
              <w:end w:w="120" w:type="dxa"/>
            </w:tcMar>
          </w:tcPr>
          <w:p>
            <w:r/>
            <w:r>
              <w:rPr>
                <w:rFonts w:ascii="Aptos" w:hAnsi="Aptos"/>
                <w:b w:val="0"/>
                <w:sz w:val="18"/>
              </w:rPr>
              <w:t>All four roles (scoped)</w:t>
            </w:r>
          </w:p>
        </w:tc>
        <w:tc>
          <w:tcPr>
            <w:tcW w:type="dxa" w:w="2100"/>
            <w:vAlign w:val="center"/>
            <w:tcMar>
              <w:top w:w="80" w:type="dxa"/>
              <w:start w:w="120" w:type="dxa"/>
              <w:bottom w:w="80" w:type="dxa"/>
              <w:end w:w="120" w:type="dxa"/>
            </w:tcMar>
          </w:tcPr>
          <w:p>
            <w:r/>
            <w:r>
              <w:rPr>
                <w:rFonts w:ascii="Aptos" w:hAnsi="Aptos"/>
                <w:b w:val="0"/>
                <w:sz w:val="18"/>
              </w:rPr>
              <w:t>Eligible scoped history and approved model exist</w:t>
            </w:r>
          </w:p>
        </w:tc>
        <w:tc>
          <w:tcPr>
            <w:tcW w:type="dxa" w:w="2910"/>
            <w:vAlign w:val="center"/>
            <w:tcMar>
              <w:top w:w="80" w:type="dxa"/>
              <w:start w:w="120" w:type="dxa"/>
              <w:bottom w:w="80" w:type="dxa"/>
              <w:end w:w="120" w:type="dxa"/>
            </w:tcMar>
          </w:tcPr>
          <w:p>
            <w:r/>
            <w:r>
              <w:rPr>
                <w:rFonts w:ascii="Aptos" w:hAnsi="Aptos"/>
                <w:b w:val="0"/>
                <w:sz w:val="18"/>
              </w:rPr>
              <w:t>Role-scoped forecast, interval, metrics and export</w:t>
            </w:r>
          </w:p>
        </w:tc>
      </w:tr>
      <w:tr>
        <w:trPr>
          <w:cantSplit/>
        </w:trPr>
        <w:tc>
          <w:tcPr>
            <w:tcW w:type="dxa" w:w="750"/>
            <w:vAlign w:val="center"/>
            <w:tcMar>
              <w:top w:w="80" w:type="dxa"/>
              <w:start w:w="120" w:type="dxa"/>
              <w:bottom w:w="80" w:type="dxa"/>
              <w:end w:w="120" w:type="dxa"/>
            </w:tcMar>
          </w:tcPr>
          <w:p>
            <w:pPr>
              <w:spacing w:before="0" w:after="0" w:line="240" w:lineRule="auto"/>
            </w:pPr>
            <w:r/>
            <w:r>
              <w:rPr>
                <w:rFonts w:ascii="Calibri" w:hAnsi="Calibri"/>
                <w:b w:val="0"/>
                <w:color w:val="0B2545"/>
                <w:sz w:val="15"/>
              </w:rPr>
              <w:t>UC-09</w:t>
            </w:r>
          </w:p>
        </w:tc>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5"/>
              </w:rPr>
              <w:t>Review customer segments</w:t>
            </w:r>
          </w:p>
        </w:tc>
        <w:tc>
          <w:tcPr>
            <w:tcW w:type="dxa" w:w="1400"/>
            <w:vAlign w:val="center"/>
            <w:tcMar>
              <w:top w:w="80" w:type="dxa"/>
              <w:start w:w="120" w:type="dxa"/>
              <w:bottom w:w="80" w:type="dxa"/>
              <w:end w:w="120" w:type="dxa"/>
            </w:tcMar>
          </w:tcPr>
          <w:p>
            <w:r/>
            <w:r>
              <w:rPr>
                <w:rFonts w:ascii="Aptos" w:hAnsi="Aptos"/>
                <w:b w:val="0"/>
                <w:sz w:val="18"/>
              </w:rPr>
              <w:t>Authorized role</w:t>
            </w:r>
          </w:p>
        </w:tc>
        <w:tc>
          <w:tcPr>
            <w:tcW w:type="dxa" w:w="2100"/>
            <w:vAlign w:val="center"/>
            <w:tcMar>
              <w:top w:w="80" w:type="dxa"/>
              <w:start w:w="120" w:type="dxa"/>
              <w:bottom w:w="80" w:type="dxa"/>
              <w:end w:w="120" w:type="dxa"/>
            </w:tcMar>
          </w:tcPr>
          <w:p>
            <w:r/>
            <w:r>
              <w:rPr>
                <w:rFonts w:ascii="Aptos" w:hAnsi="Aptos"/>
                <w:b w:val="0"/>
                <w:sz w:val="18"/>
              </w:rPr>
              <w:t>Approved segment run exists</w:t>
            </w:r>
          </w:p>
        </w:tc>
        <w:tc>
          <w:tcPr>
            <w:tcW w:type="dxa" w:w="2910"/>
            <w:vAlign w:val="center"/>
            <w:tcMar>
              <w:top w:w="80" w:type="dxa"/>
              <w:start w:w="120" w:type="dxa"/>
              <w:bottom w:w="80" w:type="dxa"/>
              <w:end w:w="120" w:type="dxa"/>
            </w:tcMar>
          </w:tcPr>
          <w:p>
            <w:r/>
            <w:r>
              <w:rPr>
                <w:rFonts w:ascii="Aptos" w:hAnsi="Aptos"/>
                <w:b w:val="0"/>
                <w:sz w:val="18"/>
              </w:rPr>
              <w:t>Permitted profiles and customer memberships shown</w:t>
            </w:r>
          </w:p>
        </w:tc>
      </w:tr>
      <w:tr>
        <w:trPr>
          <w:cantSplit/>
        </w:trPr>
        <w:tc>
          <w:tcPr>
            <w:tcW w:type="dxa" w:w="750"/>
            <w:vAlign w:val="center"/>
            <w:tcMar>
              <w:top w:w="80" w:type="dxa"/>
              <w:start w:w="120" w:type="dxa"/>
              <w:bottom w:w="80" w:type="dxa"/>
              <w:end w:w="120" w:type="dxa"/>
            </w:tcMar>
          </w:tcPr>
          <w:p>
            <w:pPr>
              <w:spacing w:before="0" w:after="0" w:line="240" w:lineRule="auto"/>
            </w:pPr>
            <w:r/>
            <w:r>
              <w:rPr>
                <w:rFonts w:ascii="Calibri" w:hAnsi="Calibri"/>
                <w:b w:val="0"/>
                <w:color w:val="0B2545"/>
                <w:sz w:val="15"/>
              </w:rPr>
              <w:t>UC-10</w:t>
            </w:r>
          </w:p>
        </w:tc>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5"/>
              </w:rPr>
              <w:t>Act on churn risk</w:t>
            </w:r>
          </w:p>
        </w:tc>
        <w:tc>
          <w:tcPr>
            <w:tcW w:type="dxa" w:w="1400"/>
            <w:vAlign w:val="center"/>
            <w:tcMar>
              <w:top w:w="80" w:type="dxa"/>
              <w:start w:w="120" w:type="dxa"/>
              <w:bottom w:w="80" w:type="dxa"/>
              <w:end w:w="120" w:type="dxa"/>
            </w:tcMar>
          </w:tcPr>
          <w:p>
            <w:pPr>
              <w:spacing w:before="0" w:after="0" w:line="240" w:lineRule="auto"/>
            </w:pPr>
            <w:r/>
            <w:r>
              <w:rPr>
                <w:rFonts w:ascii="Calibri" w:hAnsi="Calibri"/>
                <w:b w:val="0"/>
                <w:color w:val="0B2545"/>
                <w:sz w:val="15"/>
              </w:rPr>
              <w:t>Owner/Manager/Admin</w:t>
            </w:r>
          </w:p>
        </w:tc>
        <w:tc>
          <w:tcPr>
            <w:tcW w:type="dxa" w:w="2100"/>
            <w:vAlign w:val="center"/>
            <w:tcMar>
              <w:top w:w="80" w:type="dxa"/>
              <w:start w:w="120" w:type="dxa"/>
              <w:bottom w:w="80" w:type="dxa"/>
              <w:end w:w="120" w:type="dxa"/>
            </w:tcMar>
          </w:tcPr>
          <w:p>
            <w:pPr>
              <w:spacing w:before="0" w:after="0" w:line="240" w:lineRule="auto"/>
            </w:pPr>
            <w:r/>
            <w:r>
              <w:rPr>
                <w:rFonts w:ascii="Calibri" w:hAnsi="Calibri"/>
                <w:b w:val="0"/>
                <w:color w:val="0B2545"/>
                <w:sz w:val="15"/>
              </w:rPr>
              <w:t>Eligible scores available</w:t>
            </w:r>
          </w:p>
        </w:tc>
        <w:tc>
          <w:tcPr>
            <w:tcW w:type="dxa" w:w="2910"/>
            <w:vAlign w:val="center"/>
            <w:tcMar>
              <w:top w:w="80" w:type="dxa"/>
              <w:start w:w="120" w:type="dxa"/>
              <w:bottom w:w="80" w:type="dxa"/>
              <w:end w:w="120" w:type="dxa"/>
            </w:tcMar>
          </w:tcPr>
          <w:p>
            <w:pPr>
              <w:spacing w:before="0" w:after="0" w:line="240" w:lineRule="auto"/>
            </w:pPr>
            <w:r/>
            <w:r>
              <w:rPr>
                <w:rFonts w:ascii="Calibri" w:hAnsi="Calibri"/>
                <w:b w:val="0"/>
                <w:color w:val="0B2545"/>
                <w:sz w:val="15"/>
              </w:rPr>
              <w:t>Retention action and outcome tracked</w:t>
            </w:r>
          </w:p>
        </w:tc>
      </w:tr>
      <w:tr>
        <w:trPr>
          <w:cantSplit/>
        </w:trPr>
        <w:tc>
          <w:tcPr>
            <w:tcW w:type="dxa" w:w="750"/>
            <w:vAlign w:val="center"/>
            <w:tcMar>
              <w:top w:w="80" w:type="dxa"/>
              <w:start w:w="120" w:type="dxa"/>
              <w:bottom w:w="80" w:type="dxa"/>
              <w:end w:w="120" w:type="dxa"/>
            </w:tcMar>
          </w:tcPr>
          <w:p>
            <w:pPr>
              <w:spacing w:before="0" w:after="0" w:line="240" w:lineRule="auto"/>
            </w:pPr>
            <w:r/>
            <w:r>
              <w:rPr>
                <w:rFonts w:ascii="Calibri" w:hAnsi="Calibri"/>
                <w:b w:val="0"/>
                <w:color w:val="0B2545"/>
                <w:sz w:val="15"/>
              </w:rPr>
              <w:t>UC-11</w:t>
            </w:r>
          </w:p>
        </w:tc>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5"/>
              </w:rPr>
              <w:t>View recommendations</w:t>
            </w:r>
          </w:p>
        </w:tc>
        <w:tc>
          <w:tcPr>
            <w:tcW w:type="dxa" w:w="1400"/>
            <w:vAlign w:val="center"/>
            <w:tcMar>
              <w:top w:w="80" w:type="dxa"/>
              <w:start w:w="120" w:type="dxa"/>
              <w:bottom w:w="80" w:type="dxa"/>
              <w:end w:w="120" w:type="dxa"/>
            </w:tcMar>
          </w:tcPr>
          <w:p>
            <w:pPr>
              <w:spacing w:before="0" w:after="0" w:line="240" w:lineRule="auto"/>
            </w:pPr>
            <w:r/>
            <w:r>
              <w:rPr>
                <w:rFonts w:ascii="Calibri" w:hAnsi="Calibri"/>
                <w:b w:val="0"/>
                <w:color w:val="0B2545"/>
                <w:sz w:val="15"/>
              </w:rPr>
              <w:t>Authorized user</w:t>
            </w:r>
          </w:p>
        </w:tc>
        <w:tc>
          <w:tcPr>
            <w:tcW w:type="dxa" w:w="2100"/>
            <w:vAlign w:val="center"/>
            <w:tcMar>
              <w:top w:w="80" w:type="dxa"/>
              <w:start w:w="120" w:type="dxa"/>
              <w:bottom w:w="80" w:type="dxa"/>
              <w:end w:w="120" w:type="dxa"/>
            </w:tcMar>
          </w:tcPr>
          <w:p>
            <w:pPr>
              <w:spacing w:before="0" w:after="0" w:line="240" w:lineRule="auto"/>
            </w:pPr>
            <w:r/>
            <w:r>
              <w:rPr>
                <w:rFonts w:ascii="Calibri" w:hAnsi="Calibri"/>
                <w:b w:val="0"/>
                <w:color w:val="0B2545"/>
                <w:sz w:val="15"/>
              </w:rPr>
              <w:t>Eligible context exists</w:t>
            </w:r>
          </w:p>
        </w:tc>
        <w:tc>
          <w:tcPr>
            <w:tcW w:type="dxa" w:w="2910"/>
            <w:vAlign w:val="center"/>
            <w:tcMar>
              <w:top w:w="80" w:type="dxa"/>
              <w:start w:w="120" w:type="dxa"/>
              <w:bottom w:w="80" w:type="dxa"/>
              <w:end w:w="120" w:type="dxa"/>
            </w:tcMar>
          </w:tcPr>
          <w:p>
            <w:pPr>
              <w:spacing w:before="0" w:after="0" w:line="240" w:lineRule="auto"/>
            </w:pPr>
            <w:r/>
            <w:r>
              <w:rPr>
                <w:rFonts w:ascii="Calibri" w:hAnsi="Calibri"/>
                <w:b w:val="0"/>
                <w:color w:val="0B2545"/>
                <w:sz w:val="15"/>
              </w:rPr>
              <w:t>Ranked, explainable recommendations shown</w:t>
            </w:r>
          </w:p>
        </w:tc>
      </w:tr>
      <w:tr>
        <w:trPr>
          <w:cantSplit/>
        </w:trPr>
        <w:tc>
          <w:tcPr>
            <w:tcW w:type="dxa" w:w="750"/>
            <w:vAlign w:val="center"/>
            <w:tcMar>
              <w:top w:w="80" w:type="dxa"/>
              <w:start w:w="120" w:type="dxa"/>
              <w:bottom w:w="80" w:type="dxa"/>
              <w:end w:w="120" w:type="dxa"/>
            </w:tcMar>
          </w:tcPr>
          <w:p>
            <w:pPr>
              <w:spacing w:before="0" w:after="0" w:line="240" w:lineRule="auto"/>
            </w:pPr>
            <w:r/>
            <w:r>
              <w:rPr>
                <w:rFonts w:ascii="Calibri" w:hAnsi="Calibri"/>
                <w:b w:val="0"/>
                <w:color w:val="0B2545"/>
                <w:sz w:val="15"/>
              </w:rPr>
              <w:t>UC-12</w:t>
            </w:r>
          </w:p>
        </w:tc>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5"/>
              </w:rPr>
              <w:t>Investigate an anomaly</w:t>
            </w:r>
          </w:p>
        </w:tc>
        <w:tc>
          <w:tcPr>
            <w:tcW w:type="dxa" w:w="1400"/>
            <w:vAlign w:val="center"/>
            <w:tcMar>
              <w:top w:w="80" w:type="dxa"/>
              <w:start w:w="120" w:type="dxa"/>
              <w:bottom w:w="80" w:type="dxa"/>
              <w:end w:w="120" w:type="dxa"/>
            </w:tcMar>
          </w:tcPr>
          <w:p>
            <w:pPr>
              <w:spacing w:before="0" w:after="0" w:line="240" w:lineRule="auto"/>
            </w:pPr>
            <w:r/>
            <w:r>
              <w:rPr>
                <w:rFonts w:ascii="Calibri" w:hAnsi="Calibri"/>
                <w:b w:val="0"/>
                <w:color w:val="0B2545"/>
                <w:sz w:val="15"/>
              </w:rPr>
              <w:t>Manager/Admin</w:t>
            </w:r>
          </w:p>
        </w:tc>
        <w:tc>
          <w:tcPr>
            <w:tcW w:type="dxa" w:w="2100"/>
            <w:vAlign w:val="center"/>
            <w:tcMar>
              <w:top w:w="80" w:type="dxa"/>
              <w:start w:w="120" w:type="dxa"/>
              <w:bottom w:w="80" w:type="dxa"/>
              <w:end w:w="120" w:type="dxa"/>
            </w:tcMar>
          </w:tcPr>
          <w:p>
            <w:pPr>
              <w:spacing w:before="0" w:after="0" w:line="240" w:lineRule="auto"/>
            </w:pPr>
            <w:r/>
            <w:r>
              <w:rPr>
                <w:rFonts w:ascii="Calibri" w:hAnsi="Calibri"/>
                <w:b w:val="0"/>
                <w:color w:val="0B2545"/>
                <w:sz w:val="15"/>
              </w:rPr>
              <w:t>Alert generated</w:t>
            </w:r>
          </w:p>
        </w:tc>
        <w:tc>
          <w:tcPr>
            <w:tcW w:type="dxa" w:w="2910"/>
            <w:vAlign w:val="center"/>
            <w:tcMar>
              <w:top w:w="80" w:type="dxa"/>
              <w:start w:w="120" w:type="dxa"/>
              <w:bottom w:w="80" w:type="dxa"/>
              <w:end w:w="120" w:type="dxa"/>
            </w:tcMar>
          </w:tcPr>
          <w:p>
            <w:pPr>
              <w:spacing w:before="0" w:after="0" w:line="240" w:lineRule="auto"/>
            </w:pPr>
            <w:r/>
            <w:r>
              <w:rPr>
                <w:rFonts w:ascii="Calibri" w:hAnsi="Calibri"/>
                <w:b w:val="0"/>
                <w:color w:val="0B2545"/>
                <w:sz w:val="15"/>
              </w:rPr>
              <w:t>Evidence reviewed; status, owner, feedback recorded</w:t>
            </w:r>
          </w:p>
        </w:tc>
      </w:tr>
      <w:tr>
        <w:trPr>
          <w:cantSplit/>
        </w:trPr>
        <w:tc>
          <w:tcPr>
            <w:tcW w:type="dxa" w:w="750"/>
            <w:vAlign w:val="center"/>
            <w:tcMar>
              <w:top w:w="80" w:type="dxa"/>
              <w:start w:w="120" w:type="dxa"/>
              <w:bottom w:w="80" w:type="dxa"/>
              <w:end w:w="120" w:type="dxa"/>
            </w:tcMar>
          </w:tcPr>
          <w:p>
            <w:pPr>
              <w:spacing w:before="0" w:after="0" w:line="240" w:lineRule="auto"/>
            </w:pPr>
            <w:r/>
            <w:r>
              <w:rPr>
                <w:rFonts w:ascii="Calibri" w:hAnsi="Calibri"/>
                <w:b w:val="0"/>
                <w:color w:val="0B2545"/>
                <w:sz w:val="15"/>
              </w:rPr>
              <w:t>UC-13</w:t>
            </w:r>
          </w:p>
        </w:tc>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5"/>
              </w:rPr>
              <w:t>Export a report</w:t>
            </w:r>
          </w:p>
        </w:tc>
        <w:tc>
          <w:tcPr>
            <w:tcW w:type="dxa" w:w="1400"/>
            <w:vAlign w:val="center"/>
            <w:tcMar>
              <w:top w:w="80" w:type="dxa"/>
              <w:start w:w="120" w:type="dxa"/>
              <w:bottom w:w="80" w:type="dxa"/>
              <w:end w:w="120" w:type="dxa"/>
            </w:tcMar>
          </w:tcPr>
          <w:p>
            <w:pPr>
              <w:spacing w:before="0" w:after="0" w:line="240" w:lineRule="auto"/>
            </w:pPr>
            <w:r/>
            <w:r>
              <w:rPr>
                <w:rFonts w:ascii="Calibri" w:hAnsi="Calibri"/>
                <w:b w:val="0"/>
                <w:color w:val="0B2545"/>
                <w:sz w:val="15"/>
              </w:rPr>
              <w:t>Authorized user</w:t>
            </w:r>
          </w:p>
        </w:tc>
        <w:tc>
          <w:tcPr>
            <w:tcW w:type="dxa" w:w="2100"/>
            <w:vAlign w:val="center"/>
            <w:tcMar>
              <w:top w:w="80" w:type="dxa"/>
              <w:start w:w="120" w:type="dxa"/>
              <w:bottom w:w="80" w:type="dxa"/>
              <w:end w:w="120" w:type="dxa"/>
            </w:tcMar>
          </w:tcPr>
          <w:p>
            <w:pPr>
              <w:spacing w:before="0" w:after="0" w:line="240" w:lineRule="auto"/>
            </w:pPr>
            <w:r/>
            <w:r>
              <w:rPr>
                <w:rFonts w:ascii="Calibri" w:hAnsi="Calibri"/>
                <w:b w:val="0"/>
                <w:color w:val="0B2545"/>
                <w:sz w:val="15"/>
              </w:rPr>
              <w:t>Permitted filters selected</w:t>
            </w:r>
          </w:p>
        </w:tc>
        <w:tc>
          <w:tcPr>
            <w:tcW w:type="dxa" w:w="2910"/>
            <w:vAlign w:val="center"/>
            <w:tcMar>
              <w:top w:w="80" w:type="dxa"/>
              <w:start w:w="120" w:type="dxa"/>
              <w:bottom w:w="80" w:type="dxa"/>
              <w:end w:w="120" w:type="dxa"/>
            </w:tcMar>
          </w:tcPr>
          <w:p>
            <w:pPr>
              <w:spacing w:before="0" w:after="0" w:line="240" w:lineRule="auto"/>
            </w:pPr>
            <w:r/>
            <w:r>
              <w:rPr>
                <w:rFonts w:ascii="Calibri" w:hAnsi="Calibri"/>
                <w:b w:val="0"/>
                <w:color w:val="0B2545"/>
                <w:sz w:val="15"/>
              </w:rPr>
              <w:t>Timestamped CSV/XLSX/PDF generated</w:t>
            </w:r>
          </w:p>
        </w:tc>
      </w:tr>
      <w:tr>
        <w:trPr>
          <w:cantSplit/>
        </w:trPr>
        <w:tc>
          <w:tcPr>
            <w:tcW w:type="dxa" w:w="750"/>
            <w:vAlign w:val="center"/>
            <w:tcMar>
              <w:top w:w="80" w:type="dxa"/>
              <w:start w:w="120" w:type="dxa"/>
              <w:bottom w:w="80" w:type="dxa"/>
              <w:end w:w="120" w:type="dxa"/>
            </w:tcMar>
          </w:tcPr>
          <w:p>
            <w:pPr>
              <w:spacing w:before="0" w:after="0" w:line="240" w:lineRule="auto"/>
            </w:pPr>
            <w:r/>
            <w:r>
              <w:rPr>
                <w:rFonts w:ascii="Calibri" w:hAnsi="Calibri"/>
                <w:b w:val="0"/>
                <w:color w:val="0B2545"/>
                <w:sz w:val="15"/>
              </w:rPr>
              <w:t>UC-14</w:t>
            </w:r>
          </w:p>
        </w:tc>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5"/>
              </w:rPr>
              <w:t>Promote or roll back a model</w:t>
            </w:r>
          </w:p>
        </w:tc>
        <w:tc>
          <w:tcPr>
            <w:tcW w:type="dxa" w:w="1400"/>
            <w:vAlign w:val="center"/>
            <w:tcMar>
              <w:top w:w="80" w:type="dxa"/>
              <w:start w:w="120" w:type="dxa"/>
              <w:bottom w:w="80" w:type="dxa"/>
              <w:end w:w="120" w:type="dxa"/>
            </w:tcMar>
          </w:tcPr>
          <w:p>
            <w:pPr>
              <w:spacing w:before="0" w:after="0" w:line="240" w:lineRule="auto"/>
            </w:pPr>
            <w:r/>
            <w:r>
              <w:rPr>
                <w:rFonts w:ascii="Calibri" w:hAnsi="Calibri"/>
                <w:b w:val="0"/>
                <w:color w:val="0B2545"/>
                <w:sz w:val="15"/>
              </w:rPr>
              <w:t>Admin</w:t>
            </w:r>
          </w:p>
        </w:tc>
        <w:tc>
          <w:tcPr>
            <w:tcW w:type="dxa" w:w="2100"/>
            <w:vAlign w:val="center"/>
            <w:tcMar>
              <w:top w:w="80" w:type="dxa"/>
              <w:start w:w="120" w:type="dxa"/>
              <w:bottom w:w="80" w:type="dxa"/>
              <w:end w:w="120" w:type="dxa"/>
            </w:tcMar>
          </w:tcPr>
          <w:p>
            <w:pPr>
              <w:spacing w:before="0" w:after="0" w:line="240" w:lineRule="auto"/>
            </w:pPr>
            <w:r/>
            <w:r>
              <w:rPr>
                <w:rFonts w:ascii="Calibri" w:hAnsi="Calibri"/>
                <w:b w:val="0"/>
                <w:color w:val="0B2545"/>
                <w:sz w:val="15"/>
              </w:rPr>
              <w:t>Evaluation and approval exist</w:t>
            </w:r>
          </w:p>
        </w:tc>
        <w:tc>
          <w:tcPr>
            <w:tcW w:type="dxa" w:w="2910"/>
            <w:vAlign w:val="center"/>
            <w:tcMar>
              <w:top w:w="80" w:type="dxa"/>
              <w:start w:w="120" w:type="dxa"/>
              <w:bottom w:w="80" w:type="dxa"/>
              <w:end w:w="120" w:type="dxa"/>
            </w:tcMar>
          </w:tcPr>
          <w:p>
            <w:pPr>
              <w:spacing w:before="0" w:after="0" w:line="240" w:lineRule="auto"/>
            </w:pPr>
            <w:r/>
            <w:r>
              <w:rPr>
                <w:rFonts w:ascii="Calibri" w:hAnsi="Calibri"/>
                <w:b w:val="0"/>
                <w:color w:val="0B2545"/>
                <w:sz w:val="15"/>
              </w:rPr>
              <w:t>Version state changed with audit</w:t>
            </w:r>
          </w:p>
        </w:tc>
      </w:tr>
    </w:tbl>
    <w:p>
      <w:pPr>
        <w:spacing w:after="20"/>
      </w:pPr>
    </w:p>
    <w:p>
      <w:pPr>
        <w:pStyle w:val="Heading2"/>
        <w:keepNext/>
        <w:keepLines/>
      </w:pPr>
      <w:r>
        <w:t>5.1 Detailed Critical Flow - Sales Import</w:t>
      </w:r>
    </w:p>
    <w:p>
      <w:pPr>
        <w:pStyle w:val="ListNumber"/>
        <w:spacing w:after="80"/>
      </w:pPr>
      <w:r>
        <w:rPr>
          <w:rFonts w:ascii="Calibri" w:hAnsi="Calibri"/>
          <w:color w:val="0B2545"/>
        </w:rPr>
        <w:t>User selects tenant/store context, source type, and a saved or new mapping.</w:t>
      </w:r>
    </w:p>
    <w:p>
      <w:pPr>
        <w:pStyle w:val="ListNumber"/>
        <w:spacing w:after="80"/>
      </w:pPr>
      <w:r>
        <w:rPr>
          <w:rFonts w:ascii="Calibri" w:hAnsi="Calibri"/>
          <w:color w:val="0B2545"/>
        </w:rPr>
        <w:t>System validates authorization, file extension/MIME, size, checksum, malware result, and storage quota.</w:t>
      </w:r>
    </w:p>
    <w:p>
      <w:pPr>
        <w:pStyle w:val="ListNumber"/>
        <w:spacing w:after="80"/>
      </w:pPr>
      <w:r>
        <w:rPr>
          <w:rFonts w:ascii="Calibri" w:hAnsi="Calibri"/>
          <w:color w:val="0B2545"/>
        </w:rPr>
        <w:t>System stages the file, infers schema, displays a sample, and identifies required mapping gaps.</w:t>
      </w:r>
    </w:p>
    <w:p>
      <w:pPr>
        <w:pStyle w:val="ListNumber"/>
        <w:spacing w:after="80"/>
      </w:pPr>
      <w:r>
        <w:rPr>
          <w:rFonts w:ascii="Calibri" w:hAnsi="Calibri"/>
          <w:color w:val="0B2545"/>
        </w:rPr>
        <w:t>User confirms mapping and control totals; system starts an asynchronous validation job.</w:t>
      </w:r>
    </w:p>
    <w:p>
      <w:pPr>
        <w:pStyle w:val="ListNumber"/>
        <w:spacing w:after="80"/>
      </w:pPr>
      <w:r>
        <w:rPr>
          <w:rFonts w:ascii="Calibri" w:hAnsi="Calibri"/>
          <w:color w:val="0B2545"/>
        </w:rPr>
        <w:t>System validates every row and displays counts for accepted, rejected, duplicate, and warning records.</w:t>
      </w:r>
    </w:p>
    <w:p>
      <w:pPr>
        <w:pStyle w:val="ListNumber"/>
        <w:spacing w:after="80"/>
      </w:pPr>
      <w:r>
        <w:rPr>
          <w:rFonts w:ascii="Calibri" w:hAnsi="Calibri"/>
          <w:color w:val="0B2545"/>
        </w:rPr>
        <w:t>User with commit permission confirms the batch; system performs an atomic commit and updates aggregates.</w:t>
      </w:r>
    </w:p>
    <w:p>
      <w:pPr>
        <w:pStyle w:val="ListNumber"/>
        <w:spacing w:after="80"/>
      </w:pPr>
      <w:r>
        <w:rPr>
          <w:rFonts w:ascii="Calibri" w:hAnsi="Calibri"/>
          <w:color w:val="0B2545"/>
        </w:rPr>
        <w:t>System records lineage and audit events, evaluates inventory/anomaly rules, and exposes an error report.</w:t>
      </w:r>
    </w:p>
    <w:p>
      <w:pPr>
        <w:spacing w:before="80" w:after="160" w:line="259" w:lineRule="auto"/>
        <w:ind w:left="173" w:right="173"/>
        <w:shd w:fill="F4F6F9"/>
        <w:pBdr>
          <w:left w:val="single" w:sz="16" w:space="8" w:color="0B2545"/>
        </w:pBdr>
      </w:pPr>
      <w:r>
        <w:rPr>
          <w:rFonts w:ascii="Calibri" w:hAnsi="Calibri"/>
          <w:b/>
          <w:color w:val="0B2545"/>
        </w:rPr>
        <w:t xml:space="preserve">Alternate flow: </w:t>
      </w:r>
      <w:r>
        <w:rPr>
          <w:rFonts w:ascii="Calibri" w:hAnsi="Calibri"/>
          <w:color w:val="0B2545"/>
        </w:rPr>
        <w:t>If validation or commit fails, the batch remains quarantined or failed, no partial business data is visible, and the user receives a safe error summary plus a retriable job identifier.</w:t>
      </w:r>
    </w:p>
    <w:p>
      <w:pPr>
        <w:pStyle w:val="Heading1"/>
        <w:keepNext/>
        <w:keepLines/>
      </w:pPr>
      <w:r>
        <w:t>6. External Interface Requirements</w:t>
      </w:r>
    </w:p>
    <w:p>
      <w:pPr>
        <w:pStyle w:val="Heading2"/>
        <w:keepNext/>
        <w:keepLines/>
      </w:pPr>
      <w:r>
        <w:t>6.1 User Interface</w:t>
      </w:r>
    </w:p>
    <w:p>
      <w:pPr>
        <w:pStyle w:val="ListBullet"/>
        <w:spacing w:after="80" w:line="264" w:lineRule="auto"/>
      </w:pPr>
      <w:r>
        <w:rPr>
          <w:rFonts w:ascii="Calibri" w:hAnsi="Calibri"/>
          <w:color w:val="0B2545"/>
        </w:rPr>
        <w:t>Responsive, keyboard-operable navigation with visible role and active business/store context.</w:t>
      </w:r>
    </w:p>
    <w:p>
      <w:pPr>
        <w:pStyle w:val="ListBullet"/>
        <w:spacing w:after="80" w:line="264" w:lineRule="auto"/>
      </w:pPr>
      <w:r>
        <w:rPr>
          <w:rFonts w:ascii="Calibri" w:hAnsi="Calibri"/>
          <w:color w:val="0B2545"/>
        </w:rPr>
        <w:t>Consistent global date range, currency, store, product/category, and comparison filters.</w:t>
      </w:r>
    </w:p>
    <w:p>
      <w:pPr>
        <w:pStyle w:val="ListBullet"/>
        <w:spacing w:after="80" w:line="264" w:lineRule="auto"/>
      </w:pPr>
      <w:r>
        <w:rPr>
          <w:rFonts w:ascii="Calibri" w:hAnsi="Calibri"/>
          <w:color w:val="0B2545"/>
        </w:rPr>
        <w:t>Confirmation for destructive or financially significant actions; inline validation and recoverable errors.</w:t>
      </w:r>
    </w:p>
    <w:p>
      <w:pPr>
        <w:pStyle w:val="ListBullet"/>
        <w:spacing w:after="80" w:line="264" w:lineRule="auto"/>
      </w:pPr>
      <w:r>
        <w:rPr>
          <w:rFonts w:ascii="Calibri" w:hAnsi="Calibri"/>
          <w:color w:val="0B2545"/>
        </w:rPr>
        <w:t>Tables shall support server-side pagination, sorting, filters, column labels, empty states, and authorized export.</w:t>
      </w:r>
    </w:p>
    <w:p>
      <w:pPr>
        <w:pStyle w:val="ListBullet"/>
        <w:spacing w:after="80" w:line="264" w:lineRule="auto"/>
      </w:pPr>
      <w:r>
        <w:rPr>
          <w:rFonts w:ascii="Calibri" w:hAnsi="Calibri"/>
          <w:color w:val="0B2545"/>
        </w:rPr>
        <w:t>Charts shall provide titles, units, legends, tooltips, textual summaries, and non-color-only distinctions.</w:t>
      </w:r>
    </w:p>
    <w:p>
      <w:pPr>
        <w:pStyle w:val="ListBullet"/>
        <w:spacing w:after="80" w:line="264" w:lineRule="auto"/>
      </w:pPr>
      <w:r>
        <w:rPr>
          <w:rFonts w:ascii="Calibri" w:hAnsi="Calibri"/>
          <w:color w:val="0B2545"/>
        </w:rPr>
        <w:t>AI outputs shall show purpose, freshness, model/version, confidence/uncertainty, explanations, and limitations.</w:t>
      </w:r>
    </w:p>
    <w:p>
      <w:pPr>
        <w:pStyle w:val="Heading2"/>
        <w:keepNext/>
        <w:keepLines/>
      </w:pPr>
      <w:r>
        <w:t>6.2 API Requirements</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Domain</w:t>
            </w:r>
          </w:p>
        </w:tc>
        <w:tc>
          <w:tcPr>
            <w:tcW w:type="dxa" w:w="33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Illustrative endpoint group</w:t>
            </w:r>
          </w:p>
        </w:tc>
        <w:tc>
          <w:tcPr>
            <w:tcW w:type="dxa" w:w="42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Contract responsibility</w:t>
            </w:r>
          </w:p>
        </w:tc>
      </w:tr>
      <w:tr>
        <w:tc>
          <w:tcPr>
            <w:tcW w:type="dxa" w:w="1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Identity</w:t>
            </w:r>
          </w:p>
        </w:tc>
        <w:tc>
          <w:tcPr>
            <w:tcW w:type="dxa" w:w="33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/api/v1/auth/*</w:t>
            </w:r>
          </w:p>
        </w:tc>
        <w:tc>
          <w:tcPr>
            <w:tcW w:type="dxa" w:w="4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Login, refresh, logout, MFA, password reset.</w:t>
            </w:r>
          </w:p>
        </w:tc>
      </w:tr>
      <w:tr>
        <w:tc>
          <w:tcPr>
            <w:tcW w:type="dxa" w:w="1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Users/RBAC</w:t>
            </w:r>
          </w:p>
        </w:tc>
        <w:tc>
          <w:tcPr>
            <w:tcW w:type="dxa" w:w="33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/api/v1/users; /roles; /permissions</w:t>
            </w:r>
          </w:p>
        </w:tc>
        <w:tc>
          <w:tcPr>
            <w:tcW w:type="dxa" w:w="4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Administer identities and scope.</w:t>
            </w:r>
          </w:p>
        </w:tc>
      </w:tr>
      <w:tr>
        <w:tc>
          <w:tcPr>
            <w:tcW w:type="dxa" w:w="1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Master data</w:t>
            </w:r>
          </w:p>
        </w:tc>
        <w:tc>
          <w:tcPr>
            <w:tcW w:type="dxa" w:w="33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/api/v1/stores; /products; /customers</w:t>
            </w:r>
          </w:p>
        </w:tc>
        <w:tc>
          <w:tcPr>
            <w:tcW w:type="dxa" w:w="4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Scoped CRUD/import/export.</w:t>
            </w:r>
          </w:p>
        </w:tc>
      </w:tr>
      <w:tr>
        <w:tc>
          <w:tcPr>
            <w:tcW w:type="dxa" w:w="1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Imports/jobs</w:t>
            </w:r>
          </w:p>
        </w:tc>
        <w:tc>
          <w:tcPr>
            <w:tcW w:type="dxa" w:w="33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/api/v1/imports; /jobs</w:t>
            </w:r>
          </w:p>
        </w:tc>
        <w:tc>
          <w:tcPr>
            <w:tcW w:type="dxa" w:w="4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Upload, preview, validate, commit, status, errors.</w:t>
            </w:r>
          </w:p>
        </w:tc>
      </w:tr>
      <w:tr>
        <w:tc>
          <w:tcPr>
            <w:tcW w:type="dxa" w:w="1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Sales</w:t>
            </w:r>
          </w:p>
        </w:tc>
        <w:tc>
          <w:tcPr>
            <w:tcW w:type="dxa" w:w="33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/api/v1/sales; /transactions</w:t>
            </w:r>
          </w:p>
        </w:tc>
        <w:tc>
          <w:tcPr>
            <w:tcW w:type="dxa" w:w="4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Transaction workflows, search, aggregates.</w:t>
            </w:r>
          </w:p>
        </w:tc>
      </w:tr>
      <w:tr>
        <w:tc>
          <w:tcPr>
            <w:tcW w:type="dxa" w:w="1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Inventory</w:t>
            </w:r>
          </w:p>
        </w:tc>
        <w:tc>
          <w:tcPr>
            <w:tcW w:type="dxa" w:w="33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/api/v1/inventory; /movements; /alerts</w:t>
            </w:r>
          </w:p>
        </w:tc>
        <w:tc>
          <w:tcPr>
            <w:tcW w:type="dxa" w:w="4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Balances, movements, policies, alerts.</w:t>
            </w:r>
          </w:p>
        </w:tc>
      </w:tr>
      <w:tr>
        <w:tc>
          <w:tcPr>
            <w:tcW w:type="dxa" w:w="1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Invoices</w:t>
            </w:r>
          </w:p>
        </w:tc>
        <w:tc>
          <w:tcPr>
            <w:tcW w:type="dxa" w:w="33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/api/v1/invoices; /payments</w:t>
            </w:r>
          </w:p>
        </w:tc>
        <w:tc>
          <w:tcPr>
            <w:tcW w:type="dxa" w:w="4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Invoice/payment lifecycle and PDF.</w:t>
            </w:r>
          </w:p>
        </w:tc>
      </w:tr>
      <w:tr>
        <w:tc>
          <w:tcPr>
            <w:tcW w:type="dxa" w:w="1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Analytics</w:t>
            </w:r>
          </w:p>
        </w:tc>
        <w:tc>
          <w:tcPr>
            <w:tcW w:type="dxa" w:w="33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/api/v1/analytics; /reports</w:t>
            </w:r>
          </w:p>
        </w:tc>
        <w:tc>
          <w:tcPr>
            <w:tcW w:type="dxa" w:w="4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KPI queries and async exports.</w:t>
            </w:r>
          </w:p>
        </w:tc>
      </w:tr>
      <w:tr>
        <w:tc>
          <w:tcPr>
            <w:tcW w:type="dxa" w:w="1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Models</w:t>
            </w:r>
          </w:p>
        </w:tc>
        <w:tc>
          <w:tcPr>
            <w:tcW w:type="dxa" w:w="33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/api/v1/forecasts; /segments; /churn; /recommendations; /anomalies</w:t>
            </w:r>
          </w:p>
        </w:tc>
        <w:tc>
          <w:tcPr>
            <w:tcW w:type="dxa" w:w="4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AI inference and evidence.</w:t>
            </w:r>
          </w:p>
        </w:tc>
      </w:tr>
      <w:tr>
        <w:tc>
          <w:tcPr>
            <w:tcW w:type="dxa" w:w="1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Administration</w:t>
            </w:r>
          </w:p>
        </w:tc>
        <w:tc>
          <w:tcPr>
            <w:tcW w:type="dxa" w:w="33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/api/v1/admin/datasets; /models; /audit</w:t>
            </w:r>
          </w:p>
        </w:tc>
        <w:tc>
          <w:tcPr>
            <w:tcW w:type="dxa" w:w="4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Configuration, registry, audit.</w:t>
            </w:r>
          </w:p>
        </w:tc>
      </w:tr>
    </w:tbl>
    <w:p>
      <w:pPr>
        <w:spacing w:after="20"/>
      </w:pPr>
    </w:p>
    <w:p>
      <w:pPr>
        <w:pStyle w:val="ListBullet"/>
        <w:spacing w:after="80" w:line="264" w:lineRule="auto"/>
      </w:pPr>
      <w:r>
        <w:rPr>
          <w:rFonts w:ascii="Calibri" w:hAnsi="Calibri"/>
          <w:color w:val="0B2545"/>
        </w:rPr>
        <w:t>REST APIs shall use HTTPS, JSON UTF-8, versioned paths, documented schemas, and OpenAPI documentation.</w:t>
      </w:r>
    </w:p>
    <w:p>
      <w:pPr>
        <w:pStyle w:val="ListBullet"/>
        <w:spacing w:after="80" w:line="264" w:lineRule="auto"/>
      </w:pPr>
      <w:r>
        <w:rPr>
          <w:rFonts w:ascii="Calibri" w:hAnsi="Calibri"/>
          <w:color w:val="0B2545"/>
        </w:rPr>
        <w:t>Create/update requests shall support idempotency keys where duplicate submission is material.</w:t>
      </w:r>
    </w:p>
    <w:p>
      <w:pPr>
        <w:pStyle w:val="ListBullet"/>
        <w:spacing w:after="80" w:line="264" w:lineRule="auto"/>
      </w:pPr>
      <w:r>
        <w:rPr>
          <w:rFonts w:ascii="Calibri" w:hAnsi="Calibri"/>
          <w:color w:val="0B2545"/>
        </w:rPr>
        <w:t>Errors shall use a consistent safe structure: code, message, correlation ID, field details, and retryability.</w:t>
      </w:r>
    </w:p>
    <w:p>
      <w:pPr>
        <w:pStyle w:val="ListBullet"/>
        <w:spacing w:after="80" w:line="264" w:lineRule="auto"/>
      </w:pPr>
      <w:r>
        <w:rPr>
          <w:rFonts w:ascii="Calibri" w:hAnsi="Calibri"/>
          <w:color w:val="0B2545"/>
        </w:rPr>
        <w:t>List endpoints shall use bounded pagination and server-enforced tenant/store authorization.</w:t>
      </w:r>
    </w:p>
    <w:p>
      <w:pPr>
        <w:pStyle w:val="ListBullet"/>
        <w:spacing w:after="80" w:line="264" w:lineRule="auto"/>
      </w:pPr>
      <w:r>
        <w:rPr>
          <w:rFonts w:ascii="Calibri" w:hAnsi="Calibri"/>
          <w:color w:val="0B2545"/>
        </w:rPr>
        <w:t>Long-running operations shall return a job identifier rather than blocking the request.</w:t>
      </w:r>
    </w:p>
    <w:p>
      <w:pPr>
        <w:pStyle w:val="ListBullet"/>
        <w:spacing w:after="80" w:line="264" w:lineRule="auto"/>
      </w:pPr>
      <w:r>
        <w:rPr>
          <w:rFonts w:ascii="Calibri" w:hAnsi="Calibri"/>
          <w:color w:val="0B2545"/>
        </w:rPr>
        <w:t>API rate limits, request-size limits, timeouts, and retry guidance shall be documented.</w:t>
      </w:r>
    </w:p>
    <w:p>
      <w:pPr>
        <w:pStyle w:val="Heading2"/>
        <w:keepNext/>
        <w:keepLines/>
      </w:pPr>
      <w:r>
        <w:t>6.3 File and Export Interfaces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Interface</w:t>
            </w:r>
          </w:p>
        </w:tc>
        <w:tc>
          <w:tcPr>
            <w:tcW w:type="dxa" w:w="72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Mandatory controls</w:t>
            </w:r>
          </w:p>
        </w:tc>
      </w:tr>
      <w:tr>
        <w:tc>
          <w:tcPr>
            <w:tcW w:type="dxa" w:w="2100"/>
            <w:vAlign w:val="center"/>
            <w:tcMar>
              <w:top w:w="80" w:type="dxa"/>
              <w:start w:w="120" w:type="dxa"/>
              <w:bottom w:w="80" w:type="dxa"/>
              <w:end w:w="120" w:type="dxa"/>
            </w:tcMar>
          </w:tcPr>
          <w:p>
            <w:pPr>
              <w:spacing w:before="0" w:after="0" w:line="240" w:lineRule="auto"/>
            </w:pPr>
            <w:r/>
            <w:r>
              <w:rPr>
                <w:rFonts w:ascii="Calibri" w:hAnsi="Calibri"/>
                <w:b w:val="0"/>
                <w:color w:val="0B2545"/>
                <w:sz w:val="17"/>
              </w:rPr>
              <w:t>CSV import</w:t>
            </w:r>
          </w:p>
        </w:tc>
        <w:tc>
          <w:tcPr>
            <w:tcW w:type="dxa" w:w="7260"/>
            <w:vAlign w:val="center"/>
            <w:tcMar>
              <w:top w:w="80" w:type="dxa"/>
              <w:start w:w="120" w:type="dxa"/>
              <w:bottom w:w="80" w:type="dxa"/>
              <w:end w:w="120" w:type="dxa"/>
            </w:tcMar>
          </w:tcPr>
          <w:p>
            <w:pPr>
              <w:spacing w:before="0" w:after="0" w:line="240" w:lineRule="auto"/>
            </w:pPr>
            <w:r/>
            <w:r>
              <w:rPr>
                <w:rFonts w:ascii="Calibri" w:hAnsi="Calibri"/>
                <w:b w:val="0"/>
                <w:color w:val="0B2545"/>
                <w:sz w:val="17"/>
              </w:rPr>
              <w:t>UTF-8; header row; documented delimiter/date/decimal rules; quoted fields; row-level validation.</w:t>
            </w:r>
          </w:p>
        </w:tc>
      </w:tr>
      <w:tr>
        <w:tc>
          <w:tcPr>
            <w:tcW w:type="dxa" w:w="2100"/>
            <w:vAlign w:val="center"/>
            <w:tcMar>
              <w:top w:w="80" w:type="dxa"/>
              <w:start w:w="120" w:type="dxa"/>
              <w:bottom w:w="80" w:type="dxa"/>
              <w:end w:w="120" w:type="dxa"/>
            </w:tcMar>
          </w:tcPr>
          <w:p>
            <w:pPr>
              <w:spacing w:before="0" w:after="0" w:line="240" w:lineRule="auto"/>
            </w:pPr>
            <w:r/>
            <w:r>
              <w:rPr>
                <w:rFonts w:ascii="Calibri" w:hAnsi="Calibri"/>
                <w:b w:val="0"/>
                <w:color w:val="0B2545"/>
                <w:sz w:val="17"/>
              </w:rPr>
              <w:t>Parquet import</w:t>
            </w:r>
          </w:p>
        </w:tc>
        <w:tc>
          <w:tcPr>
            <w:tcW w:type="dxa" w:w="7260"/>
            <w:vAlign w:val="center"/>
            <w:tcMar>
              <w:top w:w="80" w:type="dxa"/>
              <w:start w:w="120" w:type="dxa"/>
              <w:bottom w:w="80" w:type="dxa"/>
              <w:end w:w="120" w:type="dxa"/>
            </w:tcMar>
          </w:tcPr>
          <w:p>
            <w:pPr>
              <w:spacing w:before="0" w:after="0" w:line="240" w:lineRule="auto"/>
            </w:pPr>
            <w:r/>
            <w:r>
              <w:rPr>
                <w:rFonts w:ascii="Calibri" w:hAnsi="Calibri"/>
                <w:b w:val="0"/>
                <w:color w:val="0B2545"/>
                <w:sz w:val="17"/>
              </w:rPr>
              <w:t>Version-compatible schema; supported compression; logical types and list lengths validated.</w:t>
            </w:r>
          </w:p>
        </w:tc>
      </w:tr>
      <w:tr>
        <w:tc>
          <w:tcPr>
            <w:tcW w:type="dxa" w:w="2100"/>
            <w:vAlign w:val="center"/>
            <w:tcMar>
              <w:top w:w="80" w:type="dxa"/>
              <w:start w:w="120" w:type="dxa"/>
              <w:bottom w:w="80" w:type="dxa"/>
              <w:end w:w="120" w:type="dxa"/>
            </w:tcMar>
          </w:tcPr>
          <w:p>
            <w:pPr>
              <w:spacing w:before="0" w:after="0" w:line="240" w:lineRule="auto"/>
            </w:pPr>
            <w:r/>
            <w:r>
              <w:rPr>
                <w:rFonts w:ascii="Calibri" w:hAnsi="Calibri"/>
                <w:b w:val="0"/>
                <w:color w:val="0B2545"/>
                <w:sz w:val="17"/>
              </w:rPr>
              <w:t>CSV/XLSX export</w:t>
            </w:r>
          </w:p>
        </w:tc>
        <w:tc>
          <w:tcPr>
            <w:tcW w:type="dxa" w:w="7260"/>
            <w:vAlign w:val="center"/>
            <w:tcMar>
              <w:top w:w="80" w:type="dxa"/>
              <w:start w:w="120" w:type="dxa"/>
              <w:bottom w:w="80" w:type="dxa"/>
              <w:end w:w="120" w:type="dxa"/>
            </w:tcMar>
          </w:tcPr>
          <w:p>
            <w:pPr>
              <w:spacing w:before="0" w:after="0" w:line="240" w:lineRule="auto"/>
            </w:pPr>
            <w:r/>
            <w:r>
              <w:rPr>
                <w:rFonts w:ascii="Calibri" w:hAnsi="Calibri"/>
                <w:b w:val="0"/>
                <w:color w:val="0B2545"/>
                <w:sz w:val="17"/>
              </w:rPr>
              <w:t>Applied filters, stable column labels, units/currency, generated-at timestamp, row limits.</w:t>
            </w:r>
          </w:p>
        </w:tc>
      </w:tr>
      <w:tr>
        <w:tc>
          <w:tcPr>
            <w:tcW w:type="dxa" w:w="2100"/>
            <w:vAlign w:val="center"/>
            <w:tcMar>
              <w:top w:w="80" w:type="dxa"/>
              <w:start w:w="120" w:type="dxa"/>
              <w:bottom w:w="80" w:type="dxa"/>
              <w:end w:w="120" w:type="dxa"/>
            </w:tcMar>
          </w:tcPr>
          <w:p>
            <w:pPr>
              <w:spacing w:before="0" w:after="0" w:line="240" w:lineRule="auto"/>
            </w:pPr>
            <w:r/>
            <w:r>
              <w:rPr>
                <w:rFonts w:ascii="Calibri" w:hAnsi="Calibri"/>
                <w:b w:val="0"/>
                <w:color w:val="0B2545"/>
                <w:sz w:val="17"/>
              </w:rPr>
              <w:t>PDF report/invoice</w:t>
            </w:r>
          </w:p>
        </w:tc>
        <w:tc>
          <w:tcPr>
            <w:tcW w:type="dxa" w:w="7260"/>
            <w:vAlign w:val="center"/>
            <w:tcMar>
              <w:top w:w="80" w:type="dxa"/>
              <w:start w:w="120" w:type="dxa"/>
              <w:bottom w:w="80" w:type="dxa"/>
              <w:end w:w="120" w:type="dxa"/>
            </w:tcMar>
          </w:tcPr>
          <w:p>
            <w:pPr>
              <w:spacing w:before="0" w:after="0" w:line="240" w:lineRule="auto"/>
            </w:pPr>
            <w:r/>
            <w:r>
              <w:rPr>
                <w:rFonts w:ascii="Calibri" w:hAnsi="Calibri"/>
                <w:b w:val="0"/>
                <w:color w:val="0B2545"/>
                <w:sz w:val="17"/>
              </w:rPr>
              <w:t>Stable layout, page numbering, business metadata, applied scope, generation timestamp.</w:t>
            </w:r>
          </w:p>
        </w:tc>
      </w:tr>
    </w:tbl>
    <w:p>
      <w:pPr>
        <w:spacing w:after="20"/>
      </w:pPr>
    </w:p>
    <w:p>
      <w:pPr>
        <w:pStyle w:val="Heading2"/>
        <w:keepNext/>
        <w:keepLines/>
      </w:pPr>
      <w:r>
        <w:t>6.4 Notification Interfaces</w:t>
      </w:r>
    </w:p>
    <w:p>
      <w:pPr>
        <w:spacing w:after="120" w:line="264" w:lineRule="auto"/>
      </w:pPr>
      <w:r>
        <w:rPr>
          <w:rFonts w:ascii="Calibri" w:hAnsi="Calibri"/>
          <w:i w:val="0"/>
          <w:color w:val="0B2545"/>
        </w:rPr>
        <w:t>In-app notification is mandatory. Email and SMS are optional integrations subject to configured providers, consent, rate limits, retry/backoff, delivery status, template approval, and suppression of duplicate notifications.</w:t>
      </w:r>
    </w:p>
    <w:p>
      <w:pPr>
        <w:pStyle w:val="Heading1"/>
        <w:keepNext/>
        <w:keepLines/>
      </w:pPr>
      <w:r>
        <w:t>7. Data Requirements</w:t>
      </w:r>
    </w:p>
    <w:p>
      <w:pPr>
        <w:pStyle w:val="Heading2"/>
        <w:keepNext/>
        <w:keepLines/>
      </w:pPr>
      <w:r>
        <w:t>7.1 Supplied Dataset Profile</w:t>
      </w:r>
    </w:p>
    <w:tbl>
      <w:tblPr>
        <w:tblStyle w:val="TableGrid"/>
        <w:tblW w:type="dxa" w:w="9360"/>
        <w:jc w:val="left"/>
        <w:tblLayout w:type="fixed"/>
        <w:tblLook w:firstColumn="1" w:firstRow="1" w:lastColumn="0" w:lastRow="0" w:noHBand="0" w:noVBand="1" w:val="04A0"/>
        <w:tblInd w:w="120" w:type="dxa"/>
      </w:tblPr>
      <w:tblGrid>
        <w:gridCol w:w="3000"/>
        <w:gridCol w:w="3180"/>
        <w:gridCol w:w="3180"/>
      </w:tblGrid>
      <w:tr>
        <w:trPr>
          <w:tblHeader w:val="true"/>
        </w:trPr>
        <w:tc>
          <w:tcPr>
            <w:tcW w:type="dxa" w:w="30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Property</w:t>
            </w:r>
          </w:p>
        </w:tc>
        <w:tc>
          <w:tcPr>
            <w:tcW w:type="dxa" w:w="318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Training</w:t>
            </w:r>
          </w:p>
        </w:tc>
        <w:tc>
          <w:tcPr>
            <w:tcW w:type="dxa" w:w="318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Evaluation</w:t>
            </w:r>
          </w:p>
        </w:tc>
      </w:tr>
      <w:tr>
        <w:tc>
          <w:tcPr>
            <w:tcW w:type="dxa" w:w="3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Rows</w:t>
            </w:r>
          </w:p>
        </w:tc>
        <w:tc>
          <w:tcPr>
            <w:tcW w:type="dxa" w:w="3180"/>
            <w:vAlign w:val="center"/>
            <w:tcMar>
              <w:top w:w="80" w:type="dxa"/>
              <w:start w:w="120" w:type="dxa"/>
              <w:bottom w:w="80" w:type="dxa"/>
              <w:end w:w="120" w:type="dxa"/>
            </w:tcMar>
          </w:tcPr>
          <w:p>
            <w:pPr>
              <w:spacing w:before="0" w:after="0" w:line="240" w:lineRule="auto"/>
            </w:pPr>
            <w:r/>
            <w:r>
              <w:rPr>
                <w:rFonts w:ascii="Calibri" w:hAnsi="Calibri"/>
                <w:b w:val="0"/>
                <w:color w:val="0B2545"/>
                <w:sz w:val="17"/>
              </w:rPr>
              <w:t>4,500,000</w:t>
            </w:r>
          </w:p>
        </w:tc>
        <w:tc>
          <w:tcPr>
            <w:tcW w:type="dxa" w:w="3180"/>
            <w:vAlign w:val="center"/>
            <w:tcMar>
              <w:top w:w="80" w:type="dxa"/>
              <w:start w:w="120" w:type="dxa"/>
              <w:bottom w:w="80" w:type="dxa"/>
              <w:end w:w="120" w:type="dxa"/>
            </w:tcMar>
          </w:tcPr>
          <w:p>
            <w:pPr>
              <w:spacing w:before="0" w:after="0" w:line="240" w:lineRule="auto"/>
            </w:pPr>
            <w:r/>
            <w:r>
              <w:rPr>
                <w:rFonts w:ascii="Calibri" w:hAnsi="Calibri"/>
                <w:b w:val="0"/>
                <w:color w:val="0B2545"/>
                <w:sz w:val="17"/>
              </w:rPr>
              <w:t>350,000</w:t>
            </w:r>
          </w:p>
        </w:tc>
      </w:tr>
      <w:tr>
        <w:tc>
          <w:tcPr>
            <w:tcW w:type="dxa" w:w="3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Row groups</w:t>
            </w:r>
          </w:p>
        </w:tc>
        <w:tc>
          <w:tcPr>
            <w:tcW w:type="dxa" w:w="3180"/>
            <w:vAlign w:val="center"/>
            <w:tcMar>
              <w:top w:w="80" w:type="dxa"/>
              <w:start w:w="120" w:type="dxa"/>
              <w:bottom w:w="80" w:type="dxa"/>
              <w:end w:w="120" w:type="dxa"/>
            </w:tcMar>
          </w:tcPr>
          <w:p>
            <w:pPr>
              <w:spacing w:before="0" w:after="0" w:line="240" w:lineRule="auto"/>
            </w:pPr>
            <w:r/>
            <w:r>
              <w:rPr>
                <w:rFonts w:ascii="Calibri" w:hAnsi="Calibri"/>
                <w:b w:val="0"/>
                <w:color w:val="0B2545"/>
                <w:sz w:val="17"/>
              </w:rPr>
              <w:t>4,500 x 1,000 rows</w:t>
            </w:r>
          </w:p>
        </w:tc>
        <w:tc>
          <w:tcPr>
            <w:tcW w:type="dxa" w:w="3180"/>
            <w:vAlign w:val="center"/>
            <w:tcMar>
              <w:top w:w="80" w:type="dxa"/>
              <w:start w:w="120" w:type="dxa"/>
              <w:bottom w:w="80" w:type="dxa"/>
              <w:end w:w="120" w:type="dxa"/>
            </w:tcMar>
          </w:tcPr>
          <w:p>
            <w:pPr>
              <w:spacing w:before="0" w:after="0" w:line="240" w:lineRule="auto"/>
            </w:pPr>
            <w:r/>
            <w:r>
              <w:rPr>
                <w:rFonts w:ascii="Calibri" w:hAnsi="Calibri"/>
                <w:b w:val="0"/>
                <w:color w:val="0B2545"/>
                <w:sz w:val="17"/>
              </w:rPr>
              <w:t>350 x 1,000 rows</w:t>
            </w:r>
          </w:p>
        </w:tc>
      </w:tr>
      <w:tr>
        <w:tc>
          <w:tcPr>
            <w:tcW w:type="dxa" w:w="3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File size</w:t>
            </w:r>
          </w:p>
        </w:tc>
        <w:tc>
          <w:tcPr>
            <w:tcW w:type="dxa" w:w="3180"/>
            <w:vAlign w:val="center"/>
            <w:tcMar>
              <w:top w:w="80" w:type="dxa"/>
              <w:start w:w="120" w:type="dxa"/>
              <w:bottom w:w="80" w:type="dxa"/>
              <w:end w:w="120" w:type="dxa"/>
            </w:tcMar>
          </w:tcPr>
          <w:p>
            <w:pPr>
              <w:spacing w:before="0" w:after="0" w:line="240" w:lineRule="auto"/>
            </w:pPr>
            <w:r/>
            <w:r>
              <w:rPr>
                <w:rFonts w:ascii="Calibri" w:hAnsi="Calibri"/>
                <w:b w:val="0"/>
                <w:color w:val="0B2545"/>
                <w:sz w:val="17"/>
              </w:rPr>
              <w:t>101.5 MiB</w:t>
            </w:r>
          </w:p>
        </w:tc>
        <w:tc>
          <w:tcPr>
            <w:tcW w:type="dxa" w:w="3180"/>
            <w:vAlign w:val="center"/>
            <w:tcMar>
              <w:top w:w="80" w:type="dxa"/>
              <w:start w:w="120" w:type="dxa"/>
              <w:bottom w:w="80" w:type="dxa"/>
              <w:end w:w="120" w:type="dxa"/>
            </w:tcMar>
          </w:tcPr>
          <w:p>
            <w:pPr>
              <w:spacing w:before="0" w:after="0" w:line="240" w:lineRule="auto"/>
            </w:pPr>
            <w:r/>
            <w:r>
              <w:rPr>
                <w:rFonts w:ascii="Calibri" w:hAnsi="Calibri"/>
                <w:b w:val="0"/>
                <w:color w:val="0B2545"/>
                <w:sz w:val="17"/>
              </w:rPr>
              <w:t>8.0 MiB</w:t>
            </w:r>
          </w:p>
        </w:tc>
      </w:tr>
      <w:tr>
        <w:tc>
          <w:tcPr>
            <w:tcW w:type="dxa" w:w="3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Format/compression</w:t>
            </w:r>
          </w:p>
        </w:tc>
        <w:tc>
          <w:tcPr>
            <w:tcW w:type="dxa" w:w="3180"/>
            <w:vAlign w:val="center"/>
            <w:tcMar>
              <w:top w:w="80" w:type="dxa"/>
              <w:start w:w="120" w:type="dxa"/>
              <w:bottom w:w="80" w:type="dxa"/>
              <w:end w:w="120" w:type="dxa"/>
            </w:tcMar>
          </w:tcPr>
          <w:p>
            <w:pPr>
              <w:spacing w:before="0" w:after="0" w:line="240" w:lineRule="auto"/>
            </w:pPr>
            <w:r/>
            <w:r>
              <w:rPr>
                <w:rFonts w:ascii="Calibri" w:hAnsi="Calibri"/>
                <w:b w:val="0"/>
                <w:color w:val="0B2545"/>
                <w:sz w:val="17"/>
              </w:rPr>
              <w:t>Parquet v2 / Snappy</w:t>
            </w:r>
          </w:p>
        </w:tc>
        <w:tc>
          <w:tcPr>
            <w:tcW w:type="dxa" w:w="3180"/>
            <w:vAlign w:val="center"/>
            <w:tcMar>
              <w:top w:w="80" w:type="dxa"/>
              <w:start w:w="120" w:type="dxa"/>
              <w:bottom w:w="80" w:type="dxa"/>
              <w:end w:w="120" w:type="dxa"/>
            </w:tcMar>
          </w:tcPr>
          <w:p>
            <w:pPr>
              <w:spacing w:before="0" w:after="0" w:line="240" w:lineRule="auto"/>
            </w:pPr>
            <w:r/>
            <w:r>
              <w:rPr>
                <w:rFonts w:ascii="Calibri" w:hAnsi="Calibri"/>
                <w:b w:val="0"/>
                <w:color w:val="0B2545"/>
                <w:sz w:val="17"/>
              </w:rPr>
              <w:t>Parquet v2 / Snappy</w:t>
            </w:r>
          </w:p>
        </w:tc>
      </w:tr>
      <w:tr>
        <w:tc>
          <w:tcPr>
            <w:tcW w:type="dxa" w:w="3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Logical fields</w:t>
            </w:r>
          </w:p>
        </w:tc>
        <w:tc>
          <w:tcPr>
            <w:tcW w:type="dxa" w:w="3180"/>
            <w:vAlign w:val="center"/>
            <w:tcMar>
              <w:top w:w="80" w:type="dxa"/>
              <w:start w:w="120" w:type="dxa"/>
              <w:bottom w:w="80" w:type="dxa"/>
              <w:end w:w="120" w:type="dxa"/>
            </w:tcMar>
          </w:tcPr>
          <w:p>
            <w:pPr>
              <w:spacing w:before="0" w:after="0" w:line="240" w:lineRule="auto"/>
            </w:pPr>
            <w:r/>
            <w:r>
              <w:rPr>
                <w:rFonts w:ascii="Calibri" w:hAnsi="Calibri"/>
                <w:b w:val="0"/>
                <w:color w:val="0B2545"/>
                <w:sz w:val="17"/>
              </w:rPr>
              <w:t>19</w:t>
            </w:r>
          </w:p>
        </w:tc>
        <w:tc>
          <w:tcPr>
            <w:tcW w:type="dxa" w:w="3180"/>
            <w:vAlign w:val="center"/>
            <w:tcMar>
              <w:top w:w="80" w:type="dxa"/>
              <w:start w:w="120" w:type="dxa"/>
              <w:bottom w:w="80" w:type="dxa"/>
              <w:end w:w="120" w:type="dxa"/>
            </w:tcMar>
          </w:tcPr>
          <w:p>
            <w:pPr>
              <w:spacing w:before="0" w:after="0" w:line="240" w:lineRule="auto"/>
            </w:pPr>
            <w:r/>
            <w:r>
              <w:rPr>
                <w:rFonts w:ascii="Calibri" w:hAnsi="Calibri"/>
                <w:b w:val="0"/>
                <w:color w:val="0B2545"/>
                <w:sz w:val="17"/>
              </w:rPr>
              <w:t>19</w:t>
            </w:r>
          </w:p>
        </w:tc>
      </w:tr>
      <w:tr>
        <w:tc>
          <w:tcPr>
            <w:tcW w:type="dxa" w:w="3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Nulls reported in footer statistics</w:t>
            </w:r>
          </w:p>
        </w:tc>
        <w:tc>
          <w:tcPr>
            <w:tcW w:type="dxa" w:w="3180"/>
            <w:vAlign w:val="center"/>
            <w:tcMar>
              <w:top w:w="80" w:type="dxa"/>
              <w:start w:w="120" w:type="dxa"/>
              <w:bottom w:w="80" w:type="dxa"/>
              <w:end w:w="120" w:type="dxa"/>
            </w:tcMar>
          </w:tcPr>
          <w:p>
            <w:pPr>
              <w:spacing w:before="0" w:after="0" w:line="240" w:lineRule="auto"/>
            </w:pPr>
            <w:r/>
            <w:r>
              <w:rPr>
                <w:rFonts w:ascii="Calibri" w:hAnsi="Calibri"/>
                <w:b w:val="0"/>
                <w:color w:val="0B2545"/>
                <w:sz w:val="17"/>
              </w:rPr>
              <w:t>0 in all leaf fields</w:t>
            </w:r>
          </w:p>
        </w:tc>
        <w:tc>
          <w:tcPr>
            <w:tcW w:type="dxa" w:w="3180"/>
            <w:vAlign w:val="center"/>
            <w:tcMar>
              <w:top w:w="80" w:type="dxa"/>
              <w:start w:w="120" w:type="dxa"/>
              <w:bottom w:w="80" w:type="dxa"/>
              <w:end w:w="120" w:type="dxa"/>
            </w:tcMar>
          </w:tcPr>
          <w:p>
            <w:pPr>
              <w:spacing w:before="0" w:after="0" w:line="240" w:lineRule="auto"/>
            </w:pPr>
            <w:r/>
            <w:r>
              <w:rPr>
                <w:rFonts w:ascii="Calibri" w:hAnsi="Calibri"/>
                <w:b w:val="0"/>
                <w:color w:val="0B2545"/>
                <w:sz w:val="17"/>
              </w:rPr>
              <w:t>0 in all leaf fields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000"/>
        <w:gridCol w:w="1700"/>
        <w:gridCol w:w="2350"/>
        <w:gridCol w:w="3310"/>
      </w:tblGrid>
      <w:tr>
        <w:trPr>
          <w:tblHeader w:val="true"/>
        </w:trPr>
        <w:tc>
          <w:tcPr>
            <w:tcW w:type="dxa" w:w="20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5"/>
              </w:rPr>
              <w:t>Field</w:t>
            </w:r>
          </w:p>
        </w:tc>
        <w:tc>
          <w:tcPr>
            <w:tcW w:type="dxa" w:w="17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5"/>
              </w:rPr>
              <w:t>Type</w:t>
            </w:r>
          </w:p>
        </w:tc>
        <w:tc>
          <w:tcPr>
            <w:tcW w:type="dxa" w:w="235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5"/>
              </w:rPr>
              <w:t>Observed range/shape</w:t>
            </w:r>
          </w:p>
        </w:tc>
        <w:tc>
          <w:tcPr>
            <w:tcW w:type="dxa" w:w="331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5"/>
              </w:rPr>
              <w:t>Interpretation and rule</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city_id</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int64</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0-17</w:t>
            </w:r>
          </w:p>
        </w:tc>
        <w:tc>
          <w:tcPr>
            <w:tcW w:type="dxa" w:w="3310"/>
            <w:vAlign w:val="center"/>
            <w:tcMar>
              <w:top w:w="80" w:type="dxa"/>
              <w:start w:w="120" w:type="dxa"/>
              <w:bottom w:w="80" w:type="dxa"/>
              <w:end w:w="120" w:type="dxa"/>
            </w:tcMar>
          </w:tcPr>
          <w:p>
            <w:pPr>
              <w:spacing w:before="0" w:after="0" w:line="240" w:lineRule="auto"/>
            </w:pPr>
            <w:r/>
            <w:r>
              <w:rPr>
                <w:rFonts w:ascii="Calibri" w:hAnsi="Calibri"/>
                <w:b w:val="0"/>
                <w:color w:val="0B2545"/>
                <w:sz w:val="15"/>
              </w:rPr>
              <w:t>City key; required; tenant mapping required.</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store_id</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int64</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0-897</w:t>
            </w:r>
          </w:p>
        </w:tc>
        <w:tc>
          <w:tcPr>
            <w:tcW w:type="dxa" w:w="3310"/>
            <w:vAlign w:val="center"/>
            <w:tcMar>
              <w:top w:w="80" w:type="dxa"/>
              <w:start w:w="120" w:type="dxa"/>
              <w:bottom w:w="80" w:type="dxa"/>
              <w:end w:w="120" w:type="dxa"/>
            </w:tcMar>
          </w:tcPr>
          <w:p>
            <w:pPr>
              <w:spacing w:before="0" w:after="0" w:line="240" w:lineRule="auto"/>
            </w:pPr>
            <w:r/>
            <w:r>
              <w:rPr>
                <w:rFonts w:ascii="Calibri" w:hAnsi="Calibri"/>
                <w:b w:val="0"/>
                <w:color w:val="0B2545"/>
                <w:sz w:val="15"/>
              </w:rPr>
              <w:t>Store key; required; stable master-data reference.</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management_group_id</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int64</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0-6</w:t>
            </w:r>
          </w:p>
        </w:tc>
        <w:tc>
          <w:tcPr>
            <w:tcW w:type="dxa" w:w="3310"/>
            <w:vAlign w:val="center"/>
            <w:tcMar>
              <w:top w:w="80" w:type="dxa"/>
              <w:start w:w="120" w:type="dxa"/>
              <w:bottom w:w="80" w:type="dxa"/>
              <w:end w:w="120" w:type="dxa"/>
            </w:tcMar>
          </w:tcPr>
          <w:p>
            <w:pPr>
              <w:spacing w:before="0" w:after="0" w:line="240" w:lineRule="auto"/>
            </w:pPr>
            <w:r/>
            <w:r>
              <w:rPr>
                <w:rFonts w:ascii="Calibri" w:hAnsi="Calibri"/>
                <w:b w:val="0"/>
                <w:color w:val="0B2545"/>
                <w:sz w:val="15"/>
              </w:rPr>
              <w:t>Management grouping key.</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first_category_id</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int64</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0-31</w:t>
            </w:r>
          </w:p>
        </w:tc>
        <w:tc>
          <w:tcPr>
            <w:tcW w:type="dxa" w:w="3310"/>
            <w:vAlign w:val="center"/>
            <w:tcMar>
              <w:top w:w="80" w:type="dxa"/>
              <w:start w:w="120" w:type="dxa"/>
              <w:bottom w:w="80" w:type="dxa"/>
              <w:end w:w="120" w:type="dxa"/>
            </w:tcMar>
          </w:tcPr>
          <w:p>
            <w:pPr>
              <w:spacing w:before="0" w:after="0" w:line="240" w:lineRule="auto"/>
            </w:pPr>
            <w:r/>
            <w:r>
              <w:rPr>
                <w:rFonts w:ascii="Calibri" w:hAnsi="Calibri"/>
                <w:b w:val="0"/>
                <w:color w:val="0B2545"/>
                <w:sz w:val="15"/>
              </w:rPr>
              <w:t>Top-level product category.</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second_category_id</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int64</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0-83</w:t>
            </w:r>
          </w:p>
        </w:tc>
        <w:tc>
          <w:tcPr>
            <w:tcW w:type="dxa" w:w="3310"/>
            <w:vAlign w:val="center"/>
            <w:tcMar>
              <w:top w:w="80" w:type="dxa"/>
              <w:start w:w="120" w:type="dxa"/>
              <w:bottom w:w="80" w:type="dxa"/>
              <w:end w:w="120" w:type="dxa"/>
            </w:tcMar>
          </w:tcPr>
          <w:p>
            <w:pPr>
              <w:spacing w:before="0" w:after="0" w:line="240" w:lineRule="auto"/>
            </w:pPr>
            <w:r/>
            <w:r>
              <w:rPr>
                <w:rFonts w:ascii="Calibri" w:hAnsi="Calibri"/>
                <w:b w:val="0"/>
                <w:color w:val="0B2545"/>
                <w:sz w:val="15"/>
              </w:rPr>
              <w:t>Second-level category; parent consistency required.</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third_category_id</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int64</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0-232</w:t>
            </w:r>
          </w:p>
        </w:tc>
        <w:tc>
          <w:tcPr>
            <w:tcW w:type="dxa" w:w="3310"/>
            <w:vAlign w:val="center"/>
            <w:tcMar>
              <w:top w:w="80" w:type="dxa"/>
              <w:start w:w="120" w:type="dxa"/>
              <w:bottom w:w="80" w:type="dxa"/>
              <w:end w:w="120" w:type="dxa"/>
            </w:tcMar>
          </w:tcPr>
          <w:p>
            <w:pPr>
              <w:spacing w:before="0" w:after="0" w:line="240" w:lineRule="auto"/>
            </w:pPr>
            <w:r/>
            <w:r>
              <w:rPr>
                <w:rFonts w:ascii="Calibri" w:hAnsi="Calibri"/>
                <w:b w:val="0"/>
                <w:color w:val="0B2545"/>
                <w:sz w:val="15"/>
              </w:rPr>
              <w:t>Third-level category; parent consistency required.</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product_id</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int64</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0-864</w:t>
            </w:r>
          </w:p>
        </w:tc>
        <w:tc>
          <w:tcPr>
            <w:tcW w:type="dxa" w:w="3310"/>
            <w:vAlign w:val="center"/>
            <w:tcMar>
              <w:top w:w="80" w:type="dxa"/>
              <w:start w:w="120" w:type="dxa"/>
              <w:bottom w:w="80" w:type="dxa"/>
              <w:end w:w="120" w:type="dxa"/>
            </w:tcMar>
          </w:tcPr>
          <w:p>
            <w:pPr>
              <w:spacing w:before="0" w:after="0" w:line="240" w:lineRule="auto"/>
            </w:pPr>
            <w:r/>
            <w:r>
              <w:rPr>
                <w:rFonts w:ascii="Calibri" w:hAnsi="Calibri"/>
                <w:b w:val="0"/>
                <w:color w:val="0B2545"/>
                <w:sz w:val="15"/>
              </w:rPr>
              <w:t>Product key; stable within source.</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dt</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string</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Footer min/max unavailable</w:t>
            </w:r>
          </w:p>
        </w:tc>
        <w:tc>
          <w:tcPr>
            <w:tcW w:type="dxa" w:w="3310"/>
            <w:vAlign w:val="center"/>
            <w:tcMar>
              <w:top w:w="80" w:type="dxa"/>
              <w:start w:w="120" w:type="dxa"/>
              <w:bottom w:w="80" w:type="dxa"/>
              <w:end w:w="120" w:type="dxa"/>
            </w:tcMar>
          </w:tcPr>
          <w:p>
            <w:pPr>
              <w:spacing w:before="0" w:after="0" w:line="240" w:lineRule="auto"/>
            </w:pPr>
            <w:r/>
            <w:r>
              <w:rPr>
                <w:rFonts w:ascii="Calibri" w:hAnsi="Calibri"/>
                <w:b w:val="0"/>
                <w:color w:val="0B2545"/>
                <w:sz w:val="15"/>
              </w:rPr>
              <w:t>Business date; parse to governed date/time zone.</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sale_amount</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float64</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Train 0-44.9; eval 0-49.9</w:t>
            </w:r>
          </w:p>
        </w:tc>
        <w:tc>
          <w:tcPr>
            <w:tcW w:type="dxa" w:w="3310"/>
            <w:vAlign w:val="center"/>
            <w:tcMar>
              <w:top w:w="80" w:type="dxa"/>
              <w:start w:w="120" w:type="dxa"/>
              <w:bottom w:w="80" w:type="dxa"/>
              <w:end w:w="120" w:type="dxa"/>
            </w:tcMar>
          </w:tcPr>
          <w:p>
            <w:r/>
            <w:r>
              <w:rPr>
                <w:rFonts w:ascii="Aptos" w:hAnsi="Aptos"/>
                <w:b w:val="0"/>
                <w:sz w:val="18"/>
              </w:rPr>
              <w:t>Opaque demand measure used as the forecast target. Expose as source_unit until the provider approves its business meaning.</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hours_sale</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sequence&lt;float64&gt;</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24 values/row; train max 16.9</w:t>
            </w:r>
          </w:p>
        </w:tc>
        <w:tc>
          <w:tcPr>
            <w:tcW w:type="dxa" w:w="3310"/>
            <w:vAlign w:val="center"/>
            <w:tcMar>
              <w:top w:w="80" w:type="dxa"/>
              <w:start w:w="120" w:type="dxa"/>
              <w:bottom w:w="80" w:type="dxa"/>
              <w:end w:w="120" w:type="dxa"/>
            </w:tcMar>
          </w:tcPr>
          <w:p>
            <w:pPr>
              <w:spacing w:before="0" w:after="0" w:line="240" w:lineRule="auto"/>
            </w:pPr>
            <w:r/>
            <w:r>
              <w:rPr>
                <w:rFonts w:ascii="Calibri" w:hAnsi="Calibri"/>
                <w:b w:val="0"/>
                <w:color w:val="0B2545"/>
                <w:sz w:val="15"/>
              </w:rPr>
              <w:t>Hourly sales vector; exactly 24 elements.</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stock_hour6_22_cnt</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int32</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0-16</w:t>
            </w:r>
          </w:p>
        </w:tc>
        <w:tc>
          <w:tcPr>
            <w:tcW w:type="dxa" w:w="3310"/>
            <w:vAlign w:val="center"/>
            <w:tcMar>
              <w:top w:w="80" w:type="dxa"/>
              <w:start w:w="120" w:type="dxa"/>
              <w:bottom w:w="80" w:type="dxa"/>
              <w:end w:w="120" w:type="dxa"/>
            </w:tcMar>
          </w:tcPr>
          <w:p>
            <w:pPr>
              <w:spacing w:before="0" w:after="0" w:line="240" w:lineRule="auto"/>
            </w:pPr>
            <w:r/>
            <w:r>
              <w:rPr>
                <w:rFonts w:ascii="Calibri" w:hAnsi="Calibri"/>
                <w:b w:val="0"/>
                <w:color w:val="0B2545"/>
                <w:sz w:val="15"/>
              </w:rPr>
              <w:t>Count of hourly stock conditions from hours 06-22; definition to confirm.</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hours_stock_status</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sequence&lt;int64&gt;</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24 binary values/row</w:t>
            </w:r>
          </w:p>
        </w:tc>
        <w:tc>
          <w:tcPr>
            <w:tcW w:type="dxa" w:w="3310"/>
            <w:vAlign w:val="center"/>
            <w:tcMar>
              <w:top w:w="80" w:type="dxa"/>
              <w:start w:w="120" w:type="dxa"/>
              <w:bottom w:w="80" w:type="dxa"/>
              <w:end w:w="120" w:type="dxa"/>
            </w:tcMar>
          </w:tcPr>
          <w:p>
            <w:pPr>
              <w:spacing w:before="0" w:after="0" w:line="240" w:lineRule="auto"/>
            </w:pPr>
            <w:r/>
            <w:r>
              <w:rPr>
                <w:rFonts w:ascii="Calibri" w:hAnsi="Calibri"/>
                <w:b w:val="0"/>
                <w:color w:val="0B2545"/>
                <w:sz w:val="15"/>
              </w:rPr>
              <w:t>Hourly stock-status vector; exactly 24 values in {0,1}.</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discount</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float64</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Train 0-1.088; eval 0-1.0</w:t>
            </w:r>
          </w:p>
        </w:tc>
        <w:tc>
          <w:tcPr>
            <w:tcW w:type="dxa" w:w="3310"/>
            <w:vAlign w:val="center"/>
            <w:tcMar>
              <w:top w:w="80" w:type="dxa"/>
              <w:start w:w="120" w:type="dxa"/>
              <w:bottom w:w="80" w:type="dxa"/>
              <w:end w:w="120" w:type="dxa"/>
            </w:tcMar>
          </w:tcPr>
          <w:p>
            <w:pPr>
              <w:spacing w:before="0" w:after="0" w:line="240" w:lineRule="auto"/>
            </w:pPr>
            <w:r/>
            <w:r>
              <w:rPr>
                <w:rFonts w:ascii="Calibri" w:hAnsi="Calibri"/>
                <w:b w:val="0"/>
                <w:color w:val="0B2545"/>
                <w:sz w:val="15"/>
              </w:rPr>
              <w:t>Discount measure; &gt;1 in train requires definition/quality review.</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holiday_flag</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int32</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0 or 1</w:t>
            </w:r>
          </w:p>
        </w:tc>
        <w:tc>
          <w:tcPr>
            <w:tcW w:type="dxa" w:w="3310"/>
            <w:vAlign w:val="center"/>
            <w:tcMar>
              <w:top w:w="80" w:type="dxa"/>
              <w:start w:w="120" w:type="dxa"/>
              <w:bottom w:w="80" w:type="dxa"/>
              <w:end w:w="120" w:type="dxa"/>
            </w:tcMar>
          </w:tcPr>
          <w:p>
            <w:pPr>
              <w:spacing w:before="0" w:after="0" w:line="240" w:lineRule="auto"/>
            </w:pPr>
            <w:r/>
            <w:r>
              <w:rPr>
                <w:rFonts w:ascii="Calibri" w:hAnsi="Calibri"/>
                <w:b w:val="0"/>
                <w:color w:val="0B2545"/>
                <w:sz w:val="15"/>
              </w:rPr>
              <w:t>Holiday indicator.</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activity_flag</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int32</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0 or 1</w:t>
            </w:r>
          </w:p>
        </w:tc>
        <w:tc>
          <w:tcPr>
            <w:tcW w:type="dxa" w:w="3310"/>
            <w:vAlign w:val="center"/>
            <w:tcMar>
              <w:top w:w="80" w:type="dxa"/>
              <w:start w:w="120" w:type="dxa"/>
              <w:bottom w:w="80" w:type="dxa"/>
              <w:end w:w="120" w:type="dxa"/>
            </w:tcMar>
          </w:tcPr>
          <w:p>
            <w:pPr>
              <w:spacing w:before="0" w:after="0" w:line="240" w:lineRule="auto"/>
            </w:pPr>
            <w:r/>
            <w:r>
              <w:rPr>
                <w:rFonts w:ascii="Calibri" w:hAnsi="Calibri"/>
                <w:b w:val="0"/>
                <w:color w:val="0B2545"/>
                <w:sz w:val="15"/>
              </w:rPr>
              <w:t>Promotion/activity indicator; definition required.</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precpt</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float64</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Train 0-42.5; eval 0.4949-14.8418</w:t>
            </w:r>
          </w:p>
        </w:tc>
        <w:tc>
          <w:tcPr>
            <w:tcW w:type="dxa" w:w="3310"/>
            <w:vAlign w:val="center"/>
            <w:tcMar>
              <w:top w:w="80" w:type="dxa"/>
              <w:start w:w="120" w:type="dxa"/>
              <w:bottom w:w="80" w:type="dxa"/>
              <w:end w:w="120" w:type="dxa"/>
            </w:tcMar>
          </w:tcPr>
          <w:p>
            <w:pPr>
              <w:spacing w:before="0" w:after="0" w:line="240" w:lineRule="auto"/>
            </w:pPr>
            <w:r/>
            <w:r>
              <w:rPr>
                <w:rFonts w:ascii="Calibri" w:hAnsi="Calibri"/>
                <w:b w:val="0"/>
                <w:color w:val="0B2545"/>
                <w:sz w:val="15"/>
              </w:rPr>
              <w:t>Precipitation; unit/source required.</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avg_temperature</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float64</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Train 12.06-30.88; eval 26.4-32.29</w:t>
            </w:r>
          </w:p>
        </w:tc>
        <w:tc>
          <w:tcPr>
            <w:tcW w:type="dxa" w:w="3310"/>
            <w:vAlign w:val="center"/>
            <w:tcMar>
              <w:top w:w="80" w:type="dxa"/>
              <w:start w:w="120" w:type="dxa"/>
              <w:bottom w:w="80" w:type="dxa"/>
              <w:end w:w="120" w:type="dxa"/>
            </w:tcMar>
          </w:tcPr>
          <w:p>
            <w:pPr>
              <w:spacing w:before="0" w:after="0" w:line="240" w:lineRule="auto"/>
            </w:pPr>
            <w:r/>
            <w:r>
              <w:rPr>
                <w:rFonts w:ascii="Calibri" w:hAnsi="Calibri"/>
                <w:b w:val="0"/>
                <w:color w:val="0B2545"/>
                <w:sz w:val="15"/>
              </w:rPr>
              <w:t>Average temperature; assumed Celsius pending confirmation.</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avg_humidity</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float64</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Train 27.35-100; eval 51.47-86.38</w:t>
            </w:r>
          </w:p>
        </w:tc>
        <w:tc>
          <w:tcPr>
            <w:tcW w:type="dxa" w:w="3310"/>
            <w:vAlign w:val="center"/>
            <w:tcMar>
              <w:top w:w="80" w:type="dxa"/>
              <w:start w:w="120" w:type="dxa"/>
              <w:bottom w:w="80" w:type="dxa"/>
              <w:end w:w="120" w:type="dxa"/>
            </w:tcMar>
          </w:tcPr>
          <w:p>
            <w:pPr>
              <w:spacing w:before="0" w:after="0" w:line="240" w:lineRule="auto"/>
            </w:pPr>
            <w:r/>
            <w:r>
              <w:rPr>
                <w:rFonts w:ascii="Calibri" w:hAnsi="Calibri"/>
                <w:b w:val="0"/>
                <w:color w:val="0B2545"/>
                <w:sz w:val="15"/>
              </w:rPr>
              <w:t>Average relative humidity percentage.</w:t>
            </w:r>
          </w:p>
        </w:tc>
      </w:tr>
      <w:tr>
        <w:tc>
          <w:tcPr>
            <w:tcW w:type="dxa" w:w="2000"/>
            <w:vAlign w:val="center"/>
            <w:tcMar>
              <w:top w:w="80" w:type="dxa"/>
              <w:start w:w="120" w:type="dxa"/>
              <w:bottom w:w="80" w:type="dxa"/>
              <w:end w:w="120" w:type="dxa"/>
            </w:tcMar>
          </w:tcPr>
          <w:p>
            <w:pPr>
              <w:spacing w:before="0" w:after="0" w:line="240" w:lineRule="auto"/>
            </w:pPr>
            <w:r/>
            <w:r>
              <w:rPr>
                <w:rFonts w:ascii="Calibri" w:hAnsi="Calibri"/>
                <w:b w:val="0"/>
                <w:color w:val="0B2545"/>
                <w:sz w:val="15"/>
              </w:rPr>
              <w:t>avg_wind_level</w:t>
            </w:r>
          </w:p>
        </w:tc>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5"/>
              </w:rPr>
              <w:t>float64</w:t>
            </w:r>
          </w:p>
        </w:tc>
        <w:tc>
          <w:tcPr>
            <w:tcW w:type="dxa" w:w="2350"/>
            <w:vAlign w:val="center"/>
            <w:tcMar>
              <w:top w:w="80" w:type="dxa"/>
              <w:start w:w="120" w:type="dxa"/>
              <w:bottom w:w="80" w:type="dxa"/>
              <w:end w:w="120" w:type="dxa"/>
            </w:tcMar>
          </w:tcPr>
          <w:p>
            <w:pPr>
              <w:spacing w:before="0" w:after="0" w:line="240" w:lineRule="auto"/>
            </w:pPr>
            <w:r/>
            <w:r>
              <w:rPr>
                <w:rFonts w:ascii="Calibri" w:hAnsi="Calibri"/>
                <w:b w:val="0"/>
                <w:color w:val="0B2545"/>
                <w:sz w:val="15"/>
              </w:rPr>
              <w:t>Train 0.97-3.85; eval 1.05-3.68</w:t>
            </w:r>
          </w:p>
        </w:tc>
        <w:tc>
          <w:tcPr>
            <w:tcW w:type="dxa" w:w="3310"/>
            <w:vAlign w:val="center"/>
            <w:tcMar>
              <w:top w:w="80" w:type="dxa"/>
              <w:start w:w="120" w:type="dxa"/>
              <w:bottom w:w="80" w:type="dxa"/>
              <w:end w:w="120" w:type="dxa"/>
            </w:tcMar>
          </w:tcPr>
          <w:p>
            <w:pPr>
              <w:spacing w:before="0" w:after="0" w:line="240" w:lineRule="auto"/>
            </w:pPr>
            <w:r/>
            <w:r>
              <w:rPr>
                <w:rFonts w:ascii="Calibri" w:hAnsi="Calibri"/>
                <w:b w:val="0"/>
                <w:color w:val="0B2545"/>
                <w:sz w:val="15"/>
              </w:rPr>
              <w:t>Average wind level; unit/scale required.</w:t>
            </w:r>
          </w:p>
        </w:tc>
      </w:tr>
    </w:tbl>
    <w:p>
      <w:pPr>
        <w:spacing w:after="20"/>
      </w:pPr>
    </w:p>
    <w:p>
      <w:pPr>
        <w:spacing w:before="80" w:after="160" w:line="259" w:lineRule="auto"/>
        <w:ind w:left="173" w:right="173"/>
        <w:shd w:fill="FFF4CE"/>
        <w:pBdr>
          <w:left w:val="single" w:sz="16" w:space="8" w:color="7A5A00"/>
        </w:pBdr>
      </w:pPr>
      <w:r>
        <w:rPr>
          <w:rFonts w:ascii="Calibri" w:hAnsi="Calibri"/>
          <w:b/>
          <w:color w:val="7A5A00"/>
        </w:rPr>
        <w:t xml:space="preserve">Observed data-quality risks: </w:t>
      </w:r>
      <w:r>
        <w:rPr>
          <w:rFonts w:ascii="Calibri" w:hAnsi="Calibri"/>
          <w:color w:val="7A5A00"/>
        </w:rPr>
        <w:t>The meaning of sale_amount and discount is not documented; discount exceeds 1.0 in training; date min/max are not present in Parquet footer statistics; vector-to-hour mapping is assumed to be 24 positions; weather units and activity semantics are unspecified. These must be resolved in a signed data dictionary before production model approval.</w:t>
      </w:r>
    </w:p>
    <w:p>
      <w:pPr>
        <w:pStyle w:val="Heading2"/>
        <w:keepNext/>
        <w:keepLines/>
      </w:pPr>
      <w:r>
        <w:t>7.2 Data Coverage Gap Analysis</w:t>
      </w:r>
    </w:p>
    <w:tbl>
      <w:tblPr>
        <w:tblStyle w:val="TableGrid"/>
        <w:tblW w:type="dxa" w:w="9360"/>
        <w:jc w:val="left"/>
        <w:tblLayout w:type="fixed"/>
        <w:tblLook w:firstColumn="1" w:firstRow="1" w:lastColumn="0" w:lastRow="0" w:noHBand="0" w:noVBand="1" w:val="04A0"/>
        <w:tblInd w:w="120" w:type="dxa"/>
      </w:tblPr>
      <w:tblGrid>
        <w:gridCol w:w="2300"/>
        <w:gridCol w:w="4200"/>
        <w:gridCol w:w="2860"/>
      </w:tblGrid>
      <w:tr>
        <w:trPr>
          <w:tblHeader w:val="true"/>
          <w:cantSplit/>
        </w:trPr>
        <w:tc>
          <w:tcPr>
            <w:tcW w:type="dxa" w:w="23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Capability</w:t>
            </w:r>
          </w:p>
        </w:tc>
        <w:tc>
          <w:tcPr>
            <w:tcW w:type="dxa" w:w="42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Required data not present in supplied Parquet</w:t>
            </w:r>
          </w:p>
        </w:tc>
        <w:tc>
          <w:tcPr>
            <w:tcW w:type="dxa" w:w="28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Disposition</w:t>
            </w:r>
          </w:p>
        </w:tc>
      </w:tr>
      <w:tr>
        <w:trPr>
          <w:cantSplit/>
        </w:trPr>
        <w:tc>
          <w:tcPr>
            <w:tcW w:type="dxa" w:w="2300"/>
            <w:vAlign w:val="center"/>
            <w:tcMar>
              <w:top w:w="80" w:type="dxa"/>
              <w:start w:w="120" w:type="dxa"/>
              <w:bottom w:w="80" w:type="dxa"/>
              <w:end w:w="120" w:type="dxa"/>
            </w:tcMar>
          </w:tcPr>
          <w:p>
            <w:pPr>
              <w:spacing w:before="0" w:after="0" w:line="240" w:lineRule="auto"/>
            </w:pPr>
            <w:r/>
            <w:r>
              <w:rPr>
                <w:rFonts w:ascii="Calibri" w:hAnsi="Calibri"/>
                <w:b w:val="0"/>
                <w:color w:val="0B2545"/>
                <w:sz w:val="16"/>
              </w:rPr>
              <w:t>Customer segmentation</w:t>
            </w:r>
          </w:p>
        </w:tc>
        <w:tc>
          <w:tcPr>
            <w:tcW w:type="dxa" w:w="4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customer_id, transaction/order identity, customer tenure/contact/consent.</w:t>
            </w:r>
          </w:p>
        </w:tc>
        <w:tc>
          <w:tcPr>
            <w:tcW w:type="dxa" w:w="2860"/>
            <w:vAlign w:val="center"/>
            <w:tcMar>
              <w:top w:w="80" w:type="dxa"/>
              <w:start w:w="120" w:type="dxa"/>
              <w:bottom w:w="80" w:type="dxa"/>
              <w:end w:w="120" w:type="dxa"/>
            </w:tcMar>
          </w:tcPr>
          <w:p>
            <w:r/>
            <w:r>
              <w:rPr>
                <w:rFonts w:ascii="Aptos" w:hAnsi="Aptos"/>
                <w:b w:val="0"/>
                <w:sz w:val="18"/>
              </w:rPr>
              <w:t>Resolved for Milestone 2 through cleaned customer transaction and summary datasets; consent/contact extensions remain a production dependency.</w:t>
            </w:r>
          </w:p>
        </w:tc>
      </w:tr>
      <w:tr>
        <w:trPr>
          <w:cantSplit/>
        </w:trPr>
        <w:tc>
          <w:tcPr>
            <w:tcW w:type="dxa" w:w="2300"/>
            <w:vAlign w:val="center"/>
            <w:tcMar>
              <w:top w:w="80" w:type="dxa"/>
              <w:start w:w="120" w:type="dxa"/>
              <w:bottom w:w="80" w:type="dxa"/>
              <w:end w:w="120" w:type="dxa"/>
            </w:tcMar>
          </w:tcPr>
          <w:p>
            <w:pPr>
              <w:spacing w:before="0" w:after="0" w:line="240" w:lineRule="auto"/>
            </w:pPr>
            <w:r/>
            <w:r>
              <w:rPr>
                <w:rFonts w:ascii="Calibri" w:hAnsi="Calibri"/>
                <w:b w:val="0"/>
                <w:color w:val="0B2545"/>
                <w:sz w:val="16"/>
              </w:rPr>
              <w:t>Churn prediction</w:t>
            </w:r>
          </w:p>
        </w:tc>
        <w:tc>
          <w:tcPr>
            <w:tcW w:type="dxa" w:w="4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customer_id, event history, observation/prediction windows, churn label proxy.</w:t>
            </w:r>
          </w:p>
        </w:tc>
        <w:tc>
          <w:tcPr>
            <w:tcW w:type="dxa" w:w="2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Define churn policy and build dated customer history.</w:t>
            </w:r>
          </w:p>
        </w:tc>
      </w:tr>
      <w:tr>
        <w:trPr>
          <w:cantSplit/>
        </w:trPr>
        <w:tc>
          <w:tcPr>
            <w:tcW w:type="dxa" w:w="2300"/>
            <w:vAlign w:val="center"/>
            <w:tcMar>
              <w:top w:w="80" w:type="dxa"/>
              <w:start w:w="120" w:type="dxa"/>
              <w:bottom w:w="80" w:type="dxa"/>
              <w:end w:w="120" w:type="dxa"/>
            </w:tcMar>
          </w:tcPr>
          <w:p>
            <w:pPr>
              <w:spacing w:before="0" w:after="0" w:line="240" w:lineRule="auto"/>
            </w:pPr>
            <w:r/>
            <w:r>
              <w:rPr>
                <w:rFonts w:ascii="Calibri" w:hAnsi="Calibri"/>
                <w:b w:val="0"/>
                <w:color w:val="0B2545"/>
                <w:sz w:val="16"/>
              </w:rPr>
              <w:t>Collaborative recommendations</w:t>
            </w:r>
          </w:p>
        </w:tc>
        <w:tc>
          <w:tcPr>
            <w:tcW w:type="dxa" w:w="4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customer_id or session_id, basket/order_id, line items, impression/click/conversion events.</w:t>
            </w:r>
          </w:p>
        </w:tc>
        <w:tc>
          <w:tcPr>
            <w:tcW w:type="dxa" w:w="2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Provide interaction and basket data; association rules may use order lines.</w:t>
            </w:r>
          </w:p>
        </w:tc>
      </w:tr>
      <w:tr>
        <w:trPr>
          <w:cantSplit/>
        </w:trPr>
        <w:tc>
          <w:tcPr>
            <w:tcW w:type="dxa" w:w="230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Invoice/payment management</w:t>
            </w:r>
          </w:p>
        </w:tc>
        <w:tc>
          <w:tcPr>
            <w:tcW w:type="dxa" w:w="4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invoice_id, line items, tax, due date, payment/refund ledger.</w:t>
            </w:r>
          </w:p>
        </w:tc>
        <w:tc>
          <w:tcPr>
            <w:tcW w:type="dxa" w:w="2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Create operational tables and migration/import templates.</w:t>
            </w:r>
          </w:p>
        </w:tc>
      </w:tr>
      <w:tr>
        <w:trPr>
          <w:cantSplit/>
        </w:trPr>
        <w:tc>
          <w:tcPr>
            <w:tcW w:type="dxa" w:w="230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Profitability/gross margin</w:t>
            </w:r>
          </w:p>
        </w:tc>
        <w:tc>
          <w:tcPr>
            <w:tcW w:type="dxa" w:w="4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unit selling price, unit cost/COGS, tax/refund semantics.</w:t>
            </w:r>
          </w:p>
        </w:tc>
        <w:tc>
          <w:tcPr>
            <w:tcW w:type="dxa" w:w="2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Add governed product/transaction financial fields.</w:t>
            </w:r>
          </w:p>
        </w:tc>
      </w:tr>
      <w:tr>
        <w:trPr>
          <w:cantSplit/>
        </w:trPr>
        <w:tc>
          <w:tcPr>
            <w:tcW w:type="dxa" w:w="2300"/>
            <w:vAlign w:val="center"/>
            <w:tcMar>
              <w:top w:w="80" w:type="dxa"/>
              <w:start w:w="120" w:type="dxa"/>
              <w:bottom w:w="80" w:type="dxa"/>
              <w:end w:w="120" w:type="dxa"/>
            </w:tcMar>
          </w:tcPr>
          <w:p>
            <w:pPr>
              <w:spacing w:before="0" w:after="0" w:line="240" w:lineRule="auto"/>
            </w:pPr>
            <w:r/>
            <w:r>
              <w:rPr>
                <w:rFonts w:ascii="Calibri" w:hAnsi="Calibri"/>
                <w:b w:val="0"/>
                <w:color w:val="0B2545"/>
                <w:sz w:val="16"/>
              </w:rPr>
              <w:t>True inventory tracking</w:t>
            </w:r>
          </w:p>
        </w:tc>
        <w:tc>
          <w:tcPr>
            <w:tcW w:type="dxa" w:w="4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on-hand quantity, movement ledger, receipts/transfers/adjustments, supplier lead time.</w:t>
            </w:r>
          </w:p>
        </w:tc>
        <w:tc>
          <w:tcPr>
            <w:tcW w:type="dxa" w:w="2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Create inventory balance/movement domain.</w:t>
            </w:r>
          </w:p>
        </w:tc>
      </w:tr>
      <w:tr>
        <w:trPr>
          <w:cantSplit/>
        </w:trPr>
        <w:tc>
          <w:tcPr>
            <w:tcW w:type="dxa" w:w="2300"/>
            <w:vAlign w:val="center"/>
            <w:tcMar>
              <w:top w:w="80" w:type="dxa"/>
              <w:start w:w="120" w:type="dxa"/>
              <w:bottom w:w="80" w:type="dxa"/>
              <w:end w:w="120" w:type="dxa"/>
            </w:tcMar>
          </w:tcPr>
          <w:p>
            <w:pPr>
              <w:spacing w:before="0" w:after="0" w:line="240" w:lineRule="auto"/>
            </w:pPr>
            <w:r/>
            <w:r>
              <w:rPr>
                <w:rFonts w:ascii="Calibri" w:hAnsi="Calibri"/>
                <w:b w:val="0"/>
                <w:color w:val="0B2545"/>
                <w:sz w:val="16"/>
              </w:rPr>
              <w:t>User/RBAC/audit</w:t>
            </w:r>
          </w:p>
        </w:tc>
        <w:tc>
          <w:tcPr>
            <w:tcW w:type="dxa" w:w="4200"/>
            <w:vAlign w:val="center"/>
            <w:tcMar>
              <w:top w:w="80" w:type="dxa"/>
              <w:start w:w="120" w:type="dxa"/>
              <w:bottom w:w="80" w:type="dxa"/>
              <w:end w:w="120" w:type="dxa"/>
            </w:tcMar>
          </w:tcPr>
          <w:p>
            <w:pPr>
              <w:spacing w:before="0" w:after="0" w:line="240" w:lineRule="auto"/>
            </w:pPr>
            <w:r/>
            <w:r>
              <w:rPr>
                <w:rFonts w:ascii="Calibri" w:hAnsi="Calibri"/>
                <w:b w:val="0"/>
                <w:color w:val="0B2545"/>
                <w:sz w:val="16"/>
              </w:rPr>
              <w:t>users, roles, assignments, sessions, audit events.</w:t>
            </w:r>
          </w:p>
        </w:tc>
        <w:tc>
          <w:tcPr>
            <w:tcW w:type="dxa" w:w="2860"/>
            <w:vAlign w:val="center"/>
            <w:tcMar>
              <w:top w:w="80" w:type="dxa"/>
              <w:start w:w="120" w:type="dxa"/>
              <w:bottom w:w="80" w:type="dxa"/>
              <w:end w:w="120" w:type="dxa"/>
            </w:tcMar>
          </w:tcPr>
          <w:p>
            <w:r/>
            <w:r>
              <w:rPr>
                <w:rFonts w:ascii="Aptos" w:hAnsi="Aptos"/>
                <w:b w:val="0"/>
                <w:sz w:val="18"/>
              </w:rPr>
              <w:t>Implemented for Milestone 1 using tenant, user, role, permission, session, token and audit tables.</w:t>
            </w:r>
          </w:p>
        </w:tc>
      </w:tr>
    </w:tbl>
    <w:p>
      <w:pPr>
        <w:spacing w:after="20"/>
      </w:pPr>
    </w:p>
    <w:p>
      <w:pPr>
        <w:pStyle w:val="Heading2"/>
        <w:keepNext/>
        <w:keepLines/>
      </w:pPr>
      <w:r>
        <w:t>7.3 Logical Data Model</w:t>
      </w:r>
    </w:p>
    <w:tbl>
      <w:tblPr>
        <w:tblStyle w:val="TableGrid"/>
        <w:tblW w:type="dxa" w:w="9360"/>
        <w:jc w:val="left"/>
        <w:tblLayout w:type="fixed"/>
        <w:tblLook w:firstColumn="1" w:firstRow="1" w:lastColumn="0" w:lastRow="0" w:noHBand="0" w:noVBand="1" w:val="04A0"/>
        <w:tblInd w:w="120" w:type="dxa"/>
      </w:tblPr>
      <w:tblGrid>
        <w:gridCol w:w="2750"/>
        <w:gridCol w:w="2450"/>
        <w:gridCol w:w="4160"/>
      </w:tblGrid>
      <w:tr>
        <w:trPr>
          <w:tblHeader w:val="true"/>
        </w:trPr>
        <w:tc>
          <w:tcPr>
            <w:tcW w:type="dxa" w:w="275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Entity</w:t>
            </w:r>
          </w:p>
        </w:tc>
        <w:tc>
          <w:tcPr>
            <w:tcW w:type="dxa" w:w="245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Primary identifier</w:t>
            </w:r>
          </w:p>
        </w:tc>
        <w:tc>
          <w:tcPr>
            <w:tcW w:type="dxa" w:w="41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Purpose</w:t>
            </w:r>
          </w:p>
        </w:tc>
      </w:tr>
      <w:tr>
        <w:tc>
          <w:tcPr>
            <w:tcW w:type="dxa" w:w="27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tenant</w:t>
            </w:r>
          </w:p>
        </w:tc>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tenant_id</w:t>
            </w:r>
          </w:p>
        </w:tc>
        <w:tc>
          <w:tcPr>
            <w:tcW w:type="dxa" w:w="4160"/>
            <w:vAlign w:val="center"/>
            <w:tcMar>
              <w:top w:w="80" w:type="dxa"/>
              <w:start w:w="120" w:type="dxa"/>
              <w:bottom w:w="80" w:type="dxa"/>
              <w:end w:w="120" w:type="dxa"/>
            </w:tcMar>
          </w:tcPr>
          <w:p>
            <w:pPr>
              <w:spacing w:before="0" w:after="0" w:line="240" w:lineRule="auto"/>
            </w:pPr>
            <w:r/>
            <w:r>
              <w:rPr>
                <w:rFonts w:ascii="Calibri" w:hAnsi="Calibri"/>
                <w:b w:val="0"/>
                <w:color w:val="0B2545"/>
                <w:sz w:val="16"/>
              </w:rPr>
              <w:t>Owns all business records; isolation boundary.</w:t>
            </w:r>
          </w:p>
        </w:tc>
      </w:tr>
      <w:tr>
        <w:tc>
          <w:tcPr>
            <w:tcW w:type="dxa" w:w="2750"/>
            <w:vAlign w:val="center"/>
            <w:tcMar>
              <w:top w:w="80" w:type="dxa"/>
              <w:start w:w="120" w:type="dxa"/>
              <w:bottom w:w="80" w:type="dxa"/>
              <w:end w:w="120" w:type="dxa"/>
            </w:tcMar>
          </w:tcPr>
          <w:p>
            <w:pPr>
              <w:spacing w:before="0" w:after="0" w:line="240" w:lineRule="auto"/>
            </w:pPr>
            <w:r/>
            <w:r>
              <w:rPr>
                <w:rFonts w:ascii="Calibri" w:hAnsi="Calibri"/>
                <w:b w:val="0"/>
                <w:color w:val="0B2545"/>
                <w:sz w:val="16"/>
              </w:rPr>
              <w:t>user / role / permission</w:t>
            </w:r>
          </w:p>
        </w:tc>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user_id / role_id</w:t>
            </w:r>
          </w:p>
        </w:tc>
        <w:tc>
          <w:tcPr>
            <w:tcW w:type="dxa" w:w="4160"/>
            <w:vAlign w:val="center"/>
            <w:tcMar>
              <w:top w:w="80" w:type="dxa"/>
              <w:start w:w="120" w:type="dxa"/>
              <w:bottom w:w="80" w:type="dxa"/>
              <w:end w:w="120" w:type="dxa"/>
            </w:tcMar>
          </w:tcPr>
          <w:p>
            <w:pPr>
              <w:spacing w:before="0" w:after="0" w:line="240" w:lineRule="auto"/>
            </w:pPr>
            <w:r/>
            <w:r>
              <w:rPr>
                <w:rFonts w:ascii="Calibri" w:hAnsi="Calibri"/>
                <w:b w:val="0"/>
                <w:color w:val="0B2545"/>
                <w:sz w:val="16"/>
              </w:rPr>
              <w:t>Identity, RBAC, tenant/store scope.</w:t>
            </w:r>
          </w:p>
        </w:tc>
      </w:tr>
      <w:tr>
        <w:tc>
          <w:tcPr>
            <w:tcW w:type="dxa" w:w="2750"/>
            <w:vAlign w:val="center"/>
            <w:tcMar>
              <w:top w:w="80" w:type="dxa"/>
              <w:start w:w="120" w:type="dxa"/>
              <w:bottom w:w="80" w:type="dxa"/>
              <w:end w:w="120" w:type="dxa"/>
            </w:tcMar>
          </w:tcPr>
          <w:p>
            <w:pPr>
              <w:spacing w:before="0" w:after="0" w:line="240" w:lineRule="auto"/>
            </w:pPr>
            <w:r/>
            <w:r>
              <w:rPr>
                <w:rFonts w:ascii="Calibri" w:hAnsi="Calibri"/>
                <w:b w:val="0"/>
                <w:color w:val="0B2545"/>
                <w:sz w:val="16"/>
              </w:rPr>
              <w:t>store / warehouse</w:t>
            </w:r>
          </w:p>
        </w:tc>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store_id / warehouse_id</w:t>
            </w:r>
          </w:p>
        </w:tc>
        <w:tc>
          <w:tcPr>
            <w:tcW w:type="dxa" w:w="4160"/>
            <w:vAlign w:val="center"/>
            <w:tcMar>
              <w:top w:w="80" w:type="dxa"/>
              <w:start w:w="120" w:type="dxa"/>
              <w:bottom w:w="80" w:type="dxa"/>
              <w:end w:w="120" w:type="dxa"/>
            </w:tcMar>
          </w:tcPr>
          <w:p>
            <w:pPr>
              <w:spacing w:before="0" w:after="0" w:line="240" w:lineRule="auto"/>
            </w:pPr>
            <w:r/>
            <w:r>
              <w:rPr>
                <w:rFonts w:ascii="Calibri" w:hAnsi="Calibri"/>
                <w:b w:val="0"/>
                <w:color w:val="0B2545"/>
                <w:sz w:val="16"/>
              </w:rPr>
              <w:t>Business locations, time zone, currency.</w:t>
            </w:r>
          </w:p>
        </w:tc>
      </w:tr>
      <w:tr>
        <w:tc>
          <w:tcPr>
            <w:tcW w:type="dxa" w:w="275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product / category</w:t>
            </w:r>
          </w:p>
        </w:tc>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product_id / category_id</w:t>
            </w:r>
          </w:p>
        </w:tc>
        <w:tc>
          <w:tcPr>
            <w:tcW w:type="dxa" w:w="4160"/>
            <w:vAlign w:val="center"/>
            <w:tcMar>
              <w:top w:w="80" w:type="dxa"/>
              <w:start w:w="120" w:type="dxa"/>
              <w:bottom w:w="80" w:type="dxa"/>
              <w:end w:w="120" w:type="dxa"/>
            </w:tcMar>
          </w:tcPr>
          <w:p>
            <w:pPr>
              <w:spacing w:before="0" w:after="0" w:line="240" w:lineRule="auto"/>
            </w:pPr>
            <w:r/>
            <w:r>
              <w:rPr>
                <w:rFonts w:ascii="Calibri" w:hAnsi="Calibri"/>
                <w:b w:val="0"/>
                <w:color w:val="0B2545"/>
                <w:sz w:val="16"/>
              </w:rPr>
              <w:t>SKU, hierarchy, price/cost/tax/policy.</w:t>
            </w:r>
          </w:p>
        </w:tc>
      </w:tr>
      <w:tr>
        <w:tc>
          <w:tcPr>
            <w:tcW w:type="dxa" w:w="2750"/>
            <w:vAlign w:val="center"/>
            <w:tcMar>
              <w:top w:w="80" w:type="dxa"/>
              <w:start w:w="120" w:type="dxa"/>
              <w:bottom w:w="80" w:type="dxa"/>
              <w:end w:w="120" w:type="dxa"/>
            </w:tcMar>
          </w:tcPr>
          <w:p>
            <w:pPr>
              <w:spacing w:before="0" w:after="0" w:line="240" w:lineRule="auto"/>
            </w:pPr>
            <w:r/>
            <w:r>
              <w:rPr>
                <w:rFonts w:ascii="Calibri" w:hAnsi="Calibri"/>
                <w:b w:val="0"/>
                <w:color w:val="0B2545"/>
                <w:sz w:val="16"/>
              </w:rPr>
              <w:t>customer</w:t>
            </w:r>
          </w:p>
        </w:tc>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customer_id</w:t>
            </w:r>
          </w:p>
        </w:tc>
        <w:tc>
          <w:tcPr>
            <w:tcW w:type="dxa" w:w="416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Profile, consent, assignment, lifecycle.</w:t>
            </w:r>
          </w:p>
        </w:tc>
      </w:tr>
      <w:tr>
        <w:tc>
          <w:tcPr>
            <w:tcW w:type="dxa" w:w="2750"/>
            <w:vAlign w:val="center"/>
            <w:tcMar>
              <w:top w:w="80" w:type="dxa"/>
              <w:start w:w="120" w:type="dxa"/>
              <w:bottom w:w="80" w:type="dxa"/>
              <w:end w:w="120" w:type="dxa"/>
            </w:tcMar>
          </w:tcPr>
          <w:p>
            <w:pPr>
              <w:spacing w:before="0" w:after="0" w:line="240" w:lineRule="auto"/>
            </w:pPr>
            <w:r/>
            <w:r>
              <w:rPr>
                <w:rFonts w:ascii="Calibri" w:hAnsi="Calibri"/>
                <w:b w:val="0"/>
                <w:color w:val="0B2545"/>
                <w:sz w:val="16"/>
              </w:rPr>
              <w:t>sales_transaction / sales_line</w:t>
            </w:r>
          </w:p>
        </w:tc>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transaction_id / line_id</w:t>
            </w:r>
          </w:p>
        </w:tc>
        <w:tc>
          <w:tcPr>
            <w:tcW w:type="dxa" w:w="4160"/>
            <w:vAlign w:val="center"/>
            <w:tcMar>
              <w:top w:w="80" w:type="dxa"/>
              <w:start w:w="120" w:type="dxa"/>
              <w:bottom w:w="80" w:type="dxa"/>
              <w:end w:w="120" w:type="dxa"/>
            </w:tcMar>
          </w:tcPr>
          <w:p>
            <w:pPr>
              <w:spacing w:before="0" w:after="0" w:line="240" w:lineRule="auto"/>
            </w:pPr>
            <w:r/>
            <w:r>
              <w:rPr>
                <w:rFonts w:ascii="Calibri" w:hAnsi="Calibri"/>
                <w:b w:val="0"/>
                <w:color w:val="0B2545"/>
                <w:sz w:val="16"/>
              </w:rPr>
              <w:t>Immutable sale/return/refund facts.</w:t>
            </w:r>
          </w:p>
        </w:tc>
      </w:tr>
      <w:tr>
        <w:tc>
          <w:tcPr>
            <w:tcW w:type="dxa" w:w="275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inventory_balance / movement</w:t>
            </w:r>
          </w:p>
        </w:tc>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balance_id / movement_id</w:t>
            </w:r>
          </w:p>
        </w:tc>
        <w:tc>
          <w:tcPr>
            <w:tcW w:type="dxa" w:w="4160"/>
            <w:vAlign w:val="center"/>
            <w:tcMar>
              <w:top w:w="80" w:type="dxa"/>
              <w:start w:w="120" w:type="dxa"/>
              <w:bottom w:w="80" w:type="dxa"/>
              <w:end w:w="120" w:type="dxa"/>
            </w:tcMar>
          </w:tcPr>
          <w:p>
            <w:pPr>
              <w:spacing w:before="0" w:after="0" w:line="240" w:lineRule="auto"/>
            </w:pPr>
            <w:r/>
            <w:r>
              <w:rPr>
                <w:rFonts w:ascii="Calibri" w:hAnsi="Calibri"/>
                <w:b w:val="0"/>
                <w:color w:val="0B2545"/>
                <w:sz w:val="16"/>
              </w:rPr>
              <w:t>Current state plus append-only movement ledger.</w:t>
            </w:r>
          </w:p>
        </w:tc>
      </w:tr>
      <w:tr>
        <w:tc>
          <w:tcPr>
            <w:tcW w:type="dxa" w:w="275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invoice / payment</w:t>
            </w:r>
          </w:p>
        </w:tc>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invoice_id / payment_id</w:t>
            </w:r>
          </w:p>
        </w:tc>
        <w:tc>
          <w:tcPr>
            <w:tcW w:type="dxa" w:w="4160"/>
            <w:vAlign w:val="center"/>
            <w:tcMar>
              <w:top w:w="80" w:type="dxa"/>
              <w:start w:w="120" w:type="dxa"/>
              <w:bottom w:w="80" w:type="dxa"/>
              <w:end w:w="120" w:type="dxa"/>
            </w:tcMar>
          </w:tcPr>
          <w:p>
            <w:pPr>
              <w:spacing w:before="0" w:after="0" w:line="240" w:lineRule="auto"/>
            </w:pPr>
            <w:r/>
            <w:r>
              <w:rPr>
                <w:rFonts w:ascii="Calibri" w:hAnsi="Calibri"/>
                <w:b w:val="0"/>
                <w:color w:val="0B2545"/>
                <w:sz w:val="16"/>
              </w:rPr>
              <w:t>Billing and settlement lifecycle.</w:t>
            </w:r>
          </w:p>
        </w:tc>
      </w:tr>
      <w:tr>
        <w:tc>
          <w:tcPr>
            <w:tcW w:type="dxa" w:w="2750"/>
            <w:vAlign w:val="center"/>
            <w:tcMar>
              <w:top w:w="80" w:type="dxa"/>
              <w:start w:w="120" w:type="dxa"/>
              <w:bottom w:w="80" w:type="dxa"/>
              <w:end w:w="120" w:type="dxa"/>
            </w:tcMar>
          </w:tcPr>
          <w:p>
            <w:pPr>
              <w:spacing w:before="0" w:after="0" w:line="240" w:lineRule="auto"/>
            </w:pPr>
            <w:r/>
            <w:r>
              <w:rPr>
                <w:rFonts w:ascii="Calibri" w:hAnsi="Calibri"/>
                <w:b w:val="0"/>
                <w:color w:val="0B2545"/>
                <w:sz w:val="16"/>
              </w:rPr>
              <w:t>dataset_batch / data_error</w:t>
            </w:r>
          </w:p>
        </w:tc>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batch_id / error_id</w:t>
            </w:r>
          </w:p>
        </w:tc>
        <w:tc>
          <w:tcPr>
            <w:tcW w:type="dxa" w:w="4160"/>
            <w:vAlign w:val="center"/>
            <w:tcMar>
              <w:top w:w="80" w:type="dxa"/>
              <w:start w:w="120" w:type="dxa"/>
              <w:bottom w:w="80" w:type="dxa"/>
              <w:end w:w="120" w:type="dxa"/>
            </w:tcMar>
          </w:tcPr>
          <w:p>
            <w:pPr>
              <w:spacing w:before="0" w:after="0" w:line="240" w:lineRule="auto"/>
            </w:pPr>
            <w:r/>
            <w:r>
              <w:rPr>
                <w:rFonts w:ascii="Calibri" w:hAnsi="Calibri"/>
                <w:b w:val="0"/>
                <w:color w:val="0B2545"/>
                <w:sz w:val="16"/>
              </w:rPr>
              <w:t>Raw lineage, mappings, validation, status.</w:t>
            </w:r>
          </w:p>
        </w:tc>
      </w:tr>
      <w:tr>
        <w:tc>
          <w:tcPr>
            <w:tcW w:type="dxa" w:w="2750"/>
            <w:vAlign w:val="center"/>
            <w:tcMar>
              <w:top w:w="80" w:type="dxa"/>
              <w:start w:w="120" w:type="dxa"/>
              <w:bottom w:w="80" w:type="dxa"/>
              <w:end w:w="120" w:type="dxa"/>
            </w:tcMar>
          </w:tcPr>
          <w:p>
            <w:pPr>
              <w:spacing w:before="0" w:after="0" w:line="240" w:lineRule="auto"/>
            </w:pPr>
            <w:r/>
            <w:r>
              <w:rPr>
                <w:rFonts w:ascii="Calibri" w:hAnsi="Calibri"/>
                <w:b w:val="0"/>
                <w:color w:val="0B2545"/>
                <w:sz w:val="16"/>
              </w:rPr>
              <w:t>feature_snapshot</w:t>
            </w:r>
          </w:p>
        </w:tc>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snapshot_id</w:t>
            </w:r>
          </w:p>
        </w:tc>
        <w:tc>
          <w:tcPr>
            <w:tcW w:type="dxa" w:w="4160"/>
            <w:vAlign w:val="center"/>
            <w:tcMar>
              <w:top w:w="80" w:type="dxa"/>
              <w:start w:w="120" w:type="dxa"/>
              <w:bottom w:w="80" w:type="dxa"/>
              <w:end w:w="120" w:type="dxa"/>
            </w:tcMar>
          </w:tcPr>
          <w:p>
            <w:pPr>
              <w:spacing w:before="0" w:after="0" w:line="240" w:lineRule="auto"/>
            </w:pPr>
            <w:r/>
            <w:r>
              <w:rPr>
                <w:rFonts w:ascii="Calibri" w:hAnsi="Calibri"/>
                <w:b w:val="0"/>
                <w:color w:val="0B2545"/>
                <w:sz w:val="16"/>
              </w:rPr>
              <w:t>Point-in-time model features and lineage.</w:t>
            </w:r>
          </w:p>
        </w:tc>
      </w:tr>
      <w:tr>
        <w:tc>
          <w:tcPr>
            <w:tcW w:type="dxa" w:w="2750"/>
            <w:vAlign w:val="center"/>
            <w:tcMar>
              <w:top w:w="80" w:type="dxa"/>
              <w:start w:w="120" w:type="dxa"/>
              <w:bottom w:w="80" w:type="dxa"/>
              <w:end w:w="120" w:type="dxa"/>
            </w:tcMar>
          </w:tcPr>
          <w:p>
            <w:pPr>
              <w:spacing w:before="0" w:after="0" w:line="240" w:lineRule="auto"/>
            </w:pPr>
            <w:r/>
            <w:r>
              <w:rPr>
                <w:rFonts w:ascii="Calibri" w:hAnsi="Calibri"/>
                <w:b w:val="0"/>
                <w:color w:val="0B2545"/>
                <w:sz w:val="16"/>
              </w:rPr>
              <w:t>model / model_version</w:t>
            </w:r>
          </w:p>
        </w:tc>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model_id / model_version_id</w:t>
            </w:r>
          </w:p>
        </w:tc>
        <w:tc>
          <w:tcPr>
            <w:tcW w:type="dxa" w:w="416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Registry, metrics, artifacts, approvals.</w:t>
            </w:r>
          </w:p>
        </w:tc>
      </w:tr>
      <w:tr>
        <w:tc>
          <w:tcPr>
            <w:tcW w:type="dxa" w:w="275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prediction</w:t>
            </w:r>
          </w:p>
        </w:tc>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prediction_id</w:t>
            </w:r>
          </w:p>
        </w:tc>
        <w:tc>
          <w:tcPr>
            <w:tcW w:type="dxa" w:w="4160"/>
            <w:vAlign w:val="center"/>
            <w:tcMar>
              <w:top w:w="80" w:type="dxa"/>
              <w:start w:w="120" w:type="dxa"/>
              <w:bottom w:w="80" w:type="dxa"/>
              <w:end w:w="120" w:type="dxa"/>
            </w:tcMar>
          </w:tcPr>
          <w:p>
            <w:pPr>
              <w:spacing w:before="0" w:after="0" w:line="240" w:lineRule="auto"/>
            </w:pPr>
            <w:r/>
            <w:r>
              <w:rPr>
                <w:rFonts w:ascii="Calibri" w:hAnsi="Calibri"/>
                <w:b w:val="0"/>
                <w:color w:val="0B2545"/>
                <w:sz w:val="16"/>
              </w:rPr>
              <w:t>Forecast/segment/churn/recommendation/anomaly output.</w:t>
            </w:r>
          </w:p>
        </w:tc>
      </w:tr>
      <w:tr>
        <w:tc>
          <w:tcPr>
            <w:tcW w:type="dxa" w:w="27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alert / alert_action</w:t>
            </w:r>
          </w:p>
        </w:tc>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alert_id / action_id</w:t>
            </w:r>
          </w:p>
        </w:tc>
        <w:tc>
          <w:tcPr>
            <w:tcW w:type="dxa" w:w="4160"/>
            <w:vAlign w:val="center"/>
            <w:tcMar>
              <w:top w:w="80" w:type="dxa"/>
              <w:start w:w="120" w:type="dxa"/>
              <w:bottom w:w="80" w:type="dxa"/>
              <w:end w:w="120" w:type="dxa"/>
            </w:tcMar>
          </w:tcPr>
          <w:p>
            <w:pPr>
              <w:spacing w:before="0" w:after="0" w:line="240" w:lineRule="auto"/>
            </w:pPr>
            <w:r/>
            <w:r>
              <w:rPr>
                <w:rFonts w:ascii="Calibri" w:hAnsi="Calibri"/>
                <w:b w:val="0"/>
                <w:color w:val="0B2545"/>
                <w:sz w:val="16"/>
              </w:rPr>
              <w:t>Operational anomaly/stock alert lifecycle.</w:t>
            </w:r>
          </w:p>
        </w:tc>
      </w:tr>
      <w:tr>
        <w:tc>
          <w:tcPr>
            <w:tcW w:type="dxa" w:w="275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report_job</w:t>
            </w:r>
          </w:p>
        </w:tc>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report_job_id</w:t>
            </w:r>
          </w:p>
        </w:tc>
        <w:tc>
          <w:tcPr>
            <w:tcW w:type="dxa" w:w="4160"/>
            <w:vAlign w:val="center"/>
            <w:tcMar>
              <w:top w:w="80" w:type="dxa"/>
              <w:start w:w="120" w:type="dxa"/>
              <w:bottom w:w="80" w:type="dxa"/>
              <w:end w:w="120" w:type="dxa"/>
            </w:tcMar>
          </w:tcPr>
          <w:p>
            <w:pPr>
              <w:spacing w:before="0" w:after="0" w:line="240" w:lineRule="auto"/>
            </w:pPr>
            <w:r/>
            <w:r>
              <w:rPr>
                <w:rFonts w:ascii="Calibri" w:hAnsi="Calibri"/>
                <w:b w:val="0"/>
                <w:color w:val="0B2545"/>
                <w:sz w:val="16"/>
              </w:rPr>
              <w:t>Asynchronous export artifact and authorization.</w:t>
            </w:r>
          </w:p>
        </w:tc>
      </w:tr>
      <w:tr>
        <w:tc>
          <w:tcPr>
            <w:tcW w:type="dxa" w:w="27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audit_event</w:t>
            </w:r>
          </w:p>
        </w:tc>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audit_event_id</w:t>
            </w:r>
          </w:p>
        </w:tc>
        <w:tc>
          <w:tcPr>
            <w:tcW w:type="dxa" w:w="4160"/>
            <w:vAlign w:val="center"/>
            <w:tcMar>
              <w:top w:w="80" w:type="dxa"/>
              <w:start w:w="120" w:type="dxa"/>
              <w:bottom w:w="80" w:type="dxa"/>
              <w:end w:w="120" w:type="dxa"/>
            </w:tcMar>
          </w:tcPr>
          <w:p>
            <w:pPr>
              <w:spacing w:before="0" w:after="0" w:line="240" w:lineRule="auto"/>
            </w:pPr>
            <w:r/>
            <w:r>
              <w:rPr>
                <w:rFonts w:ascii="Calibri" w:hAnsi="Calibri"/>
                <w:b w:val="0"/>
                <w:color w:val="0B2545"/>
                <w:sz w:val="16"/>
              </w:rPr>
              <w:t>Immutable actor/action/entity/change/security record.</w:t>
            </w:r>
          </w:p>
        </w:tc>
      </w:tr>
    </w:tbl>
    <w:p>
      <w:pPr>
        <w:spacing w:after="20"/>
      </w:pPr>
    </w:p>
    <w:p>
      <w:pPr>
        <w:pStyle w:val="Heading2"/>
        <w:keepNext/>
        <w:keepLines/>
      </w:pPr>
      <w:r>
        <w:t>7.4 Data Integrity, Retention, and Lineage Requirements</w:t>
      </w:r>
    </w:p>
    <w:tbl>
      <w:tblPr>
        <w:tblStyle w:val="TableGrid"/>
        <w:tblW w:type="dxa" w:w="9360"/>
        <w:jc w:val="left"/>
        <w:tblLayout w:type="fixed"/>
        <w:tblLook w:firstColumn="1" w:firstRow="1" w:lastColumn="0" w:lastRow="0" w:noHBand="0" w:noVBand="1" w:val="04A0"/>
        <w:tblInd w:w="120" w:type="dxa"/>
      </w:tblPr>
      <w:tblGrid>
        <w:gridCol w:w="1300"/>
        <w:gridCol w:w="8060"/>
      </w:tblGrid>
      <w:tr>
        <w:trPr>
          <w:tblHeader w:val="true"/>
        </w:trPr>
        <w:tc>
          <w:tcPr>
            <w:tcW w:type="dxa" w:w="13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ID</w:t>
            </w:r>
          </w:p>
        </w:tc>
        <w:tc>
          <w:tcPr>
            <w:tcW w:type="dxa" w:w="80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Data requirement</w:t>
            </w:r>
          </w:p>
        </w:tc>
      </w:tr>
      <w:tr>
        <w:tc>
          <w:tcPr>
            <w:tcW w:type="dxa" w:w="1300"/>
            <w:vAlign w:val="center"/>
            <w:tcMar>
              <w:top w:w="80" w:type="dxa"/>
              <w:start w:w="120" w:type="dxa"/>
              <w:bottom w:w="80" w:type="dxa"/>
              <w:end w:w="120" w:type="dxa"/>
            </w:tcMar>
          </w:tcPr>
          <w:p>
            <w:pPr>
              <w:spacing w:before="0" w:after="0" w:line="240" w:lineRule="auto"/>
            </w:pPr>
            <w:r/>
            <w:r>
              <w:rPr>
                <w:rFonts w:ascii="Calibri" w:hAnsi="Calibri"/>
                <w:b w:val="0"/>
                <w:color w:val="0B2545"/>
                <w:sz w:val="17"/>
              </w:rPr>
              <w:t>DR-001</w:t>
            </w:r>
          </w:p>
        </w:tc>
        <w:tc>
          <w:tcPr>
            <w:tcW w:type="dxa" w:w="8060"/>
            <w:vAlign w:val="center"/>
            <w:tcMar>
              <w:top w:w="80" w:type="dxa"/>
              <w:start w:w="120" w:type="dxa"/>
              <w:bottom w:w="80" w:type="dxa"/>
              <w:end w:w="120" w:type="dxa"/>
            </w:tcMar>
          </w:tcPr>
          <w:p>
            <w:pPr>
              <w:spacing w:before="0" w:after="0" w:line="240" w:lineRule="auto"/>
            </w:pPr>
            <w:r/>
            <w:r>
              <w:rPr>
                <w:rFonts w:ascii="Calibri" w:hAnsi="Calibri"/>
                <w:b w:val="0"/>
                <w:color w:val="0B2545"/>
                <w:sz w:val="17"/>
              </w:rPr>
              <w:t>Every business table shall include tenant_id, stable primary key, created/updated timestamps, and source lineage where applicable.</w:t>
            </w:r>
          </w:p>
        </w:tc>
      </w:tr>
      <w:tr>
        <w:tc>
          <w:tcPr>
            <w:tcW w:type="dxa" w:w="1300"/>
            <w:vAlign w:val="center"/>
            <w:tcMar>
              <w:top w:w="80" w:type="dxa"/>
              <w:start w:w="120" w:type="dxa"/>
              <w:bottom w:w="80" w:type="dxa"/>
              <w:end w:w="120" w:type="dxa"/>
            </w:tcMar>
          </w:tcPr>
          <w:p>
            <w:pPr>
              <w:spacing w:before="0" w:after="0" w:line="240" w:lineRule="auto"/>
            </w:pPr>
            <w:r/>
            <w:r>
              <w:rPr>
                <w:rFonts w:ascii="Calibri" w:hAnsi="Calibri"/>
                <w:b w:val="0"/>
                <w:color w:val="0B2545"/>
                <w:sz w:val="17"/>
              </w:rPr>
              <w:t>DR-002</w:t>
            </w:r>
          </w:p>
        </w:tc>
        <w:tc>
          <w:tcPr>
            <w:tcW w:type="dxa" w:w="8060"/>
            <w:vAlign w:val="center"/>
            <w:tcMar>
              <w:top w:w="80" w:type="dxa"/>
              <w:start w:w="120" w:type="dxa"/>
              <w:bottom w:w="80" w:type="dxa"/>
              <w:end w:w="120" w:type="dxa"/>
            </w:tcMar>
          </w:tcPr>
          <w:p>
            <w:pPr>
              <w:spacing w:before="0" w:after="0" w:line="240" w:lineRule="auto"/>
            </w:pPr>
            <w:r/>
            <w:r>
              <w:rPr>
                <w:rFonts w:ascii="Calibri" w:hAnsi="Calibri"/>
                <w:b w:val="0"/>
                <w:color w:val="0B2545"/>
                <w:sz w:val="17"/>
              </w:rPr>
              <w:t>Foreign keys, unique keys, check constraints, and transactional boundaries shall enforce domain integrity.</w:t>
            </w:r>
          </w:p>
        </w:tc>
      </w:tr>
      <w:tr>
        <w:tc>
          <w:tcPr>
            <w:tcW w:type="dxa" w:w="1300"/>
            <w:vAlign w:val="center"/>
            <w:tcMar>
              <w:top w:w="80" w:type="dxa"/>
              <w:start w:w="120" w:type="dxa"/>
              <w:bottom w:w="80" w:type="dxa"/>
              <w:end w:w="120" w:type="dxa"/>
            </w:tcMar>
          </w:tcPr>
          <w:p>
            <w:pPr>
              <w:spacing w:before="0" w:after="0" w:line="240" w:lineRule="auto"/>
            </w:pPr>
            <w:r/>
            <w:r>
              <w:rPr>
                <w:rFonts w:ascii="Calibri" w:hAnsi="Calibri"/>
                <w:b w:val="0"/>
                <w:color w:val="0B2545"/>
                <w:sz w:val="17"/>
              </w:rPr>
              <w:t>DR-003</w:t>
            </w:r>
          </w:p>
        </w:tc>
        <w:tc>
          <w:tcPr>
            <w:tcW w:type="dxa" w:w="8060"/>
            <w:vAlign w:val="center"/>
            <w:tcMar>
              <w:top w:w="80" w:type="dxa"/>
              <w:start w:w="120" w:type="dxa"/>
              <w:bottom w:w="80" w:type="dxa"/>
              <w:end w:w="120" w:type="dxa"/>
            </w:tcMar>
          </w:tcPr>
          <w:p>
            <w:pPr>
              <w:spacing w:before="0" w:after="0" w:line="240" w:lineRule="auto"/>
            </w:pPr>
            <w:r/>
            <w:r>
              <w:rPr>
                <w:rFonts w:ascii="Calibri" w:hAnsi="Calibri"/>
                <w:b w:val="0"/>
                <w:color w:val="0B2545"/>
                <w:sz w:val="17"/>
              </w:rPr>
              <w:t>Financial and inventory facts shall be immutable or corrected through versioned/reversing entries.</w:t>
            </w:r>
          </w:p>
        </w:tc>
      </w:tr>
      <w:tr>
        <w:tc>
          <w:tcPr>
            <w:tcW w:type="dxa" w:w="1300"/>
            <w:vAlign w:val="center"/>
            <w:tcMar>
              <w:top w:w="80" w:type="dxa"/>
              <w:start w:w="120" w:type="dxa"/>
              <w:bottom w:w="80" w:type="dxa"/>
              <w:end w:w="120" w:type="dxa"/>
            </w:tcMar>
          </w:tcPr>
          <w:p>
            <w:pPr>
              <w:spacing w:before="0" w:after="0" w:line="240" w:lineRule="auto"/>
            </w:pPr>
            <w:r/>
            <w:r>
              <w:rPr>
                <w:rFonts w:ascii="Calibri" w:hAnsi="Calibri"/>
                <w:b w:val="0"/>
                <w:color w:val="0B2545"/>
                <w:sz w:val="17"/>
              </w:rPr>
              <w:t>DR-004</w:t>
            </w:r>
          </w:p>
        </w:tc>
        <w:tc>
          <w:tcPr>
            <w:tcW w:type="dxa" w:w="8060"/>
            <w:vAlign w:val="center"/>
            <w:tcMar>
              <w:top w:w="80" w:type="dxa"/>
              <w:start w:w="120" w:type="dxa"/>
              <w:bottom w:w="80" w:type="dxa"/>
              <w:end w:w="120" w:type="dxa"/>
            </w:tcMar>
          </w:tcPr>
          <w:p>
            <w:pPr>
              <w:spacing w:before="0" w:after="0" w:line="240" w:lineRule="auto"/>
            </w:pPr>
            <w:r/>
            <w:r>
              <w:rPr>
                <w:rFonts w:ascii="Calibri" w:hAnsi="Calibri"/>
                <w:b w:val="0"/>
                <w:color w:val="0B2545"/>
                <w:sz w:val="17"/>
              </w:rPr>
              <w:t>Raw files, processed batches, features, models, and predictions shall be traceable through checksums and version identifiers.</w:t>
            </w:r>
          </w:p>
        </w:tc>
      </w:tr>
      <w:tr>
        <w:tc>
          <w:tcPr>
            <w:tcW w:type="dxa" w:w="1300"/>
            <w:vAlign w:val="center"/>
            <w:tcMar>
              <w:top w:w="80" w:type="dxa"/>
              <w:start w:w="120" w:type="dxa"/>
              <w:bottom w:w="80" w:type="dxa"/>
              <w:end w:w="120" w:type="dxa"/>
            </w:tcMar>
          </w:tcPr>
          <w:p>
            <w:pPr>
              <w:spacing w:before="0" w:after="0" w:line="240" w:lineRule="auto"/>
            </w:pPr>
            <w:r/>
            <w:r>
              <w:rPr>
                <w:rFonts w:ascii="Calibri" w:hAnsi="Calibri"/>
                <w:b w:val="0"/>
                <w:color w:val="0B2545"/>
                <w:sz w:val="17"/>
              </w:rPr>
              <w:t>DR-005</w:t>
            </w:r>
          </w:p>
        </w:tc>
        <w:tc>
          <w:tcPr>
            <w:tcW w:type="dxa" w:w="8060"/>
            <w:vAlign w:val="center"/>
            <w:tcMar>
              <w:top w:w="80" w:type="dxa"/>
              <w:start w:w="120" w:type="dxa"/>
              <w:bottom w:w="80" w:type="dxa"/>
              <w:end w:w="120" w:type="dxa"/>
            </w:tcMar>
          </w:tcPr>
          <w:p>
            <w:pPr>
              <w:spacing w:before="0" w:after="0" w:line="240" w:lineRule="auto"/>
            </w:pPr>
            <w:r/>
            <w:r>
              <w:rPr>
                <w:rFonts w:ascii="Calibri" w:hAnsi="Calibri"/>
                <w:b w:val="0"/>
                <w:color w:val="0B2545"/>
                <w:sz w:val="17"/>
              </w:rPr>
              <w:t>Data retention and deletion rules shall be configurable by data class and jurisdiction, with legal-hold support where required.</w:t>
            </w:r>
          </w:p>
        </w:tc>
      </w:tr>
      <w:tr>
        <w:tc>
          <w:tcPr>
            <w:tcW w:type="dxa" w:w="1300"/>
            <w:vAlign w:val="center"/>
            <w:tcMar>
              <w:top w:w="80" w:type="dxa"/>
              <w:start w:w="120" w:type="dxa"/>
              <w:bottom w:w="80" w:type="dxa"/>
              <w:end w:w="120" w:type="dxa"/>
            </w:tcMar>
          </w:tcPr>
          <w:p>
            <w:pPr>
              <w:spacing w:before="0" w:after="0" w:line="240" w:lineRule="auto"/>
            </w:pPr>
            <w:r/>
            <w:r>
              <w:rPr>
                <w:rFonts w:ascii="Calibri" w:hAnsi="Calibri"/>
                <w:b w:val="0"/>
                <w:color w:val="0B2545"/>
                <w:sz w:val="17"/>
              </w:rPr>
              <w:t>DR-006</w:t>
            </w:r>
          </w:p>
        </w:tc>
        <w:tc>
          <w:tcPr>
            <w:tcW w:type="dxa" w:w="8060"/>
            <w:vAlign w:val="center"/>
            <w:tcMar>
              <w:top w:w="80" w:type="dxa"/>
              <w:start w:w="120" w:type="dxa"/>
              <w:bottom w:w="80" w:type="dxa"/>
              <w:end w:w="120" w:type="dxa"/>
            </w:tcMar>
          </w:tcPr>
          <w:p>
            <w:pPr>
              <w:spacing w:before="0" w:after="0" w:line="240" w:lineRule="auto"/>
            </w:pPr>
            <w:r/>
            <w:r>
              <w:rPr>
                <w:rFonts w:ascii="Calibri" w:hAnsi="Calibri"/>
                <w:b w:val="0"/>
                <w:color w:val="0B2545"/>
                <w:sz w:val="17"/>
              </w:rPr>
              <w:t>PII shall be minimized, classified, encrypted, access logged, and excluded from model features unless explicitly approved.</w:t>
            </w:r>
          </w:p>
        </w:tc>
      </w:tr>
      <w:tr>
        <w:tc>
          <w:tcPr>
            <w:tcW w:type="dxa" w:w="1300"/>
            <w:vAlign w:val="center"/>
            <w:tcMar>
              <w:top w:w="80" w:type="dxa"/>
              <w:start w:w="120" w:type="dxa"/>
              <w:bottom w:w="80" w:type="dxa"/>
              <w:end w:w="120" w:type="dxa"/>
            </w:tcMar>
          </w:tcPr>
          <w:p>
            <w:pPr>
              <w:spacing w:before="0" w:after="0" w:line="240" w:lineRule="auto"/>
            </w:pPr>
            <w:r/>
            <w:r>
              <w:rPr>
                <w:rFonts w:ascii="Calibri" w:hAnsi="Calibri"/>
                <w:b w:val="0"/>
                <w:color w:val="0B2545"/>
                <w:sz w:val="17"/>
              </w:rPr>
              <w:t>DR-007</w:t>
            </w:r>
          </w:p>
        </w:tc>
        <w:tc>
          <w:tcPr>
            <w:tcW w:type="dxa" w:w="8060"/>
            <w:vAlign w:val="center"/>
            <w:tcMar>
              <w:top w:w="80" w:type="dxa"/>
              <w:start w:w="120" w:type="dxa"/>
              <w:bottom w:w="80" w:type="dxa"/>
              <w:end w:w="120" w:type="dxa"/>
            </w:tcMar>
          </w:tcPr>
          <w:p>
            <w:pPr>
              <w:spacing w:before="0" w:after="0" w:line="240" w:lineRule="auto"/>
            </w:pPr>
            <w:r/>
            <w:r>
              <w:rPr>
                <w:rFonts w:ascii="Calibri" w:hAnsi="Calibri"/>
                <w:b w:val="0"/>
                <w:color w:val="0B2545"/>
                <w:sz w:val="17"/>
              </w:rPr>
              <w:t>Production data used outside production shall be masked, anonymized, or synthetically generated.</w:t>
            </w:r>
          </w:p>
        </w:tc>
      </w:tr>
      <w:tr>
        <w:tc>
          <w:tcPr>
            <w:tcW w:type="dxa" w:w="1300"/>
            <w:vAlign w:val="center"/>
            <w:tcMar>
              <w:top w:w="80" w:type="dxa"/>
              <w:start w:w="120" w:type="dxa"/>
              <w:bottom w:w="80" w:type="dxa"/>
              <w:end w:w="120" w:type="dxa"/>
            </w:tcMar>
          </w:tcPr>
          <w:p>
            <w:pPr>
              <w:spacing w:before="0" w:after="0" w:line="240" w:lineRule="auto"/>
            </w:pPr>
            <w:r/>
            <w:r>
              <w:rPr>
                <w:rFonts w:ascii="Calibri" w:hAnsi="Calibri"/>
                <w:b w:val="0"/>
                <w:color w:val="0B2545"/>
                <w:sz w:val="17"/>
              </w:rPr>
              <w:t>DR-008</w:t>
            </w:r>
          </w:p>
        </w:tc>
        <w:tc>
          <w:tcPr>
            <w:tcW w:type="dxa" w:w="8060"/>
            <w:vAlign w:val="center"/>
            <w:tcMar>
              <w:top w:w="80" w:type="dxa"/>
              <w:start w:w="120" w:type="dxa"/>
              <w:bottom w:w="80" w:type="dxa"/>
              <w:end w:w="120" w:type="dxa"/>
            </w:tcMar>
          </w:tcPr>
          <w:p>
            <w:pPr>
              <w:spacing w:before="0" w:after="0" w:line="240" w:lineRule="auto"/>
            </w:pPr>
            <w:r/>
            <w:r>
              <w:rPr>
                <w:rFonts w:ascii="Calibri" w:hAnsi="Calibri"/>
                <w:b w:val="0"/>
                <w:color w:val="0B2545"/>
                <w:sz w:val="17"/>
              </w:rPr>
              <w:t>All date/time fields shall specify time zone semantics; UTC is the storage default.</w:t>
            </w:r>
          </w:p>
        </w:tc>
      </w:tr>
      <w:tr>
        <w:tc>
          <w:tcPr>
            <w:tcW w:type="dxa" w:w="1300"/>
            <w:vAlign w:val="center"/>
            <w:tcMar>
              <w:top w:w="80" w:type="dxa"/>
              <w:start w:w="120" w:type="dxa"/>
              <w:bottom w:w="80" w:type="dxa"/>
              <w:end w:w="120" w:type="dxa"/>
            </w:tcMar>
          </w:tcPr>
          <w:p>
            <w:pPr>
              <w:spacing w:before="0" w:after="0" w:line="240" w:lineRule="auto"/>
            </w:pPr>
            <w:r/>
            <w:r>
              <w:rPr>
                <w:rFonts w:ascii="Calibri" w:hAnsi="Calibri"/>
                <w:b w:val="0"/>
                <w:color w:val="0B2545"/>
                <w:sz w:val="17"/>
              </w:rPr>
              <w:t>DR-009</w:t>
            </w:r>
          </w:p>
        </w:tc>
        <w:tc>
          <w:tcPr>
            <w:tcW w:type="dxa" w:w="8060"/>
            <w:vAlign w:val="center"/>
            <w:tcMar>
              <w:top w:w="80" w:type="dxa"/>
              <w:start w:w="120" w:type="dxa"/>
              <w:bottom w:w="80" w:type="dxa"/>
              <w:end w:w="120" w:type="dxa"/>
            </w:tcMar>
          </w:tcPr>
          <w:p>
            <w:pPr>
              <w:spacing w:before="0" w:after="0" w:line="240" w:lineRule="auto"/>
            </w:pPr>
            <w:r/>
            <w:r>
              <w:rPr>
                <w:rFonts w:ascii="Calibri" w:hAnsi="Calibri"/>
                <w:b w:val="0"/>
                <w:color w:val="0B2545"/>
                <w:sz w:val="17"/>
              </w:rPr>
              <w:t>Currency values shall use decimal types and explicit ISO currency; binary floating point shall not be used for financial ledgers.</w:t>
            </w:r>
          </w:p>
        </w:tc>
      </w:tr>
      <w:tr>
        <w:tc>
          <w:tcPr>
            <w:tcW w:type="dxa" w:w="1300"/>
            <w:vAlign w:val="center"/>
            <w:tcMar>
              <w:top w:w="80" w:type="dxa"/>
              <w:start w:w="120" w:type="dxa"/>
              <w:bottom w:w="80" w:type="dxa"/>
              <w:end w:w="120" w:type="dxa"/>
            </w:tcMar>
          </w:tcPr>
          <w:p>
            <w:pPr>
              <w:spacing w:before="0" w:after="0" w:line="240" w:lineRule="auto"/>
            </w:pPr>
            <w:r/>
            <w:r>
              <w:rPr>
                <w:rFonts w:ascii="Calibri" w:hAnsi="Calibri"/>
                <w:b w:val="0"/>
                <w:color w:val="0B2545"/>
                <w:sz w:val="17"/>
              </w:rPr>
              <w:t>DR-010</w:t>
            </w:r>
          </w:p>
        </w:tc>
        <w:tc>
          <w:tcPr>
            <w:tcW w:type="dxa" w:w="8060"/>
            <w:vAlign w:val="center"/>
            <w:tcMar>
              <w:top w:w="80" w:type="dxa"/>
              <w:start w:w="120" w:type="dxa"/>
              <w:bottom w:w="80" w:type="dxa"/>
              <w:end w:w="120" w:type="dxa"/>
            </w:tcMar>
          </w:tcPr>
          <w:p>
            <w:pPr>
              <w:spacing w:before="0" w:after="0" w:line="240" w:lineRule="auto"/>
            </w:pPr>
            <w:r/>
            <w:r>
              <w:rPr>
                <w:rFonts w:ascii="Calibri" w:hAnsi="Calibri"/>
                <w:b w:val="0"/>
                <w:color w:val="0B2545"/>
                <w:sz w:val="17"/>
              </w:rPr>
              <w:t>A governed metric catalog and data dictionary shall version definitions, owners, source fields, transformations, and tests.</w:t>
            </w:r>
          </w:p>
        </w:tc>
      </w:tr>
    </w:tbl>
    <w:p>
      <w:pPr>
        <w:spacing w:after="20"/>
      </w:pPr>
    </w:p>
    <w:p>
      <w:pPr>
        <w:pStyle w:val="Heading1"/>
        <w:keepNext/>
        <w:keepLines/>
      </w:pPr>
      <w:r>
        <w:t>8. AI/ML Lifecycle Requirements</w:t>
      </w:r>
    </w:p>
    <w:p>
      <w:pPr>
        <w:pStyle w:val="Heading2"/>
        <w:keepNext/>
        <w:keepLines/>
      </w:pPr>
      <w:r>
        <w:t>8.1 Common Model Lifecycle</w:t>
      </w:r>
    </w:p>
    <w:tbl>
      <w:tblPr>
        <w:tblStyle w:val="TableGrid"/>
        <w:tblW w:type="dxa" w:w="9360"/>
        <w:jc w:val="left"/>
        <w:tblLayout w:type="fixed"/>
        <w:tblLook w:firstColumn="1" w:firstRow="1" w:lastColumn="0" w:lastRow="0" w:noHBand="0" w:noVBand="1" w:val="04A0"/>
        <w:tblInd w:w="120" w:type="dxa"/>
      </w:tblPr>
      <w:tblGrid>
        <w:gridCol w:w="1350"/>
        <w:gridCol w:w="8010"/>
      </w:tblGrid>
      <w:tr>
        <w:trPr>
          <w:tblHeader w:val="true"/>
        </w:trPr>
        <w:tc>
          <w:tcPr>
            <w:tcW w:type="dxa" w:w="135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ID</w:t>
            </w:r>
          </w:p>
        </w:tc>
        <w:tc>
          <w:tcPr>
            <w:tcW w:type="dxa" w:w="801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AI/ML lifecycle requirement</w:t>
            </w:r>
          </w:p>
        </w:tc>
      </w:tr>
      <w:tr>
        <w:tc>
          <w:tcPr>
            <w:tcW w:type="dxa" w:w="1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MLR-001</w:t>
            </w:r>
          </w:p>
        </w:tc>
        <w:tc>
          <w:tcPr>
            <w:tcW w:type="dxa" w:w="8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Each model use case shall have an approved business purpose, eligible population, target/output definition, owner, and prohibited uses.</w:t>
            </w:r>
          </w:p>
        </w:tc>
      </w:tr>
      <w:tr>
        <w:tc>
          <w:tcPr>
            <w:tcW w:type="dxa" w:w="1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MLR-002</w:t>
            </w:r>
          </w:p>
        </w:tc>
        <w:tc>
          <w:tcPr>
            <w:tcW w:type="dxa" w:w="8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Training data shall be versioned and reproducible from source batches and point-in-time correct feature code.</w:t>
            </w:r>
          </w:p>
        </w:tc>
      </w:tr>
      <w:tr>
        <w:tc>
          <w:tcPr>
            <w:tcW w:type="dxa" w:w="1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MLR-003</w:t>
            </w:r>
          </w:p>
        </w:tc>
        <w:tc>
          <w:tcPr>
            <w:tcW w:type="dxa" w:w="8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Experiments shall record code version, data reference, features, parameters, random seed, environment, metrics, and artifacts.</w:t>
            </w:r>
          </w:p>
        </w:tc>
      </w:tr>
      <w:tr>
        <w:tc>
          <w:tcPr>
            <w:tcW w:type="dxa" w:w="1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MLR-004</w:t>
            </w:r>
          </w:p>
        </w:tc>
        <w:tc>
          <w:tcPr>
            <w:tcW w:type="dxa" w:w="8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Evaluation shall compare a simple baseline, candidate models, approved slices, and business impact measures.</w:t>
            </w:r>
          </w:p>
        </w:tc>
      </w:tr>
      <w:tr>
        <w:tc>
          <w:tcPr>
            <w:tcW w:type="dxa" w:w="1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MLR-005</w:t>
            </w:r>
          </w:p>
        </w:tc>
        <w:tc>
          <w:tcPr>
            <w:tcW w:type="dxa" w:w="8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Models shall not be promoted when mandatory data-quality, leakage, security, fairness, or performance gates fail.</w:t>
            </w:r>
          </w:p>
        </w:tc>
      </w:tr>
      <w:tr>
        <w:tc>
          <w:tcPr>
            <w:tcW w:type="dxa" w:w="1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MLR-006</w:t>
            </w:r>
          </w:p>
        </w:tc>
        <w:tc>
          <w:tcPr>
            <w:tcW w:type="dxa" w:w="8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registry shall support candidate, validated, approved, production, shadow, retired, and rejected states.</w:t>
            </w:r>
          </w:p>
        </w:tc>
      </w:tr>
      <w:tr>
        <w:tc>
          <w:tcPr>
            <w:tcW w:type="dxa" w:w="1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MLR-007</w:t>
            </w:r>
          </w:p>
        </w:tc>
        <w:tc>
          <w:tcPr>
            <w:tcW w:type="dxa" w:w="8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Inference inputs shall be schema-validated; missing/incompatible features shall produce a safe failure or approved fallback.</w:t>
            </w:r>
          </w:p>
        </w:tc>
      </w:tr>
      <w:tr>
        <w:tc>
          <w:tcPr>
            <w:tcW w:type="dxa" w:w="1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MLR-008</w:t>
            </w:r>
          </w:p>
        </w:tc>
        <w:tc>
          <w:tcPr>
            <w:tcW w:type="dxa" w:w="8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Predictions shall include model/version, feature snapshot/reference, score time, entity scope, and explanation metadata.</w:t>
            </w:r>
          </w:p>
        </w:tc>
      </w:tr>
      <w:tr>
        <w:tc>
          <w:tcPr>
            <w:tcW w:type="dxa" w:w="1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MLR-009</w:t>
            </w:r>
          </w:p>
        </w:tc>
        <w:tc>
          <w:tcPr>
            <w:tcW w:type="dxa" w:w="8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Production monitoring shall cover input quality, drift, latency, errors, output distribution, business outcomes, and matured accuracy.</w:t>
            </w:r>
          </w:p>
        </w:tc>
      </w:tr>
      <w:tr>
        <w:tc>
          <w:tcPr>
            <w:tcW w:type="dxa" w:w="1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MLR-010</w:t>
            </w:r>
          </w:p>
        </w:tc>
        <w:tc>
          <w:tcPr>
            <w:tcW w:type="dxa" w:w="8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Alerts shall trigger when approved thresholds are breached, and response shall include investigation, rollback, and retraining procedures.</w:t>
            </w:r>
          </w:p>
        </w:tc>
      </w:tr>
      <w:tr>
        <w:tc>
          <w:tcPr>
            <w:tcW w:type="dxa" w:w="1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MLR-011</w:t>
            </w:r>
          </w:p>
        </w:tc>
        <w:tc>
          <w:tcPr>
            <w:tcW w:type="dxa" w:w="8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retain the prior production model and support tested rollback.</w:t>
            </w:r>
          </w:p>
        </w:tc>
      </w:tr>
      <w:tr>
        <w:tc>
          <w:tcPr>
            <w:tcW w:type="dxa" w:w="1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MLR-012</w:t>
            </w:r>
          </w:p>
        </w:tc>
        <w:tc>
          <w:tcPr>
            <w:tcW w:type="dxa" w:w="8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Retraining may be scheduled or drift-triggered but production promotion shall remain controlled and auditable.</w:t>
            </w:r>
          </w:p>
        </w:tc>
      </w:tr>
      <w:tr>
        <w:tc>
          <w:tcPr>
            <w:tcW w:type="dxa" w:w="1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MLR-013</w:t>
            </w:r>
          </w:p>
        </w:tc>
        <w:tc>
          <w:tcPr>
            <w:tcW w:type="dxa" w:w="8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Explanations shall be appropriate to the algorithm and must not expose another tenant's data or sensitive attributes.</w:t>
            </w:r>
          </w:p>
        </w:tc>
      </w:tr>
      <w:tr>
        <w:tc>
          <w:tcPr>
            <w:tcW w:type="dxa" w:w="1350"/>
            <w:vAlign w:val="center"/>
            <w:tcMar>
              <w:top w:w="80" w:type="dxa"/>
              <w:start w:w="120" w:type="dxa"/>
              <w:bottom w:w="80" w:type="dxa"/>
              <w:end w:w="120" w:type="dxa"/>
            </w:tcMar>
          </w:tcPr>
          <w:p>
            <w:pPr>
              <w:spacing w:before="0" w:after="0" w:line="240" w:lineRule="auto"/>
            </w:pPr>
            <w:r/>
            <w:r>
              <w:rPr>
                <w:rFonts w:ascii="Calibri" w:hAnsi="Calibri"/>
                <w:b w:val="0"/>
                <w:color w:val="0B2545"/>
                <w:sz w:val="16"/>
              </w:rPr>
              <w:t>MLR-014</w:t>
            </w:r>
          </w:p>
        </w:tc>
        <w:tc>
          <w:tcPr>
            <w:tcW w:type="dxa" w:w="8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Model artifacts shall be checksum-verified and loaded only from trusted storage.</w:t>
            </w:r>
          </w:p>
        </w:tc>
      </w:tr>
    </w:tbl>
    <w:p>
      <w:pPr>
        <w:spacing w:after="20"/>
      </w:pPr>
    </w:p>
    <w:p>
      <w:pPr>
        <w:pStyle w:val="Heading2"/>
        <w:keepNext/>
        <w:keepLines/>
      </w:pPr>
      <w:r>
        <w:t>8.2 Quantitative Acceptance Framework</w:t>
      </w:r>
    </w:p>
    <w:tbl>
      <w:tblPr>
        <w:tblStyle w:val="TableGrid"/>
        <w:tblW w:type="dxa" w:w="9360"/>
        <w:jc w:val="left"/>
        <w:tblLayout w:type="fixed"/>
        <w:tblLook w:firstColumn="1" w:firstRow="1" w:lastColumn="0" w:lastRow="0" w:noHBand="0" w:noVBand="1" w:val="04A0"/>
        <w:tblInd w:w="120" w:type="dxa"/>
      </w:tblPr>
      <w:tblGrid>
        <w:gridCol w:w="1700"/>
        <w:gridCol w:w="3880"/>
        <w:gridCol w:w="3780"/>
      </w:tblGrid>
      <w:tr>
        <w:trPr>
          <w:tblHeader w:val="true"/>
        </w:trPr>
        <w:tc>
          <w:tcPr>
            <w:tcW w:type="dxa" w:w="17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Use case</w:t>
            </w:r>
          </w:p>
        </w:tc>
        <w:tc>
          <w:tcPr>
            <w:tcW w:type="dxa" w:w="388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Mandatory metrics</w:t>
            </w:r>
          </w:p>
        </w:tc>
        <w:tc>
          <w:tcPr>
            <w:tcW w:type="dxa" w:w="378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Release gate</w:t>
            </w:r>
          </w:p>
        </w:tc>
      </w:tr>
      <w:tr>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Forecasting</w:t>
            </w:r>
          </w:p>
        </w:tc>
        <w:tc>
          <w:tcPr>
            <w:tcW w:type="dxa" w:w="3880"/>
            <w:vAlign w:val="center"/>
            <w:tcMar>
              <w:top w:w="80" w:type="dxa"/>
              <w:start w:w="120" w:type="dxa"/>
              <w:bottom w:w="80" w:type="dxa"/>
              <w:end w:w="120" w:type="dxa"/>
            </w:tcMar>
          </w:tcPr>
          <w:p>
            <w:pPr>
              <w:spacing w:before="0" w:after="0" w:line="240" w:lineRule="auto"/>
            </w:pPr>
            <w:r/>
            <w:r>
              <w:rPr>
                <w:rFonts w:ascii="Calibri" w:hAnsi="Calibri"/>
                <w:b w:val="0"/>
                <w:color w:val="0B2545"/>
                <w:sz w:val="16"/>
              </w:rPr>
              <w:t>MAE, RMSE, bias, R2 where meaningful; error by store/category/horizon.</w:t>
            </w:r>
          </w:p>
        </w:tc>
        <w:tc>
          <w:tcPr>
            <w:tcW w:type="dxa" w:w="3780"/>
            <w:vAlign w:val="center"/>
            <w:tcMar>
              <w:top w:w="80" w:type="dxa"/>
              <w:start w:w="120" w:type="dxa"/>
              <w:bottom w:w="80" w:type="dxa"/>
              <w:end w:w="120" w:type="dxa"/>
            </w:tcMar>
          </w:tcPr>
          <w:p>
            <w:r/>
            <w:r>
              <w:rPr>
                <w:rFonts w:ascii="Aptos" w:hAnsi="Aptos"/>
                <w:b w:val="0"/>
                <w:sz w:val="18"/>
              </w:rPr>
              <w:t>Beat the last-value baseline by at least 2% on later unseen dates; no critical scope regression.</w:t>
            </w:r>
          </w:p>
        </w:tc>
      </w:tr>
      <w:tr>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6"/>
              </w:rPr>
              <w:t>Segmentation</w:t>
            </w:r>
          </w:p>
        </w:tc>
        <w:tc>
          <w:tcPr>
            <w:tcW w:type="dxa" w:w="3880"/>
            <w:vAlign w:val="center"/>
            <w:tcMar>
              <w:top w:w="80" w:type="dxa"/>
              <w:start w:w="120" w:type="dxa"/>
              <w:bottom w:w="80" w:type="dxa"/>
              <w:end w:w="120" w:type="dxa"/>
            </w:tcMar>
          </w:tcPr>
          <w:p>
            <w:pPr>
              <w:spacing w:before="0" w:after="0" w:line="240" w:lineRule="auto"/>
            </w:pPr>
            <w:r/>
            <w:r>
              <w:rPr>
                <w:rFonts w:ascii="Calibri" w:hAnsi="Calibri"/>
                <w:b w:val="0"/>
                <w:color w:val="0B2545"/>
                <w:sz w:val="16"/>
              </w:rPr>
              <w:t>Silhouette score, cluster size/stability, business interpretability.</w:t>
            </w:r>
          </w:p>
        </w:tc>
        <w:tc>
          <w:tcPr>
            <w:tcW w:type="dxa" w:w="3780"/>
            <w:vAlign w:val="center"/>
            <w:tcMar>
              <w:top w:w="80" w:type="dxa"/>
              <w:start w:w="120" w:type="dxa"/>
              <w:bottom w:w="80" w:type="dxa"/>
              <w:end w:w="120" w:type="dxa"/>
            </w:tcMar>
          </w:tcPr>
          <w:p>
            <w:pPr>
              <w:spacing w:before="0" w:after="0" w:line="240" w:lineRule="auto"/>
            </w:pPr>
            <w:r/>
            <w:r>
              <w:rPr>
                <w:rFonts w:ascii="Calibri" w:hAnsi="Calibri"/>
                <w:b w:val="0"/>
                <w:color w:val="0B2545"/>
                <w:sz w:val="16"/>
              </w:rPr>
              <w:t>Stable, non-degenerate segments approved by business owner.</w:t>
            </w:r>
          </w:p>
        </w:tc>
      </w:tr>
      <w:tr>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6"/>
              </w:rPr>
              <w:t>Churn</w:t>
            </w:r>
          </w:p>
        </w:tc>
        <w:tc>
          <w:tcPr>
            <w:tcW w:type="dxa" w:w="388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Precision, recall, F1, PR-AUC/ROC-AUC, calibration, slice disparity.</w:t>
            </w:r>
          </w:p>
        </w:tc>
        <w:tc>
          <w:tcPr>
            <w:tcW w:type="dxa" w:w="3780"/>
            <w:vAlign w:val="center"/>
            <w:tcMar>
              <w:top w:w="80" w:type="dxa"/>
              <w:start w:w="120" w:type="dxa"/>
              <w:bottom w:w="80" w:type="dxa"/>
              <w:end w:w="120" w:type="dxa"/>
            </w:tcMar>
          </w:tcPr>
          <w:p>
            <w:pPr>
              <w:spacing w:before="0" w:after="0" w:line="240" w:lineRule="auto"/>
            </w:pPr>
            <w:r/>
            <w:r>
              <w:rPr>
                <w:rFonts w:ascii="Calibri" w:hAnsi="Calibri"/>
                <w:b w:val="0"/>
                <w:color w:val="0B2545"/>
                <w:sz w:val="16"/>
              </w:rPr>
              <w:t>Beat baseline and satisfy agreed recall/precision and calibration thresholds.</w:t>
            </w:r>
          </w:p>
        </w:tc>
      </w:tr>
      <w:tr>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Recommendations</w:t>
            </w:r>
          </w:p>
        </w:tc>
        <w:tc>
          <w:tcPr>
            <w:tcW w:type="dxa" w:w="388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Precision@K, Recall@K, coverage, diversity, online conversion/lift.</w:t>
            </w:r>
          </w:p>
        </w:tc>
        <w:tc>
          <w:tcPr>
            <w:tcW w:type="dxa" w:w="3780"/>
            <w:vAlign w:val="center"/>
            <w:tcMar>
              <w:top w:w="80" w:type="dxa"/>
              <w:start w:w="120" w:type="dxa"/>
              <w:bottom w:w="80" w:type="dxa"/>
              <w:end w:w="120" w:type="dxa"/>
            </w:tcMar>
          </w:tcPr>
          <w:p>
            <w:pPr>
              <w:spacing w:before="0" w:after="0" w:line="240" w:lineRule="auto"/>
            </w:pPr>
            <w:r/>
            <w:r>
              <w:rPr>
                <w:rFonts w:ascii="Calibri" w:hAnsi="Calibri"/>
                <w:b w:val="0"/>
                <w:color w:val="0B2545"/>
                <w:sz w:val="16"/>
              </w:rPr>
              <w:t>Beat popularity baseline and pass eligibility/safety controls.</w:t>
            </w:r>
          </w:p>
        </w:tc>
      </w:tr>
      <w:tr>
        <w:tc>
          <w:tcPr>
            <w:tcW w:type="dxa" w:w="17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Anomaly detection</w:t>
            </w:r>
          </w:p>
        </w:tc>
        <w:tc>
          <w:tcPr>
            <w:tcW w:type="dxa" w:w="388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Reviewed precision/detection accuracy, recall where labeled, false-positive rate.</w:t>
            </w:r>
          </w:p>
        </w:tc>
        <w:tc>
          <w:tcPr>
            <w:tcW w:type="dxa" w:w="3780"/>
            <w:vAlign w:val="center"/>
            <w:tcMar>
              <w:top w:w="80" w:type="dxa"/>
              <w:start w:w="120" w:type="dxa"/>
              <w:bottom w:w="80" w:type="dxa"/>
              <w:end w:w="120" w:type="dxa"/>
            </w:tcMar>
          </w:tcPr>
          <w:p>
            <w:pPr>
              <w:spacing w:before="0" w:after="0" w:line="240" w:lineRule="auto"/>
            </w:pPr>
            <w:r/>
            <w:r>
              <w:rPr>
                <w:rFonts w:ascii="Calibri" w:hAnsi="Calibri"/>
                <w:b w:val="0"/>
                <w:color w:val="0B2545"/>
                <w:sz w:val="16"/>
              </w:rPr>
              <w:t>False-positive workload within approved capacity and critical scenarios detected.</w:t>
            </w:r>
          </w:p>
        </w:tc>
      </w:tr>
    </w:tbl>
    <w:p>
      <w:pPr>
        <w:spacing w:after="20"/>
      </w:pPr>
    </w:p>
    <w:p>
      <w:pPr>
        <w:spacing w:before="80" w:after="160" w:line="259" w:lineRule="auto"/>
        <w:ind w:left="173" w:right="173"/>
        <w:shd w:fill="FFF4CE"/>
        <w:pBdr>
          <w:left w:val="single" w:sz="16" w:space="8" w:color="7A5A00"/>
        </w:pBdr>
      </w:pPr>
      <w:r>
        <w:rPr>
          <w:rFonts w:ascii="Calibri" w:hAnsi="Calibri"/>
          <w:b/>
          <w:color w:val="7A5A00"/>
        </w:rPr>
        <w:t xml:space="preserve">Threshold governance: </w:t>
      </w:r>
      <w:r>
        <w:rPr>
          <w:rFonts w:ascii="Calibri" w:hAnsi="Calibri"/>
          <w:color w:val="7A5A00"/>
        </w:rPr>
        <w:t>The source document names metrics but does not provide numeric targets. Numeric release thresholds shall be agreed after baseline experiments on representative business data and recorded in the Model Acceptance Plan. Until then, 'functional' means the pipeline and metric computation work, not that the model is production-ready.</w:t>
      </w:r>
    </w:p>
    <w:p>
      <w:pPr>
        <w:pStyle w:val="Heading1"/>
        <w:keepNext/>
        <w:keepLines/>
      </w:pPr>
      <w:r>
        <w:t>9. Non-Functional Requirements</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ID</w:t>
            </w:r>
          </w:p>
        </w:tc>
        <w:tc>
          <w:tcPr>
            <w:tcW w:type="dxa" w:w="78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Non-functional requirement</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NFR-PER-001</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Dashboard API p95 response time shall be &lt;= 2 seconds for cached/standard queries under agreed load; complex uncached queries &lt;= 5 seconds.</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NFR-PER-002</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Create/update API p95 response time shall be &lt;= 1 second excluding asynchronous work.</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NFR-PER-003</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platform shall ingest the supplied 4.5 million-row training dataset as an asynchronous batch without exhausting service memory; the target completion time shall be agreed after infrastructure sizing.</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NFR-PER-004</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UI initial usable load shall be &lt;= 3 seconds on the agreed broadband profile for normal dashboards.</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NFR-SCL-001</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Stateless API instances and workers shall scale horizontally without violating idempotency or job ownership.</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NFR-SCL-002</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Queries shall use pagination, indexes, partitioning/aggregation, and bounded exports appropriate to data volume.</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NFR-AVL-001</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Production monthly availability target shall be 99.5% excluding approved maintenance, subject to hosting plan approval.</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NFR-REL-001</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Critical jobs shall be retryable, idempotent, and protected from duplicate effects.</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NFR-REL-002</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A failed worker or deployment shall not corrupt committed financial, inventory, or model-registry data.</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NFR-SEC-001</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All external traffic shall use TLS 1.2+; sensitive stored data and backups shall be encrypted.</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NFR-SEC-002</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protect against OWASP web/API risks including injection, broken access control, CSRF where applicable, XSS, SSRF, insecure upload, and mass assignment.</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NFR-SEC-003</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Passwords shall be stored only using an approved adaptive one-way password hash.</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NFR-SEC-004</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Secrets shall be stored in a secret manager/environment and rotated without source changes.</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NFR-SEC-005</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Security headers, restrictive CORS, secure cookies, request limits, and dependency scanning shall be configured.</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NFR-SEC-006</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Privileged actions, authentication events, exports, and sensitive reads shall be audit logged.</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NFR-SEC-007</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Audit logs shall be append-only for application users and protected against alteration/deletion.</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NFR-PRV-001</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platform shall support data-subject access, correction, export, consent withdrawal, and deletion/anonymization where legally required.</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NFR-PRV-002</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Logs, reports, and model explanations shall redact or minimize PII.</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NFR-USA-001</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Critical workflows shall meet WCAG 2.2 AA, including keyboard access, focus visibility, labels, contrast, and chart alternatives.</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NFR-USA-002</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Validation messages shall identify the field/problem and provide a recovery action.</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NFR-USA-003</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All currency, date, number, and time displays shall use tenant/user locale with unambiguous stored semantics.</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NFR-COM-001</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codebase shall use documented modules, typed contracts, linting, automated tests, and peer review.</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NFR-COM-002</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Database and API changes shall use backward-compatible migration/versioning strategies.</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NFR-TST-001</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CI shall run unit, integration, API contract, security, migration, and critical end-to-end tests.</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NFR-TST-002</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Model tests shall cover feature correctness, reproducibility, leakage, metric calculation, serialization, and inference schema.</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NFR-OBS-001</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Services shall emit structured logs, metrics, traces/correlation IDs, health/readiness checks, and actionable alerts.</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NFR-OBS-002</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Logs shall include timestamp, environment, service, severity, correlation ID, and safe actor/tenant references.</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NFR-BCK-001</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Production backups shall be automated, encrypted, retention-controlled, and restoration-tested at least quarterly.</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NFR-BCK-002</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Initial targets are RPO &lt;= 24 hours and RTO &lt;= 8 hours; tighter targets require hosting and cost approval.</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NFR-DEP-001</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The system shall be containerized with reproducible builds, pinned dependencies, health checks, and non-root runtime where supported.</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NFR-DEP-002</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Development, test, staging, and production shall have separate configuration and data boundaries.</w:t>
            </w:r>
          </w:p>
        </w:tc>
      </w:tr>
      <w:tr>
        <w:tc>
          <w:tcPr>
            <w:tcW w:type="dxa" w:w="1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NFR-DEP-003</w:t>
            </w:r>
          </w:p>
        </w:tc>
        <w:tc>
          <w:tcPr>
            <w:tcW w:type="dxa" w:w="7860"/>
            <w:vAlign w:val="center"/>
            <w:tcMar>
              <w:top w:w="80" w:type="dxa"/>
              <w:start w:w="120" w:type="dxa"/>
              <w:bottom w:w="80" w:type="dxa"/>
              <w:end w:w="120" w:type="dxa"/>
            </w:tcMar>
          </w:tcPr>
          <w:p>
            <w:pPr>
              <w:spacing w:before="0" w:after="0" w:line="240" w:lineRule="auto"/>
            </w:pPr>
            <w:r/>
            <w:r>
              <w:rPr>
                <w:rFonts w:ascii="Calibri" w:hAnsi="Calibri"/>
                <w:b w:val="0"/>
                <w:color w:val="0B2545"/>
                <w:sz w:val="16"/>
              </w:rPr>
              <w:t>Deployments shall support automated database migration, smoke test, rollback, and release audit.</w:t>
            </w:r>
          </w:p>
        </w:tc>
      </w:tr>
    </w:tbl>
    <w:p>
      <w:pPr>
        <w:spacing w:after="20"/>
      </w:pPr>
    </w:p>
    <w:p>
      <w:pPr>
        <w:pStyle w:val="Heading1"/>
        <w:keepNext/>
        <w:keepLines/>
      </w:pPr>
      <w:r>
        <w:t>10. Business Rules and KPI Definitions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Rule / KPI</w:t>
            </w:r>
          </w:p>
        </w:tc>
        <w:tc>
          <w:tcPr>
            <w:tcW w:type="dxa" w:w="65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Governed definition</w:t>
            </w:r>
          </w:p>
        </w:tc>
      </w:tr>
      <w:tr>
        <w:tc>
          <w:tcPr>
            <w:tcW w:type="dxa" w:w="2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Net Sales</w:t>
            </w:r>
          </w:p>
        </w:tc>
        <w:tc>
          <w:tcPr>
            <w:tcW w:type="dxa" w:w="6560"/>
            <w:vAlign w:val="center"/>
            <w:tcMar>
              <w:top w:w="80" w:type="dxa"/>
              <w:start w:w="120" w:type="dxa"/>
              <w:bottom w:w="80" w:type="dxa"/>
              <w:end w:w="120" w:type="dxa"/>
            </w:tcMar>
          </w:tcPr>
          <w:p>
            <w:pPr>
              <w:spacing w:before="0" w:after="0" w:line="240" w:lineRule="auto"/>
            </w:pPr>
            <w:r/>
            <w:r>
              <w:rPr>
                <w:rFonts w:ascii="Calibri" w:hAnsi="Calibri"/>
                <w:b w:val="0"/>
                <w:color w:val="0B2545"/>
                <w:sz w:val="16"/>
              </w:rPr>
              <w:t>Gross line amount - discounts - returns/refunds; tax treatment explicitly configured.</w:t>
            </w:r>
          </w:p>
        </w:tc>
      </w:tr>
      <w:tr>
        <w:tc>
          <w:tcPr>
            <w:tcW w:type="dxa" w:w="2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Revenue Growth</w:t>
            </w:r>
          </w:p>
        </w:tc>
        <w:tc>
          <w:tcPr>
            <w:tcW w:type="dxa" w:w="6560"/>
            <w:vAlign w:val="center"/>
            <w:tcMar>
              <w:top w:w="80" w:type="dxa"/>
              <w:start w:w="120" w:type="dxa"/>
              <w:bottom w:w="80" w:type="dxa"/>
              <w:end w:w="120" w:type="dxa"/>
            </w:tcMar>
          </w:tcPr>
          <w:p>
            <w:pPr>
              <w:spacing w:before="0" w:after="0" w:line="240" w:lineRule="auto"/>
            </w:pPr>
            <w:r/>
            <w:r>
              <w:rPr>
                <w:rFonts w:ascii="Calibri" w:hAnsi="Calibri"/>
                <w:b w:val="0"/>
                <w:color w:val="0B2545"/>
                <w:sz w:val="16"/>
              </w:rPr>
              <w:t>(Current net sales - comparison net sales) / comparison net sales; zero denominator handled as N/A.</w:t>
            </w:r>
          </w:p>
        </w:tc>
      </w:tr>
      <w:tr>
        <w:tc>
          <w:tcPr>
            <w:tcW w:type="dxa" w:w="2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Average Order Value</w:t>
            </w:r>
          </w:p>
        </w:tc>
        <w:tc>
          <w:tcPr>
            <w:tcW w:type="dxa" w:w="6560"/>
            <w:vAlign w:val="center"/>
            <w:tcMar>
              <w:top w:w="80" w:type="dxa"/>
              <w:start w:w="120" w:type="dxa"/>
              <w:bottom w:w="80" w:type="dxa"/>
              <w:end w:w="120" w:type="dxa"/>
            </w:tcMar>
          </w:tcPr>
          <w:p>
            <w:pPr>
              <w:spacing w:before="0" w:after="0" w:line="240" w:lineRule="auto"/>
            </w:pPr>
            <w:r/>
            <w:r>
              <w:rPr>
                <w:rFonts w:ascii="Calibri" w:hAnsi="Calibri"/>
                <w:b w:val="0"/>
                <w:color w:val="0B2545"/>
                <w:sz w:val="16"/>
              </w:rPr>
              <w:t>Net sales / completed non-void transaction count.</w:t>
            </w:r>
          </w:p>
        </w:tc>
      </w:tr>
      <w:tr>
        <w:tc>
          <w:tcPr>
            <w:tcW w:type="dxa" w:w="2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Gross Margin</w:t>
            </w:r>
          </w:p>
        </w:tc>
        <w:tc>
          <w:tcPr>
            <w:tcW w:type="dxa" w:w="6560"/>
            <w:vAlign w:val="center"/>
            <w:tcMar>
              <w:top w:w="80" w:type="dxa"/>
              <w:start w:w="120" w:type="dxa"/>
              <w:bottom w:w="80" w:type="dxa"/>
              <w:end w:w="120" w:type="dxa"/>
            </w:tcMar>
          </w:tcPr>
          <w:p>
            <w:pPr>
              <w:spacing w:before="0" w:after="0" w:line="240" w:lineRule="auto"/>
            </w:pPr>
            <w:r/>
            <w:r>
              <w:rPr>
                <w:rFonts w:ascii="Calibri" w:hAnsi="Calibri"/>
                <w:b w:val="0"/>
                <w:color w:val="0B2545"/>
                <w:sz w:val="16"/>
              </w:rPr>
              <w:t>Net sales - cost of goods sold; available only when governed cost exists.</w:t>
            </w:r>
          </w:p>
        </w:tc>
      </w:tr>
      <w:tr>
        <w:tc>
          <w:tcPr>
            <w:tcW w:type="dxa" w:w="2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Stock Available</w:t>
            </w:r>
          </w:p>
        </w:tc>
        <w:tc>
          <w:tcPr>
            <w:tcW w:type="dxa" w:w="6560"/>
            <w:vAlign w:val="center"/>
            <w:tcMar>
              <w:top w:w="80" w:type="dxa"/>
              <w:start w:w="120" w:type="dxa"/>
              <w:bottom w:w="80" w:type="dxa"/>
              <w:end w:w="120" w:type="dxa"/>
            </w:tcMar>
          </w:tcPr>
          <w:p>
            <w:pPr>
              <w:spacing w:before="0" w:after="0" w:line="240" w:lineRule="auto"/>
            </w:pPr>
            <w:r/>
            <w:r>
              <w:rPr>
                <w:rFonts w:ascii="Calibri" w:hAnsi="Calibri"/>
                <w:b w:val="0"/>
                <w:color w:val="0B2545"/>
                <w:sz w:val="16"/>
              </w:rPr>
              <w:t>On-hand - reserved - blocked/damaged quantity.</w:t>
            </w:r>
          </w:p>
        </w:tc>
      </w:tr>
      <w:tr>
        <w:tc>
          <w:tcPr>
            <w:tcW w:type="dxa" w:w="2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Low Stock</w:t>
            </w:r>
          </w:p>
        </w:tc>
        <w:tc>
          <w:tcPr>
            <w:tcW w:type="dxa" w:w="6560"/>
            <w:vAlign w:val="center"/>
            <w:tcMar>
              <w:top w:w="80" w:type="dxa"/>
              <w:start w:w="120" w:type="dxa"/>
              <w:bottom w:w="80" w:type="dxa"/>
              <w:end w:w="120" w:type="dxa"/>
            </w:tcMar>
          </w:tcPr>
          <w:p>
            <w:pPr>
              <w:spacing w:before="0" w:after="0" w:line="240" w:lineRule="auto"/>
            </w:pPr>
            <w:r/>
            <w:r>
              <w:rPr>
                <w:rFonts w:ascii="Calibri" w:hAnsi="Calibri"/>
                <w:b w:val="0"/>
                <w:color w:val="0B2545"/>
                <w:sz w:val="16"/>
              </w:rPr>
              <w:t>Available quantity &lt;= configured reorder point.</w:t>
            </w:r>
          </w:p>
        </w:tc>
      </w:tr>
      <w:tr>
        <w:tc>
          <w:tcPr>
            <w:tcW w:type="dxa" w:w="2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Inventory Turnover</w:t>
            </w:r>
          </w:p>
        </w:tc>
        <w:tc>
          <w:tcPr>
            <w:tcW w:type="dxa" w:w="6560"/>
            <w:vAlign w:val="center"/>
            <w:tcMar>
              <w:top w:w="80" w:type="dxa"/>
              <w:start w:w="120" w:type="dxa"/>
              <w:bottom w:w="80" w:type="dxa"/>
              <w:end w:w="120" w:type="dxa"/>
            </w:tcMar>
          </w:tcPr>
          <w:p>
            <w:pPr>
              <w:spacing w:before="0" w:after="0" w:line="240" w:lineRule="auto"/>
            </w:pPr>
            <w:r/>
            <w:r>
              <w:rPr>
                <w:rFonts w:ascii="Calibri" w:hAnsi="Calibri"/>
                <w:b w:val="0"/>
                <w:color w:val="0B2545"/>
                <w:sz w:val="16"/>
              </w:rPr>
              <w:t>COGS / average inventory value for a governed period.</w:t>
            </w:r>
          </w:p>
        </w:tc>
      </w:tr>
      <w:tr>
        <w:tc>
          <w:tcPr>
            <w:tcW w:type="dxa" w:w="2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Churn Risk</w:t>
            </w:r>
          </w:p>
        </w:tc>
        <w:tc>
          <w:tcPr>
            <w:tcW w:type="dxa" w:w="6560"/>
            <w:vAlign w:val="center"/>
            <w:tcMar>
              <w:top w:w="80" w:type="dxa"/>
              <w:start w:w="120" w:type="dxa"/>
              <w:bottom w:w="80" w:type="dxa"/>
              <w:end w:w="120" w:type="dxa"/>
            </w:tcMar>
          </w:tcPr>
          <w:p>
            <w:pPr>
              <w:spacing w:before="0" w:after="0" w:line="240" w:lineRule="auto"/>
            </w:pPr>
            <w:r/>
            <w:r>
              <w:rPr>
                <w:rFonts w:ascii="Calibri" w:hAnsi="Calibri"/>
                <w:b w:val="0"/>
                <w:color w:val="0B2545"/>
                <w:sz w:val="16"/>
              </w:rPr>
              <w:t>Model probability mapped to versioned bands; business definition controls eligibility and label.</w:t>
            </w:r>
          </w:p>
        </w:tc>
      </w:tr>
      <w:tr>
        <w:tc>
          <w:tcPr>
            <w:tcW w:type="dxa" w:w="2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Forecast Accuracy</w:t>
            </w:r>
          </w:p>
        </w:tc>
        <w:tc>
          <w:tcPr>
            <w:tcW w:type="dxa" w:w="656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Reported using approved metrics over matured forecast periods; never calculated on training observations alone.</w:t>
            </w:r>
          </w:p>
        </w:tc>
      </w:tr>
      <w:tr>
        <w:tc>
          <w:tcPr>
            <w:tcW w:type="dxa" w:w="28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Alert False-Positive Rate</w:t>
            </w:r>
          </w:p>
        </w:tc>
        <w:tc>
          <w:tcPr>
            <w:tcW w:type="dxa" w:w="656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Reviewed false positives / reviewed alerts; unknown/unreviewed alerts excluded and shown separately.</w:t>
            </w:r>
          </w:p>
        </w:tc>
      </w:tr>
    </w:tbl>
    <w:p>
      <w:pPr>
        <w:spacing w:after="20"/>
      </w:pPr>
    </w:p>
    <w:p>
      <w:pPr>
        <w:pStyle w:val="Heading1"/>
        <w:keepNext/>
        <w:keepLines/>
      </w:pPr>
      <w:r>
        <w:t>11. Audit, Security, and Privacy Requirements</w:t>
      </w:r>
    </w:p>
    <w:p>
      <w:pPr>
        <w:pStyle w:val="Heading2"/>
        <w:keepNext/>
        <w:keepLines/>
      </w:pPr>
      <w:r>
        <w:t>11.1 Mandatory Audit Events</w:t>
      </w:r>
    </w:p>
    <w:p>
      <w:pPr>
        <w:pStyle w:val="ListBullet"/>
        <w:spacing w:after="80" w:line="264" w:lineRule="auto"/>
      </w:pPr>
      <w:r>
        <w:rPr>
          <w:rFonts w:ascii="Calibri" w:hAnsi="Calibri"/>
          <w:color w:val="0B2545"/>
        </w:rPr>
        <w:t>Login success/failure, logout, MFA enrollment/recovery, password reset, account lock and unlock.</w:t>
      </w:r>
    </w:p>
    <w:p>
      <w:pPr>
        <w:pStyle w:val="ListBullet"/>
        <w:spacing w:after="80" w:line="264" w:lineRule="auto"/>
      </w:pPr>
      <w:r>
        <w:rPr>
          <w:rFonts w:ascii="Calibri" w:hAnsi="Calibri"/>
          <w:color w:val="0B2545"/>
        </w:rPr>
        <w:t>User, role, permission, tenant/store assignment, and security-policy changes.</w:t>
      </w:r>
    </w:p>
    <w:p>
      <w:pPr>
        <w:pStyle w:val="ListBullet"/>
        <w:spacing w:after="80" w:line="264" w:lineRule="auto"/>
      </w:pPr>
      <w:r>
        <w:rPr>
          <w:rFonts w:ascii="Calibri" w:hAnsi="Calibri"/>
          <w:color w:val="0B2545"/>
        </w:rPr>
        <w:t>Data upload, validation, commit, quarantine, reprocessing, export, and deletion/anonymization.</w:t>
      </w:r>
    </w:p>
    <w:p>
      <w:pPr>
        <w:pStyle w:val="ListBullet"/>
        <w:spacing w:after="80" w:line="264" w:lineRule="auto"/>
      </w:pPr>
      <w:r>
        <w:rPr>
          <w:rFonts w:ascii="Calibri" w:hAnsi="Calibri"/>
          <w:color w:val="0B2545"/>
        </w:rPr>
        <w:t>Sales correction/void, inventory adjustment, invoice/payment/refund state changes.</w:t>
      </w:r>
    </w:p>
    <w:p>
      <w:pPr>
        <w:pStyle w:val="ListBullet"/>
        <w:spacing w:after="80" w:line="264" w:lineRule="auto"/>
      </w:pPr>
      <w:r>
        <w:rPr>
          <w:rFonts w:ascii="Calibri" w:hAnsi="Calibri"/>
          <w:color w:val="0B2545"/>
        </w:rPr>
        <w:t>Model training, evaluation, approval, promotion, rollback, configuration, and inference failure.</w:t>
      </w:r>
    </w:p>
    <w:p>
      <w:pPr>
        <w:pStyle w:val="ListBullet"/>
        <w:spacing w:after="80" w:line="264" w:lineRule="auto"/>
      </w:pPr>
      <w:r>
        <w:rPr>
          <w:rFonts w:ascii="Calibri" w:hAnsi="Calibri"/>
          <w:color w:val="0B2545"/>
        </w:rPr>
        <w:t>Alert acknowledgement, assignment, resolution, dismissal, and feedback.</w:t>
      </w:r>
    </w:p>
    <w:p>
      <w:pPr>
        <w:pStyle w:val="ListBullet"/>
        <w:spacing w:after="80" w:line="264" w:lineRule="auto"/>
      </w:pPr>
      <w:r>
        <w:rPr>
          <w:rFonts w:ascii="Calibri" w:hAnsi="Calibri"/>
          <w:color w:val="0B2545"/>
        </w:rPr>
        <w:t>Backup/restore, deployment, migration, secret/configuration change, and administrative access.</w:t>
      </w:r>
    </w:p>
    <w:p>
      <w:pPr>
        <w:spacing w:after="120" w:line="264" w:lineRule="auto"/>
      </w:pPr>
      <w:r>
        <w:rPr>
          <w:rFonts w:ascii="Calibri" w:hAnsi="Calibri"/>
          <w:i w:val="0"/>
          <w:color w:val="0B2545"/>
        </w:rPr>
        <w:t>Each audit event shall contain a stable event ID, UTC timestamp, actor/service, tenant and scope, action, target type/ID, result, correlation ID, source IP/device where appropriate, and before/after values for mutable configuration. Sensitive values and credentials shall never be logged.</w:t>
      </w:r>
    </w:p>
    <w:p>
      <w:pPr>
        <w:pStyle w:val="Heading2"/>
        <w:keepNext/>
        <w:keepLines/>
      </w:pPr>
      <w:r>
        <w:t>11.2 Threat and Abuse Controls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Threat / misuse</w:t>
            </w:r>
          </w:p>
        </w:tc>
        <w:tc>
          <w:tcPr>
            <w:tcW w:type="dxa" w:w="67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Required control</w:t>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6"/>
              </w:rPr>
              <w:t>Cross-tenant data access</w:t>
            </w:r>
          </w:p>
        </w:tc>
        <w:tc>
          <w:tcPr>
            <w:tcW w:type="dxa" w:w="6760"/>
            <w:vAlign w:val="center"/>
            <w:tcMar>
              <w:top w:w="80" w:type="dxa"/>
              <w:start w:w="120" w:type="dxa"/>
              <w:bottom w:w="80" w:type="dxa"/>
              <w:end w:w="120" w:type="dxa"/>
            </w:tcMar>
          </w:tcPr>
          <w:p>
            <w:pPr>
              <w:spacing w:before="0" w:after="0" w:line="240" w:lineRule="auto"/>
            </w:pPr>
            <w:r/>
            <w:r>
              <w:rPr>
                <w:rFonts w:ascii="Calibri" w:hAnsi="Calibri"/>
                <w:b w:val="0"/>
                <w:color w:val="0B2545"/>
                <w:sz w:val="16"/>
              </w:rPr>
              <w:t>Tenant predicates enforced server-side; isolation tests; scoped cache keys and object paths.</w:t>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Privilege escalation</w:t>
            </w:r>
          </w:p>
        </w:tc>
        <w:tc>
          <w:tcPr>
            <w:tcW w:type="dxa" w:w="6760"/>
            <w:vAlign w:val="center"/>
            <w:tcMar>
              <w:top w:w="80" w:type="dxa"/>
              <w:start w:w="120" w:type="dxa"/>
              <w:bottom w:w="80" w:type="dxa"/>
              <w:end w:w="120" w:type="dxa"/>
            </w:tcMar>
          </w:tcPr>
          <w:p>
            <w:pPr>
              <w:spacing w:before="0" w:after="0" w:line="240" w:lineRule="auto"/>
            </w:pPr>
            <w:r/>
            <w:r>
              <w:rPr>
                <w:rFonts w:ascii="Calibri" w:hAnsi="Calibri"/>
                <w:b w:val="0"/>
                <w:color w:val="0B2545"/>
                <w:sz w:val="16"/>
              </w:rPr>
              <w:t>Default deny, admin MFA/re-authentication, audited permission changes.</w:t>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6"/>
              </w:rPr>
              <w:t>Malicious upload</w:t>
            </w:r>
          </w:p>
        </w:tc>
        <w:tc>
          <w:tcPr>
            <w:tcW w:type="dxa" w:w="6760"/>
            <w:vAlign w:val="center"/>
            <w:tcMar>
              <w:top w:w="80" w:type="dxa"/>
              <w:start w:w="120" w:type="dxa"/>
              <w:bottom w:w="80" w:type="dxa"/>
              <w:end w:w="120" w:type="dxa"/>
            </w:tcMar>
          </w:tcPr>
          <w:p>
            <w:pPr>
              <w:spacing w:before="0" w:after="0" w:line="240" w:lineRule="auto"/>
            </w:pPr>
            <w:r/>
            <w:r>
              <w:rPr>
                <w:rFonts w:ascii="Calibri" w:hAnsi="Calibri"/>
                <w:b w:val="0"/>
                <w:color w:val="0B2545"/>
                <w:sz w:val="16"/>
              </w:rPr>
              <w:t>MIME/extension checks, size limits, malware scan, quarantine, parser isolation.</w:t>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Injection/XSS</w:t>
            </w:r>
          </w:p>
        </w:tc>
        <w:tc>
          <w:tcPr>
            <w:tcW w:type="dxa" w:w="6760"/>
            <w:vAlign w:val="center"/>
            <w:tcMar>
              <w:top w:w="80" w:type="dxa"/>
              <w:start w:w="120" w:type="dxa"/>
              <w:bottom w:w="80" w:type="dxa"/>
              <w:end w:w="120" w:type="dxa"/>
            </w:tcMar>
          </w:tcPr>
          <w:p>
            <w:pPr>
              <w:spacing w:before="0" w:after="0" w:line="240" w:lineRule="auto"/>
            </w:pPr>
            <w:r/>
            <w:r>
              <w:rPr>
                <w:rFonts w:ascii="Calibri" w:hAnsi="Calibri"/>
                <w:b w:val="0"/>
                <w:color w:val="0B2545"/>
                <w:sz w:val="16"/>
              </w:rPr>
              <w:t>Parameterized SQL, typed validation, output encoding, CSP, safe chart/report rendering.</w:t>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6"/>
              </w:rPr>
              <w:t>Duplicate transactions/jobs</w:t>
            </w:r>
          </w:p>
        </w:tc>
        <w:tc>
          <w:tcPr>
            <w:tcW w:type="dxa" w:w="6760"/>
            <w:vAlign w:val="center"/>
            <w:tcMar>
              <w:top w:w="80" w:type="dxa"/>
              <w:start w:w="120" w:type="dxa"/>
              <w:bottom w:w="80" w:type="dxa"/>
              <w:end w:w="120" w:type="dxa"/>
            </w:tcMar>
          </w:tcPr>
          <w:p>
            <w:pPr>
              <w:spacing w:before="0" w:after="0" w:line="240" w:lineRule="auto"/>
            </w:pPr>
            <w:r/>
            <w:r>
              <w:rPr>
                <w:rFonts w:ascii="Calibri" w:hAnsi="Calibri"/>
                <w:b w:val="0"/>
                <w:color w:val="0B2545"/>
                <w:sz w:val="16"/>
              </w:rPr>
              <w:t>Idempotency keys, unique constraints, job leases, atomic commit.</w:t>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6"/>
              </w:rPr>
              <w:t>Model/artifact tampering</w:t>
            </w:r>
          </w:p>
        </w:tc>
        <w:tc>
          <w:tcPr>
            <w:tcW w:type="dxa" w:w="6760"/>
            <w:vAlign w:val="center"/>
            <w:tcMar>
              <w:top w:w="80" w:type="dxa"/>
              <w:start w:w="120" w:type="dxa"/>
              <w:bottom w:w="80" w:type="dxa"/>
              <w:end w:w="120" w:type="dxa"/>
            </w:tcMar>
          </w:tcPr>
          <w:p>
            <w:pPr>
              <w:spacing w:before="0" w:after="0" w:line="240" w:lineRule="auto"/>
            </w:pPr>
            <w:r/>
            <w:r>
              <w:rPr>
                <w:rFonts w:ascii="Calibri" w:hAnsi="Calibri"/>
                <w:b w:val="0"/>
                <w:color w:val="0B2545"/>
                <w:sz w:val="16"/>
              </w:rPr>
              <w:t>Trusted storage, checksums, signed/pinned builds, registry approval.</w:t>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6"/>
              </w:rPr>
              <w:t>Sensitive export</w:t>
            </w:r>
          </w:p>
        </w:tc>
        <w:tc>
          <w:tcPr>
            <w:tcW w:type="dxa" w:w="6760"/>
            <w:vAlign w:val="center"/>
            <w:tcMar>
              <w:top w:w="80" w:type="dxa"/>
              <w:start w:w="120" w:type="dxa"/>
              <w:bottom w:w="80" w:type="dxa"/>
              <w:end w:w="120" w:type="dxa"/>
            </w:tcMar>
          </w:tcPr>
          <w:p>
            <w:pPr>
              <w:spacing w:before="0" w:after="0" w:line="240" w:lineRule="auto"/>
            </w:pPr>
            <w:r/>
            <w:r>
              <w:rPr>
                <w:rFonts w:ascii="Calibri" w:hAnsi="Calibri"/>
                <w:b w:val="0"/>
                <w:color w:val="0B2545"/>
                <w:sz w:val="16"/>
              </w:rPr>
              <w:t>Authorization at generation and download, expiry, audit, row/field limits.</w:t>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6"/>
              </w:rPr>
              <w:t>Prompt/AI overreach</w:t>
            </w:r>
          </w:p>
        </w:tc>
        <w:tc>
          <w:tcPr>
            <w:tcW w:type="dxa" w:w="6760"/>
            <w:vAlign w:val="center"/>
            <w:tcMar>
              <w:top w:w="80" w:type="dxa"/>
              <w:start w:w="120" w:type="dxa"/>
              <w:bottom w:w="80" w:type="dxa"/>
              <w:end w:w="120" w:type="dxa"/>
            </w:tcMar>
          </w:tcPr>
          <w:p>
            <w:pPr>
              <w:spacing w:before="0" w:after="0" w:line="240" w:lineRule="auto"/>
            </w:pPr>
            <w:r/>
            <w:r>
              <w:rPr>
                <w:rFonts w:ascii="Calibri" w:hAnsi="Calibri"/>
                <w:b w:val="0"/>
                <w:color w:val="0B2545"/>
                <w:sz w:val="16"/>
              </w:rPr>
              <w:t>No autonomous action; explanations are bounded, evidence-linked, and role-filtered.</w:t>
            </w:r>
          </w:p>
        </w:tc>
      </w:tr>
    </w:tbl>
    <w:p>
      <w:pPr>
        <w:spacing w:after="20"/>
      </w:pPr>
    </w:p>
    <w:p>
      <w:pPr>
        <w:pStyle w:val="Heading1"/>
        <w:keepNext/>
        <w:keepLines/>
      </w:pPr>
      <w:r>
        <w:t>12. Error Handling and Operational States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Condition</w:t>
            </w:r>
          </w:p>
        </w:tc>
        <w:tc>
          <w:tcPr>
            <w:tcW w:type="dxa" w:w="67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Required behavior</w:t>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7"/>
              </w:rPr>
              <w:t>Validation error</w:t>
            </w:r>
          </w:p>
        </w:tc>
        <w:tc>
          <w:tcPr>
            <w:tcW w:type="dxa" w:w="6760"/>
            <w:vAlign w:val="center"/>
            <w:tcMar>
              <w:top w:w="80" w:type="dxa"/>
              <w:start w:w="120" w:type="dxa"/>
              <w:bottom w:w="80" w:type="dxa"/>
              <w:end w:w="120" w:type="dxa"/>
            </w:tcMar>
          </w:tcPr>
          <w:p>
            <w:pPr>
              <w:spacing w:before="0" w:after="0" w:line="240" w:lineRule="auto"/>
            </w:pPr>
            <w:r/>
            <w:r>
              <w:rPr>
                <w:rFonts w:ascii="Calibri" w:hAnsi="Calibri"/>
                <w:b w:val="0"/>
                <w:color w:val="0B2545"/>
                <w:sz w:val="17"/>
              </w:rPr>
              <w:t>Reject affected input, identify field/rule, preserve safe user context, no stack trace.</w:t>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7"/>
              </w:rPr>
              <w:t>Dependency unavailable</w:t>
            </w:r>
          </w:p>
        </w:tc>
        <w:tc>
          <w:tcPr>
            <w:tcW w:type="dxa" w:w="6760"/>
            <w:vAlign w:val="center"/>
            <w:tcMar>
              <w:top w:w="80" w:type="dxa"/>
              <w:start w:w="120" w:type="dxa"/>
              <w:bottom w:w="80" w:type="dxa"/>
              <w:end w:w="120" w:type="dxa"/>
            </w:tcMar>
          </w:tcPr>
          <w:p>
            <w:pPr>
              <w:spacing w:before="0" w:after="0" w:line="240" w:lineRule="auto"/>
            </w:pPr>
            <w:r/>
            <w:r>
              <w:rPr>
                <w:rFonts w:ascii="Calibri" w:hAnsi="Calibri"/>
                <w:b w:val="0"/>
                <w:color w:val="0B2545"/>
                <w:sz w:val="17"/>
              </w:rPr>
              <w:t>Timeout, retry only when safe, circuit-break where appropriate, show degraded state.</w:t>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7"/>
              </w:rPr>
              <w:t>Async job failure</w:t>
            </w:r>
          </w:p>
        </w:tc>
        <w:tc>
          <w:tcPr>
            <w:tcW w:type="dxa" w:w="6760"/>
            <w:vAlign w:val="center"/>
            <w:tcMar>
              <w:top w:w="80" w:type="dxa"/>
              <w:start w:w="120" w:type="dxa"/>
              <w:bottom w:w="80" w:type="dxa"/>
              <w:end w:w="120" w:type="dxa"/>
            </w:tcMar>
          </w:tcPr>
          <w:p>
            <w:pPr>
              <w:spacing w:before="0" w:after="0" w:line="240" w:lineRule="auto"/>
            </w:pPr>
            <w:r/>
            <w:r>
              <w:rPr>
                <w:rFonts w:ascii="Calibri" w:hAnsi="Calibri"/>
                <w:b w:val="0"/>
                <w:color w:val="0B2545"/>
                <w:sz w:val="17"/>
              </w:rPr>
              <w:t>Mark failed, retain correlation/log reference, allow authorized retry after cause is addressed.</w:t>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7"/>
              </w:rPr>
              <w:t>Partial source data</w:t>
            </w:r>
          </w:p>
        </w:tc>
        <w:tc>
          <w:tcPr>
            <w:tcW w:type="dxa" w:w="6760"/>
            <w:vAlign w:val="center"/>
            <w:tcMar>
              <w:top w:w="80" w:type="dxa"/>
              <w:start w:w="120" w:type="dxa"/>
              <w:bottom w:w="80" w:type="dxa"/>
              <w:end w:w="120" w:type="dxa"/>
            </w:tcMar>
          </w:tcPr>
          <w:p>
            <w:pPr>
              <w:spacing w:before="0" w:after="0" w:line="240" w:lineRule="auto"/>
            </w:pPr>
            <w:r/>
            <w:r>
              <w:rPr>
                <w:rFonts w:ascii="Calibri" w:hAnsi="Calibri"/>
                <w:b w:val="0"/>
                <w:color w:val="0B2545"/>
                <w:sz w:val="17"/>
              </w:rPr>
              <w:t>Show freshness/completeness warning; do not silently display missing data as zero.</w:t>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7"/>
              </w:rPr>
              <w:t>Model unavailable</w:t>
            </w:r>
          </w:p>
        </w:tc>
        <w:tc>
          <w:tcPr>
            <w:tcW w:type="dxa" w:w="6760"/>
            <w:vAlign w:val="center"/>
            <w:tcMar>
              <w:top w:w="80" w:type="dxa"/>
              <w:start w:w="120" w:type="dxa"/>
              <w:bottom w:w="80" w:type="dxa"/>
              <w:end w:w="120" w:type="dxa"/>
            </w:tcMar>
          </w:tcPr>
          <w:p>
            <w:pPr>
              <w:spacing w:before="0" w:after="0" w:line="240" w:lineRule="auto"/>
            </w:pPr>
            <w:r/>
            <w:r>
              <w:rPr>
                <w:rFonts w:ascii="Calibri" w:hAnsi="Calibri"/>
                <w:b w:val="0"/>
                <w:color w:val="0B2545"/>
                <w:sz w:val="17"/>
              </w:rPr>
              <w:t>Use approved fallback or mark insight unavailable; operational workflows remain usable.</w:t>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7"/>
              </w:rPr>
              <w:t>Unauthorized request</w:t>
            </w:r>
          </w:p>
        </w:tc>
        <w:tc>
          <w:tcPr>
            <w:tcW w:type="dxa" w:w="6760"/>
            <w:vAlign w:val="center"/>
            <w:tcMar>
              <w:top w:w="80" w:type="dxa"/>
              <w:start w:w="120" w:type="dxa"/>
              <w:bottom w:w="80" w:type="dxa"/>
              <w:end w:w="120" w:type="dxa"/>
            </w:tcMar>
          </w:tcPr>
          <w:p>
            <w:pPr>
              <w:spacing w:before="0" w:after="0" w:line="240" w:lineRule="auto"/>
            </w:pPr>
            <w:r/>
            <w:r>
              <w:rPr>
                <w:rFonts w:ascii="Calibri" w:hAnsi="Calibri"/>
                <w:b w:val="0"/>
                <w:color w:val="0B2545"/>
                <w:sz w:val="17"/>
              </w:rPr>
              <w:t>Return 401/403 without revealing existence of other-tenant resources.</w:t>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7"/>
              </w:rPr>
              <w:t>Conflict/concurrent update</w:t>
            </w:r>
          </w:p>
        </w:tc>
        <w:tc>
          <w:tcPr>
            <w:tcW w:type="dxa" w:w="6760"/>
            <w:vAlign w:val="center"/>
            <w:tcMar>
              <w:top w:w="80" w:type="dxa"/>
              <w:start w:w="120" w:type="dxa"/>
              <w:bottom w:w="80" w:type="dxa"/>
              <w:end w:w="120" w:type="dxa"/>
            </w:tcMar>
          </w:tcPr>
          <w:p>
            <w:pPr>
              <w:spacing w:before="0" w:after="0" w:line="240" w:lineRule="auto"/>
            </w:pPr>
            <w:r/>
            <w:r>
              <w:rPr>
                <w:rFonts w:ascii="Calibri" w:hAnsi="Calibri"/>
                <w:b w:val="0"/>
                <w:color w:val="0B2545"/>
                <w:sz w:val="17"/>
              </w:rPr>
              <w:t>Use version/locking control and require refresh or explicit reconciliation.</w:t>
            </w:r>
          </w:p>
        </w:tc>
      </w:tr>
      <w:tr>
        <w:tc>
          <w:tcPr>
            <w:tcW w:type="dxa" w:w="2600"/>
            <w:vAlign w:val="center"/>
            <w:tcMar>
              <w:top w:w="80" w:type="dxa"/>
              <w:start w:w="120" w:type="dxa"/>
              <w:bottom w:w="80" w:type="dxa"/>
              <w:end w:w="120" w:type="dxa"/>
            </w:tcMar>
          </w:tcPr>
          <w:p>
            <w:pPr>
              <w:spacing w:before="0" w:after="0" w:line="240" w:lineRule="auto"/>
            </w:pPr>
            <w:r/>
            <w:r>
              <w:rPr>
                <w:rFonts w:ascii="Calibri" w:hAnsi="Calibri"/>
                <w:b w:val="0"/>
                <w:color w:val="0B2545"/>
                <w:sz w:val="17"/>
              </w:rPr>
              <w:t>Export expired/revoked</w:t>
            </w:r>
          </w:p>
        </w:tc>
        <w:tc>
          <w:tcPr>
            <w:tcW w:type="dxa" w:w="6760"/>
            <w:vAlign w:val="center"/>
            <w:tcMar>
              <w:top w:w="80" w:type="dxa"/>
              <w:start w:w="120" w:type="dxa"/>
              <w:bottom w:w="80" w:type="dxa"/>
              <w:end w:w="120" w:type="dxa"/>
            </w:tcMar>
          </w:tcPr>
          <w:p>
            <w:pPr>
              <w:spacing w:before="0" w:after="0" w:line="240" w:lineRule="auto"/>
            </w:pPr>
            <w:r/>
            <w:r>
              <w:rPr>
                <w:rFonts w:ascii="Calibri" w:hAnsi="Calibri"/>
                <w:b w:val="0"/>
                <w:color w:val="0B2545"/>
                <w:sz w:val="17"/>
              </w:rPr>
              <w:t>Deny download and permit authorized regeneration.</w:t>
            </w:r>
          </w:p>
        </w:tc>
      </w:tr>
    </w:tbl>
    <w:p>
      <w:pPr>
        <w:spacing w:after="20"/>
      </w:pPr>
    </w:p>
    <w:p>
      <w:pPr>
        <w:pStyle w:val="Heading1"/>
        <w:keepNext/>
        <w:keepLines/>
      </w:pPr>
      <w:r>
        <w:t>13. Verification and Acceptance</w:t>
      </w:r>
    </w:p>
    <w:p>
      <w:pPr>
        <w:pStyle w:val="Heading2"/>
        <w:keepNext/>
        <w:keepLines/>
      </w:pPr>
      <w:r>
        <w:t>13.1 Test Levels</w:t>
      </w:r>
    </w:p>
    <w:p>
      <w:pPr>
        <w:pStyle w:val="ListBullet"/>
        <w:spacing w:after="80" w:line="264" w:lineRule="auto"/>
      </w:pPr>
      <w:r>
        <w:rPr>
          <w:rFonts w:ascii="Calibri" w:hAnsi="Calibri"/>
          <w:color w:val="0B2545"/>
        </w:rPr>
        <w:t>Unit tests for calculations, validators, authorization policies, features, and model metrics.</w:t>
      </w:r>
    </w:p>
    <w:p>
      <w:pPr>
        <w:pStyle w:val="ListBullet"/>
        <w:spacing w:after="80" w:line="264" w:lineRule="auto"/>
      </w:pPr>
      <w:r>
        <w:rPr>
          <w:rFonts w:ascii="Calibri" w:hAnsi="Calibri"/>
          <w:color w:val="0B2545"/>
        </w:rPr>
        <w:t>Integration tests for database, object storage, queue, notifications, model artifacts, and reporting.</w:t>
      </w:r>
    </w:p>
    <w:p>
      <w:pPr>
        <w:pStyle w:val="ListBullet"/>
        <w:spacing w:after="80" w:line="264" w:lineRule="auto"/>
      </w:pPr>
      <w:r>
        <w:rPr>
          <w:rFonts w:ascii="Calibri" w:hAnsi="Calibri"/>
          <w:color w:val="0B2545"/>
        </w:rPr>
        <w:t>API contract tests against OpenAPI schemas and backward compatibility.</w:t>
      </w:r>
    </w:p>
    <w:p>
      <w:pPr>
        <w:pStyle w:val="ListBullet"/>
        <w:spacing w:after="80" w:line="264" w:lineRule="auto"/>
      </w:pPr>
      <w:r>
        <w:rPr>
          <w:rFonts w:ascii="Calibri" w:hAnsi="Calibri"/>
          <w:color w:val="0B2545"/>
        </w:rPr>
        <w:t>End-to-end role workflows for import, sales, inventory, invoice, dashboard, AI, alerts, export, and administration.</w:t>
      </w:r>
    </w:p>
    <w:p>
      <w:pPr>
        <w:pStyle w:val="ListBullet"/>
        <w:spacing w:after="80" w:line="264" w:lineRule="auto"/>
      </w:pPr>
      <w:r>
        <w:rPr>
          <w:rFonts w:ascii="Calibri" w:hAnsi="Calibri"/>
          <w:color w:val="0B2545"/>
        </w:rPr>
        <w:t>Data tests for schema, ranges, referential integrity, duplicates, array length, temporal leakage, and reconciliation.</w:t>
      </w:r>
    </w:p>
    <w:p>
      <w:pPr>
        <w:pStyle w:val="ListBullet"/>
        <w:spacing w:after="80" w:line="264" w:lineRule="auto"/>
      </w:pPr>
      <w:r>
        <w:rPr>
          <w:rFonts w:ascii="Calibri" w:hAnsi="Calibri"/>
          <w:color w:val="0B2545"/>
        </w:rPr>
        <w:t>Security tests for authentication, tenant isolation, access control, injection, file upload, session, and secrets.</w:t>
      </w:r>
    </w:p>
    <w:p>
      <w:pPr>
        <w:pStyle w:val="ListBullet"/>
        <w:spacing w:after="80" w:line="264" w:lineRule="auto"/>
      </w:pPr>
      <w:r>
        <w:rPr>
          <w:rFonts w:ascii="Calibri" w:hAnsi="Calibri"/>
          <w:color w:val="0B2545"/>
        </w:rPr>
        <w:t>Performance/load tests using representative data volume and concurrent user/job profiles.</w:t>
      </w:r>
    </w:p>
    <w:p>
      <w:pPr>
        <w:pStyle w:val="ListBullet"/>
        <w:spacing w:after="80" w:line="264" w:lineRule="auto"/>
      </w:pPr>
      <w:r>
        <w:rPr>
          <w:rFonts w:ascii="Calibri" w:hAnsi="Calibri"/>
          <w:color w:val="0B2545"/>
        </w:rPr>
        <w:t>Accessibility and cross-browser tests on critical paths.</w:t>
      </w:r>
    </w:p>
    <w:p>
      <w:pPr>
        <w:pStyle w:val="ListBullet"/>
        <w:spacing w:after="80" w:line="264" w:lineRule="auto"/>
      </w:pPr>
      <w:r>
        <w:rPr>
          <w:rFonts w:ascii="Calibri" w:hAnsi="Calibri"/>
          <w:color w:val="0B2545"/>
        </w:rPr>
        <w:t>Backup restoration, disaster recovery, deployment rollback, and model rollback drills.</w:t>
      </w:r>
    </w:p>
    <w:p>
      <w:pPr>
        <w:pStyle w:val="Heading2"/>
        <w:keepNext/>
        <w:keepLines/>
      </w:pPr>
      <w:r>
        <w:t>13.2 Definition of Done for Production Release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Gate</w:t>
            </w:r>
          </w:p>
        </w:tc>
        <w:tc>
          <w:tcPr>
            <w:tcW w:type="dxa" w:w="71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Acceptance condition</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Scope</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All mandatory FR/DR/MLR/NFR requirements are implemented or have approved, dated waivers.</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Traceability</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Every mandatory requirement maps to one or more test cases and a result.</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Functional</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Critical end-to-end workflows pass in staging using role-specific accounts.</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Data</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Reconciliation, quality rules, lineage, retention, and supplemental data contracts are approved.</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AI/ML</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Baseline comparison, temporal evaluation, slice metrics, monitoring, approval, and rollback are complete.</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Security</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No unresolved critical/high security finding; tenant-isolation suite passes.</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Performance</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Approved load profile meets response-time and job-throughput targets.</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Operations</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Dashboards, alerts, runbooks, backup restore, and deployment rollback are verified.</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Documentation</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User/admin guides, API docs, data dictionary, model cards, and release notes are delivered.</w:t>
            </w:r>
          </w:p>
        </w:tc>
      </w:tr>
      <w:tr>
        <w:tc>
          <w:tcPr>
            <w:tcW w:type="dxa" w:w="2200"/>
            <w:vAlign w:val="center"/>
            <w:tcMar>
              <w:top w:w="80" w:type="dxa"/>
              <w:start w:w="120" w:type="dxa"/>
              <w:bottom w:w="80" w:type="dxa"/>
              <w:end w:w="120" w:type="dxa"/>
            </w:tcMar>
          </w:tcPr>
          <w:p>
            <w:pPr>
              <w:spacing w:before="0" w:after="0" w:line="240" w:lineRule="auto"/>
            </w:pPr>
            <w:r/>
            <w:r>
              <w:rPr>
                <w:rFonts w:ascii="Calibri" w:hAnsi="Calibri"/>
                <w:b w:val="0"/>
                <w:color w:val="0B2545"/>
                <w:sz w:val="17"/>
              </w:rPr>
              <w:t>Business acceptance</w:t>
            </w:r>
          </w:p>
        </w:tc>
        <w:tc>
          <w:tcPr>
            <w:tcW w:type="dxa" w:w="7160"/>
            <w:vAlign w:val="center"/>
            <w:tcMar>
              <w:top w:w="80" w:type="dxa"/>
              <w:start w:w="120" w:type="dxa"/>
              <w:bottom w:w="80" w:type="dxa"/>
              <w:end w:w="120" w:type="dxa"/>
            </w:tcMar>
          </w:tcPr>
          <w:p>
            <w:pPr>
              <w:spacing w:before="0" w:after="0" w:line="240" w:lineRule="auto"/>
            </w:pPr>
            <w:r/>
            <w:r>
              <w:rPr>
                <w:rFonts w:ascii="Calibri" w:hAnsi="Calibri"/>
                <w:b w:val="0"/>
                <w:color w:val="0B2545"/>
                <w:sz w:val="17"/>
              </w:rPr>
              <w:t>Product Owner and designated role representatives sign the UAT record.</w:t>
            </w:r>
          </w:p>
        </w:tc>
      </w:tr>
    </w:tbl>
    <w:p>
      <w:pPr>
        <w:spacing w:after="20"/>
      </w:pPr>
    </w:p>
    <w:p>
      <w:pPr>
        <w:pStyle w:val="Heading2"/>
        <w:keepNext/>
        <w:keepLines/>
      </w:pPr>
      <w:r>
        <w:t>13.3 Milestone Acceptance Plan</w:t>
      </w:r>
    </w:p>
    <w:tbl>
      <w:tblPr>
        <w:tblStyle w:val="TableGrid"/>
        <w:tblW w:type="dxa" w:w="9360"/>
        <w:jc w:val="left"/>
        <w:tblLayout w:type="fixed"/>
        <w:tblLook w:firstColumn="1" w:firstRow="1" w:lastColumn="0" w:lastRow="0" w:noHBand="0" w:noVBand="1" w:val="04A0"/>
        <w:tblInd w:w="120" w:type="dxa"/>
      </w:tblPr>
      <w:tblGrid>
        <w:gridCol w:w="1300"/>
        <w:gridCol w:w="1900"/>
        <w:gridCol w:w="3860"/>
        <w:gridCol w:w="2300"/>
      </w:tblGrid>
      <w:tr>
        <w:trPr>
          <w:tblHeader w:val="true"/>
        </w:trPr>
        <w:tc>
          <w:tcPr>
            <w:tcW w:type="dxa" w:w="13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Schedule</w:t>
            </w:r>
          </w:p>
        </w:tc>
        <w:tc>
          <w:tcPr>
            <w:tcW w:type="dxa" w:w="19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Theme</w:t>
            </w:r>
          </w:p>
        </w:tc>
        <w:tc>
          <w:tcPr>
            <w:tcW w:type="dxa" w:w="38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Required deliverables</w:t>
            </w:r>
          </w:p>
        </w:tc>
        <w:tc>
          <w:tcPr>
            <w:tcW w:type="dxa" w:w="23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Exit evidence</w:t>
            </w:r>
          </w:p>
        </w:tc>
      </w:tr>
      <w:tr>
        <w:tc>
          <w:tcPr>
            <w:tcW w:type="dxa" w:w="1300"/>
            <w:vAlign w:val="center"/>
            <w:tcMar>
              <w:top w:w="80" w:type="dxa"/>
              <w:start w:w="120" w:type="dxa"/>
              <w:bottom w:w="80" w:type="dxa"/>
              <w:end w:w="120" w:type="dxa"/>
            </w:tcMar>
          </w:tcPr>
          <w:p>
            <w:r/>
            <w:r>
              <w:rPr>
                <w:rFonts w:ascii="Aptos" w:hAnsi="Aptos"/>
                <w:b w:val="0"/>
                <w:sz w:val="18"/>
              </w:rPr>
              <w:t>Milestone 1 - Complete</w:t>
            </w:r>
          </w:p>
        </w:tc>
        <w:tc>
          <w:tcPr>
            <w:tcW w:type="dxa" w:w="1900"/>
            <w:vAlign w:val="center"/>
            <w:tcMar>
              <w:top w:w="80" w:type="dxa"/>
              <w:start w:w="120" w:type="dxa"/>
              <w:bottom w:w="80" w:type="dxa"/>
              <w:end w:w="120" w:type="dxa"/>
            </w:tcMar>
          </w:tcPr>
          <w:p>
            <w:r/>
            <w:r>
              <w:rPr>
                <w:rFonts w:ascii="Aptos" w:hAnsi="Aptos"/>
                <w:b w:val="0"/>
                <w:sz w:val="18"/>
              </w:rPr>
              <w:t>Foundation</w:t>
            </w:r>
          </w:p>
        </w:tc>
        <w:tc>
          <w:tcPr>
            <w:tcW w:type="dxa" w:w="3860"/>
            <w:vAlign w:val="center"/>
            <w:tcMar>
              <w:top w:w="80" w:type="dxa"/>
              <w:start w:w="120" w:type="dxa"/>
              <w:bottom w:w="80" w:type="dxa"/>
              <w:end w:w="120" w:type="dxa"/>
            </w:tcMar>
          </w:tcPr>
          <w:p>
            <w:r/>
            <w:r>
              <w:rPr>
                <w:rFonts w:ascii="Aptos" w:hAnsi="Aptos"/>
                <w:b w:val="0"/>
                <w:sz w:val="18"/>
              </w:rPr>
              <w:t>Clean datasets; FastAPI and React foundation; database migrations and imports; authentication, RBAC, sales, inventory, onboarding and role dashboards.</w:t>
            </w:r>
          </w:p>
        </w:tc>
        <w:tc>
          <w:tcPr>
            <w:tcW w:type="dxa" w:w="2300"/>
            <w:vAlign w:val="center"/>
            <w:tcMar>
              <w:top w:w="80" w:type="dxa"/>
              <w:start w:w="120" w:type="dxa"/>
              <w:bottom w:w="80" w:type="dxa"/>
              <w:end w:w="120" w:type="dxa"/>
            </w:tcMar>
          </w:tcPr>
          <w:p>
            <w:r/>
            <w:r>
              <w:rPr>
                <w:rFonts w:ascii="Aptos" w:hAnsi="Aptos"/>
                <w:b w:val="0"/>
                <w:sz w:val="18"/>
              </w:rPr>
              <w:t>Integrated local application, repeatable imports and automated role/API tests.</w:t>
            </w:r>
          </w:p>
        </w:tc>
      </w:tr>
      <w:tr>
        <w:tc>
          <w:tcPr>
            <w:tcW w:type="dxa" w:w="1300"/>
            <w:vAlign w:val="center"/>
            <w:tcMar>
              <w:top w:w="80" w:type="dxa"/>
              <w:start w:w="120" w:type="dxa"/>
              <w:bottom w:w="80" w:type="dxa"/>
              <w:end w:w="120" w:type="dxa"/>
            </w:tcMar>
          </w:tcPr>
          <w:p>
            <w:r/>
            <w:r>
              <w:rPr>
                <w:rFonts w:ascii="Aptos" w:hAnsi="Aptos"/>
                <w:b w:val="0"/>
                <w:sz w:val="18"/>
              </w:rPr>
              <w:t>Milestone 2 - Complete</w:t>
            </w:r>
          </w:p>
        </w:tc>
        <w:tc>
          <w:tcPr>
            <w:tcW w:type="dxa" w:w="1900"/>
            <w:vAlign w:val="center"/>
            <w:tcMar>
              <w:top w:w="80" w:type="dxa"/>
              <w:start w:w="120" w:type="dxa"/>
              <w:bottom w:w="80" w:type="dxa"/>
              <w:end w:w="120" w:type="dxa"/>
            </w:tcMar>
          </w:tcPr>
          <w:p>
            <w:r/>
            <w:r>
              <w:rPr>
                <w:rFonts w:ascii="Aptos" w:hAnsi="Aptos"/>
                <w:b w:val="0"/>
                <w:sz w:val="18"/>
              </w:rPr>
              <w:t>Segmentation and forecasting</w:t>
            </w:r>
          </w:p>
        </w:tc>
        <w:tc>
          <w:tcPr>
            <w:tcW w:type="dxa" w:w="3860"/>
            <w:vAlign w:val="center"/>
            <w:tcMar>
              <w:top w:w="80" w:type="dxa"/>
              <w:start w:w="120" w:type="dxa"/>
              <w:bottom w:w="80" w:type="dxa"/>
              <w:end w:w="120" w:type="dxa"/>
            </w:tcMar>
          </w:tcPr>
          <w:p>
            <w:r/>
            <w:r>
              <w:rPr>
                <w:rFonts w:ascii="Aptos" w:hAnsi="Aptos"/>
                <w:b w:val="0"/>
                <w:sz w:val="18"/>
              </w:rPr>
              <w:t>Customer behaviour features and segments; chronological revenue, personal-sales and store/product-demand forecasts; real API-backed charts and model monitoring.</w:t>
            </w:r>
          </w:p>
        </w:tc>
        <w:tc>
          <w:tcPr>
            <w:tcW w:type="dxa" w:w="2300"/>
            <w:vAlign w:val="center"/>
            <w:tcMar>
              <w:top w:w="80" w:type="dxa"/>
              <w:start w:w="120" w:type="dxa"/>
              <w:bottom w:w="80" w:type="dxa"/>
              <w:end w:w="120" w:type="dxa"/>
            </w:tcMar>
          </w:tcPr>
          <w:p>
            <w:r/>
            <w:r>
              <w:rPr>
                <w:rFonts w:ascii="Aptos" w:hAnsi="Aptos"/>
                <w:b w:val="0"/>
                <w:sz w:val="18"/>
              </w:rPr>
              <w:t>Versioned model outputs, readiness and quality gates, integrated UI/API, model reports.</w:t>
            </w:r>
          </w:p>
        </w:tc>
      </w:tr>
      <w:tr>
        <w:tc>
          <w:tcPr>
            <w:tcW w:type="dxa" w:w="1300"/>
            <w:vAlign w:val="center"/>
            <w:tcMar>
              <w:top w:w="80" w:type="dxa"/>
              <w:start w:w="120" w:type="dxa"/>
              <w:bottom w:w="80" w:type="dxa"/>
              <w:end w:w="120" w:type="dxa"/>
            </w:tcMar>
          </w:tcPr>
          <w:p>
            <w:r/>
            <w:r>
              <w:rPr>
                <w:rFonts w:ascii="Aptos" w:hAnsi="Aptos"/>
                <w:b w:val="0"/>
                <w:sz w:val="18"/>
              </w:rPr>
              <w:t>Milestone 3 - Planned</w:t>
            </w:r>
          </w:p>
        </w:tc>
        <w:tc>
          <w:tcPr>
            <w:tcW w:type="dxa" w:w="1900"/>
            <w:vAlign w:val="center"/>
            <w:tcMar>
              <w:top w:w="80" w:type="dxa"/>
              <w:start w:w="120" w:type="dxa"/>
              <w:bottom w:w="80" w:type="dxa"/>
              <w:end w:w="120" w:type="dxa"/>
            </w:tcMar>
          </w:tcPr>
          <w:p>
            <w:r/>
            <w:r>
              <w:rPr>
                <w:rFonts w:ascii="Aptos" w:hAnsi="Aptos"/>
                <w:b w:val="0"/>
                <w:sz w:val="18"/>
              </w:rPr>
              <w:t>Recommendations, churn and anomalies</w:t>
            </w:r>
          </w:p>
        </w:tc>
        <w:tc>
          <w:tcPr>
            <w:tcW w:type="dxa" w:w="3860"/>
            <w:vAlign w:val="center"/>
            <w:tcMar>
              <w:top w:w="80" w:type="dxa"/>
              <w:start w:w="120" w:type="dxa"/>
              <w:bottom w:w="80" w:type="dxa"/>
              <w:end w:w="120" w:type="dxa"/>
            </w:tcMar>
          </w:tcPr>
          <w:p>
            <w:r/>
            <w:r>
              <w:rPr>
                <w:rFonts w:ascii="Aptos" w:hAnsi="Aptos"/>
                <w:b w:val="0"/>
                <w:sz w:val="18"/>
              </w:rPr>
              <w:t>Recommendation, churn-risk and formal anomaly-model pipelines; feedback and alert workflows.</w:t>
            </w:r>
          </w:p>
        </w:tc>
        <w:tc>
          <w:tcPr>
            <w:tcW w:type="dxa" w:w="2300"/>
            <w:vAlign w:val="center"/>
            <w:tcMar>
              <w:top w:w="80" w:type="dxa"/>
              <w:start w:w="120" w:type="dxa"/>
              <w:bottom w:w="80" w:type="dxa"/>
              <w:end w:w="120" w:type="dxa"/>
            </w:tcMar>
          </w:tcPr>
          <w:p>
            <w:r/>
            <w:r>
              <w:rPr>
                <w:rFonts w:ascii="Aptos" w:hAnsi="Aptos"/>
                <w:b w:val="0"/>
                <w:sz w:val="18"/>
              </w:rPr>
              <w:t>Not claimed in revision 1.1. Requires approved definitions, eligible data and model tests.</w:t>
            </w:r>
          </w:p>
        </w:tc>
      </w:tr>
      <w:tr>
        <w:tc>
          <w:tcPr>
            <w:tcW w:type="dxa" w:w="1300"/>
            <w:vAlign w:val="center"/>
            <w:tcMar>
              <w:top w:w="80" w:type="dxa"/>
              <w:start w:w="120" w:type="dxa"/>
              <w:bottom w:w="80" w:type="dxa"/>
              <w:end w:w="120" w:type="dxa"/>
            </w:tcMar>
          </w:tcPr>
          <w:p>
            <w:r/>
            <w:r>
              <w:rPr>
                <w:rFonts w:ascii="Aptos" w:hAnsi="Aptos"/>
                <w:b w:val="0"/>
                <w:sz w:val="18"/>
              </w:rPr>
              <w:t>Milestone 4 - Planned</w:t>
            </w:r>
          </w:p>
        </w:tc>
        <w:tc>
          <w:tcPr>
            <w:tcW w:type="dxa" w:w="1900"/>
            <w:vAlign w:val="center"/>
            <w:tcMar>
              <w:top w:w="80" w:type="dxa"/>
              <w:start w:w="120" w:type="dxa"/>
              <w:bottom w:w="80" w:type="dxa"/>
              <w:end w:w="120" w:type="dxa"/>
            </w:tcMar>
          </w:tcPr>
          <w:p>
            <w:r/>
            <w:r>
              <w:rPr>
                <w:rFonts w:ascii="Aptos" w:hAnsi="Aptos"/>
                <w:b w:val="0"/>
                <w:sz w:val="18"/>
              </w:rPr>
              <w:t>Hardening and deployment</w:t>
            </w:r>
          </w:p>
        </w:tc>
        <w:tc>
          <w:tcPr>
            <w:tcW w:type="dxa" w:w="3860"/>
            <w:vAlign w:val="center"/>
            <w:tcMar>
              <w:top w:w="80" w:type="dxa"/>
              <w:start w:w="120" w:type="dxa"/>
              <w:bottom w:w="80" w:type="dxa"/>
              <w:end w:w="120" w:type="dxa"/>
            </w:tcMar>
          </w:tcPr>
          <w:p>
            <w:r/>
            <w:r>
              <w:rPr>
                <w:rFonts w:ascii="Aptos" w:hAnsi="Aptos"/>
                <w:b w:val="0"/>
                <w:sz w:val="18"/>
              </w:rPr>
              <w:t>Accessibility, performance, production observability, managed deployment, backup, runbooks and release documentation.</w:t>
            </w:r>
          </w:p>
        </w:tc>
        <w:tc>
          <w:tcPr>
            <w:tcW w:type="dxa" w:w="2300"/>
            <w:vAlign w:val="center"/>
            <w:tcMar>
              <w:top w:w="80" w:type="dxa"/>
              <w:start w:w="120" w:type="dxa"/>
              <w:bottom w:w="80" w:type="dxa"/>
              <w:end w:w="120" w:type="dxa"/>
            </w:tcMar>
          </w:tcPr>
          <w:p>
            <w:r/>
            <w:r>
              <w:rPr>
                <w:rFonts w:ascii="Aptos" w:hAnsi="Aptos"/>
                <w:b w:val="0"/>
                <w:sz w:val="18"/>
              </w:rPr>
              <w:t>Not claimed in revision 1.1. Requires release-candidate, UAT and rollback evidence.</w:t>
            </w:r>
          </w:p>
        </w:tc>
      </w:tr>
    </w:tbl>
    <w:p>
      <w:pPr>
        <w:spacing w:after="20"/>
      </w:pPr>
    </w:p>
    <w:p>
      <w:pPr>
        <w:pStyle w:val="Heading1"/>
        <w:keepNext/>
        <w:keepLines/>
      </w:pPr>
      <w:r>
        <w:t>14. Traceability Matrix</w:t>
      </w:r>
    </w:p>
    <w:tbl>
      <w:tblPr>
        <w:tblStyle w:val="TableGrid"/>
        <w:tblW w:type="dxa" w:w="9360"/>
        <w:jc w:val="left"/>
        <w:tblLayout w:type="fixed"/>
        <w:tblLook w:firstColumn="1" w:firstRow="1" w:lastColumn="0" w:lastRow="0" w:noHBand="0" w:noVBand="1" w:val="04A0"/>
        <w:tblInd w:w="120" w:type="dxa"/>
      </w:tblPr>
      <w:tblGrid>
        <w:gridCol w:w="2500"/>
        <w:gridCol w:w="3600"/>
        <w:gridCol w:w="3260"/>
      </w:tblGrid>
      <w:tr>
        <w:trPr>
          <w:tblHeader w:val="true"/>
        </w:trPr>
        <w:tc>
          <w:tcPr>
            <w:tcW w:type="dxa" w:w="25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Business objective</w:t>
            </w:r>
          </w:p>
        </w:tc>
        <w:tc>
          <w:tcPr>
            <w:tcW w:type="dxa" w:w="36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Primary requirements</w:t>
            </w:r>
          </w:p>
        </w:tc>
        <w:tc>
          <w:tcPr>
            <w:tcW w:type="dxa" w:w="32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Primary verification</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Secure multi-role platform</w:t>
            </w:r>
          </w:p>
        </w:tc>
        <w:tc>
          <w:tcPr>
            <w:tcW w:type="dxa" w:w="3600"/>
            <w:vAlign w:val="center"/>
            <w:tcMar>
              <w:top w:w="80" w:type="dxa"/>
              <w:start w:w="120" w:type="dxa"/>
              <w:bottom w:w="80" w:type="dxa"/>
              <w:end w:w="120" w:type="dxa"/>
            </w:tcMar>
          </w:tcPr>
          <w:p>
            <w:r/>
            <w:r>
              <w:rPr>
                <w:rFonts w:ascii="Aptos" w:hAnsi="Aptos"/>
                <w:b w:val="0"/>
                <w:sz w:val="18"/>
              </w:rPr>
              <w:t>FR-AUTH-001..017; FR-ADM-001; NFR-SEC-001..007</w:t>
            </w:r>
          </w:p>
        </w:tc>
        <w:tc>
          <w:tcPr>
            <w:tcW w:type="dxa" w:w="3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Identity, RBAC, tenant-isolation, security tests</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Sales data upload and management</w:t>
            </w:r>
          </w:p>
        </w:tc>
        <w:tc>
          <w:tcPr>
            <w:tcW w:type="dxa" w:w="36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FR-UPL-001..010; DR-001..010</w:t>
            </w:r>
          </w:p>
        </w:tc>
        <w:tc>
          <w:tcPr>
            <w:tcW w:type="dxa" w:w="3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Import, validation, rollback, lineage, reconciliation tests</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Sales and inventory operations</w:t>
            </w:r>
          </w:p>
        </w:tc>
        <w:tc>
          <w:tcPr>
            <w:tcW w:type="dxa" w:w="36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FR-SAL-001..008; FR-INV-001..010</w:t>
            </w:r>
          </w:p>
        </w:tc>
        <w:tc>
          <w:tcPr>
            <w:tcW w:type="dxa" w:w="3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Ledger, movement, KPI, alert, and concurrency tests</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Invoices and payments</w:t>
            </w:r>
          </w:p>
        </w:tc>
        <w:tc>
          <w:tcPr>
            <w:tcW w:type="dxa" w:w="36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FR-BIL-001..008</w:t>
            </w:r>
          </w:p>
        </w:tc>
        <w:tc>
          <w:tcPr>
            <w:tcW w:type="dxa" w:w="3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Calculation, state-machine, PDF, ledger tests</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Analytics dashboards/reports</w:t>
            </w:r>
          </w:p>
        </w:tc>
        <w:tc>
          <w:tcPr>
            <w:tcW w:type="dxa" w:w="36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FR-DAS-001..010; NFR-PER-001..004</w:t>
            </w:r>
          </w:p>
        </w:tc>
        <w:tc>
          <w:tcPr>
            <w:tcW w:type="dxa" w:w="3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KPI reconciliation, role UI, performance, export tests</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Customer intelligence</w:t>
            </w:r>
          </w:p>
        </w:tc>
        <w:tc>
          <w:tcPr>
            <w:tcW w:type="dxa" w:w="36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FR-SEG-001..007; FR-CHN-001..008</w:t>
            </w:r>
          </w:p>
        </w:tc>
        <w:tc>
          <w:tcPr>
            <w:tcW w:type="dxa" w:w="3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Feature, clustering, classification, fairness and workflow tests</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Forecasting</w:t>
            </w:r>
          </w:p>
        </w:tc>
        <w:tc>
          <w:tcPr>
            <w:tcW w:type="dxa" w:w="36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FR-FCT-001..010; MLR-001..014</w:t>
            </w:r>
          </w:p>
        </w:tc>
        <w:tc>
          <w:tcPr>
            <w:tcW w:type="dxa" w:w="3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Backtest, baseline, metrics, registry, monitoring</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Recommendations</w:t>
            </w:r>
          </w:p>
        </w:tc>
        <w:tc>
          <w:tcPr>
            <w:tcW w:type="dxa" w:w="36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FR-REC-001..008</w:t>
            </w:r>
          </w:p>
        </w:tc>
        <w:tc>
          <w:tcPr>
            <w:tcW w:type="dxa" w:w="3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Eligibility, cold-start, offline metrics, event logging</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Anomaly detection</w:t>
            </w:r>
          </w:p>
        </w:tc>
        <w:tc>
          <w:tcPr>
            <w:tcW w:type="dxa" w:w="36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FR-ANO-001..009</w:t>
            </w:r>
          </w:p>
        </w:tc>
        <w:tc>
          <w:tcPr>
            <w:tcW w:type="dxa" w:w="3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Scenario library, reviewed metrics, alert lifecycle</w:t>
            </w:r>
          </w:p>
        </w:tc>
      </w:tr>
      <w:tr>
        <w:tc>
          <w:tcPr>
            <w:tcW w:type="dxa" w:w="2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Deployable and operable product</w:t>
            </w:r>
          </w:p>
        </w:tc>
        <w:tc>
          <w:tcPr>
            <w:tcW w:type="dxa" w:w="3600"/>
            <w:vAlign w:val="center"/>
            <w:tcMar>
              <w:top w:w="80" w:type="dxa"/>
              <w:start w:w="120" w:type="dxa"/>
              <w:bottom w:w="80" w:type="dxa"/>
              <w:end w:w="120" w:type="dxa"/>
            </w:tcMar>
          </w:tcPr>
          <w:p>
            <w:pPr>
              <w:spacing w:before="0" w:after="0" w:line="240" w:lineRule="auto"/>
            </w:pPr>
            <w:r/>
            <w:r>
              <w:rPr>
                <w:rFonts w:ascii="Calibri" w:hAnsi="Calibri"/>
                <w:b w:val="0"/>
                <w:color w:val="0B2545"/>
                <w:sz w:val="16"/>
              </w:rPr>
              <w:t>NFR-AVL/REL/OBS/BCK/DEP groups</w:t>
            </w:r>
          </w:p>
        </w:tc>
        <w:tc>
          <w:tcPr>
            <w:tcW w:type="dxa" w:w="3260"/>
            <w:vAlign w:val="center"/>
            <w:tcMar>
              <w:top w:w="80" w:type="dxa"/>
              <w:start w:w="120" w:type="dxa"/>
              <w:bottom w:w="80" w:type="dxa"/>
              <w:end w:w="120" w:type="dxa"/>
            </w:tcMar>
          </w:tcPr>
          <w:p>
            <w:pPr>
              <w:spacing w:before="0" w:after="0" w:line="240" w:lineRule="auto"/>
            </w:pPr>
            <w:r/>
            <w:r>
              <w:rPr>
                <w:rFonts w:ascii="Calibri" w:hAnsi="Calibri"/>
                <w:b w:val="0"/>
                <w:color w:val="0B2545"/>
                <w:sz w:val="16"/>
              </w:rPr>
              <w:t>Load, chaos/failure, restore, rollback, observability evidence</w:t>
            </w:r>
          </w:p>
        </w:tc>
      </w:tr>
    </w:tbl>
    <w:p>
      <w:pPr>
        <w:spacing w:after="20"/>
      </w:pPr>
    </w:p>
    <w:p>
      <w:pPr>
        <w:pStyle w:val="Heading1"/>
        <w:keepNext/>
        <w:keepLines/>
      </w:pPr>
      <w:r>
        <w:t>15. Risks, Decisions, and Open Items</w:t>
      </w:r>
    </w:p>
    <w:tbl>
      <w:tblPr>
        <w:tblStyle w:val="TableGrid"/>
        <w:tblW w:type="dxa" w:w="9360"/>
        <w:jc w:val="left"/>
        <w:tblLayout w:type="fixed"/>
        <w:tblLook w:firstColumn="1" w:firstRow="1" w:lastColumn="0" w:lastRow="0" w:noHBand="0" w:noVBand="1" w:val="04A0"/>
        <w:tblInd w:w="120" w:type="dxa"/>
      </w:tblPr>
      <w:tblGrid>
        <w:gridCol w:w="850"/>
        <w:gridCol w:w="1000"/>
        <w:gridCol w:w="3500"/>
        <w:gridCol w:w="4010"/>
      </w:tblGrid>
      <w:tr>
        <w:trPr>
          <w:tblHeader w:val="true"/>
        </w:trPr>
        <w:tc>
          <w:tcPr>
            <w:tcW w:type="dxa" w:w="85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ID</w:t>
            </w:r>
          </w:p>
        </w:tc>
        <w:tc>
          <w:tcPr>
            <w:tcW w:type="dxa" w:w="10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Severity</w:t>
            </w:r>
          </w:p>
        </w:tc>
        <w:tc>
          <w:tcPr>
            <w:tcW w:type="dxa" w:w="35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Risk</w:t>
            </w:r>
          </w:p>
        </w:tc>
        <w:tc>
          <w:tcPr>
            <w:tcW w:type="dxa" w:w="401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Mitigation / decision</w:t>
            </w:r>
          </w:p>
        </w:tc>
      </w:tr>
      <w:tr>
        <w:tc>
          <w:tcPr>
            <w:tcW w:type="dxa" w:w="850"/>
            <w:vAlign w:val="center"/>
            <w:tcMar>
              <w:top w:w="80" w:type="dxa"/>
              <w:start w:w="120" w:type="dxa"/>
              <w:bottom w:w="80" w:type="dxa"/>
              <w:end w:w="120" w:type="dxa"/>
            </w:tcMar>
          </w:tcPr>
          <w:p>
            <w:pPr>
              <w:spacing w:before="0" w:after="0" w:line="240" w:lineRule="auto"/>
            </w:pPr>
            <w:r/>
            <w:r>
              <w:rPr>
                <w:rFonts w:ascii="Calibri" w:hAnsi="Calibri"/>
                <w:b w:val="0"/>
                <w:color w:val="0B2545"/>
                <w:sz w:val="16"/>
              </w:rPr>
              <w:t>R-01</w:t>
            </w:r>
          </w:p>
        </w:tc>
        <w:tc>
          <w:tcPr>
            <w:tcW w:type="dxa" w:w="1000"/>
            <w:vAlign w:val="center"/>
            <w:tcMar>
              <w:top w:w="80" w:type="dxa"/>
              <w:start w:w="120" w:type="dxa"/>
              <w:bottom w:w="80" w:type="dxa"/>
              <w:end w:w="120" w:type="dxa"/>
            </w:tcMar>
          </w:tcPr>
          <w:p>
            <w:r/>
            <w:r>
              <w:rPr>
                <w:rFonts w:ascii="Aptos" w:hAnsi="Aptos"/>
                <w:b w:val="0"/>
                <w:sz w:val="18"/>
              </w:rPr>
              <w:t>High</w:t>
            </w:r>
          </w:p>
        </w:tc>
        <w:tc>
          <w:tcPr>
            <w:tcW w:type="dxa" w:w="3500"/>
            <w:vAlign w:val="center"/>
            <w:tcMar>
              <w:top w:w="80" w:type="dxa"/>
              <w:start w:w="120" w:type="dxa"/>
              <w:bottom w:w="80" w:type="dxa"/>
              <w:end w:w="120" w:type="dxa"/>
            </w:tcMar>
          </w:tcPr>
          <w:p>
            <w:r/>
            <w:r>
              <w:rPr>
                <w:rFonts w:ascii="Aptos" w:hAnsi="Aptos"/>
                <w:b w:val="0"/>
                <w:sz w:val="18"/>
              </w:rPr>
              <w:t>Cleaned customer data supports Milestone 2 segmentation, but consent and interaction history remain insufficient for Milestone 3 churn and collaborative recommendations.</w:t>
            </w:r>
          </w:p>
        </w:tc>
        <w:tc>
          <w:tcPr>
            <w:tcW w:type="dxa" w:w="4010"/>
            <w:vAlign w:val="center"/>
            <w:tcMar>
              <w:top w:w="80" w:type="dxa"/>
              <w:start w:w="120" w:type="dxa"/>
              <w:bottom w:w="80" w:type="dxa"/>
              <w:end w:w="120" w:type="dxa"/>
            </w:tcMar>
          </w:tcPr>
          <w:p>
            <w:r/>
            <w:r>
              <w:rPr>
                <w:rFonts w:ascii="Aptos" w:hAnsi="Aptos"/>
                <w:b w:val="0"/>
                <w:sz w:val="18"/>
              </w:rPr>
              <w:t>Approve customer consent, dated engagement and basket-level data contracts before Milestone 3 model release.</w:t>
            </w:r>
          </w:p>
        </w:tc>
      </w:tr>
      <w:tr>
        <w:tc>
          <w:tcPr>
            <w:tcW w:type="dxa" w:w="850"/>
            <w:vAlign w:val="center"/>
            <w:tcMar>
              <w:top w:w="80" w:type="dxa"/>
              <w:start w:w="120" w:type="dxa"/>
              <w:bottom w:w="80" w:type="dxa"/>
              <w:end w:w="120" w:type="dxa"/>
            </w:tcMar>
          </w:tcPr>
          <w:p>
            <w:pPr>
              <w:spacing w:before="0" w:after="0" w:line="240" w:lineRule="auto"/>
            </w:pPr>
            <w:r/>
            <w:r>
              <w:rPr>
                <w:rFonts w:ascii="Calibri" w:hAnsi="Calibri"/>
                <w:b w:val="0"/>
                <w:color w:val="0B2545"/>
                <w:sz w:val="16"/>
              </w:rPr>
              <w:t>R-02</w:t>
            </w:r>
          </w:p>
        </w:tc>
        <w:tc>
          <w:tcPr>
            <w:tcW w:type="dxa" w:w="1000"/>
            <w:vAlign w:val="center"/>
            <w:tcMar>
              <w:top w:w="80" w:type="dxa"/>
              <w:start w:w="120" w:type="dxa"/>
              <w:bottom w:w="80" w:type="dxa"/>
              <w:end w:w="120" w:type="dxa"/>
            </w:tcMar>
          </w:tcPr>
          <w:p>
            <w:pPr>
              <w:spacing w:before="0" w:after="0" w:line="240" w:lineRule="auto"/>
            </w:pPr>
            <w:r/>
            <w:r>
              <w:rPr>
                <w:rFonts w:ascii="Calibri" w:hAnsi="Calibri"/>
                <w:b w:val="0"/>
                <w:color w:val="0B2545"/>
                <w:sz w:val="16"/>
              </w:rPr>
              <w:t>High</w:t>
            </w:r>
          </w:p>
        </w:tc>
        <w:tc>
          <w:tcPr>
            <w:tcW w:type="dxa" w:w="3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sale_amount and discount semantics are ambiguous; discount exceeds 1.0 in train.</w:t>
            </w:r>
          </w:p>
        </w:tc>
        <w:tc>
          <w:tcPr>
            <w:tcW w:type="dxa" w:w="4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Business/data owner signs field definitions and quality policy.</w:t>
            </w:r>
          </w:p>
        </w:tc>
      </w:tr>
      <w:tr>
        <w:tc>
          <w:tcPr>
            <w:tcW w:type="dxa" w:w="850"/>
            <w:vAlign w:val="center"/>
            <w:tcMar>
              <w:top w:w="80" w:type="dxa"/>
              <w:start w:w="120" w:type="dxa"/>
              <w:bottom w:w="80" w:type="dxa"/>
              <w:end w:w="120" w:type="dxa"/>
            </w:tcMar>
          </w:tcPr>
          <w:p>
            <w:pPr>
              <w:spacing w:before="0" w:after="0" w:line="240" w:lineRule="auto"/>
            </w:pPr>
            <w:r/>
            <w:r>
              <w:rPr>
                <w:rFonts w:ascii="Calibri" w:hAnsi="Calibri"/>
                <w:b w:val="0"/>
                <w:color w:val="0B2545"/>
                <w:sz w:val="16"/>
              </w:rPr>
              <w:t>R-03</w:t>
            </w:r>
          </w:p>
        </w:tc>
        <w:tc>
          <w:tcPr>
            <w:tcW w:type="dxa" w:w="1000"/>
            <w:vAlign w:val="center"/>
            <w:tcMar>
              <w:top w:w="80" w:type="dxa"/>
              <w:start w:w="120" w:type="dxa"/>
              <w:bottom w:w="80" w:type="dxa"/>
              <w:end w:w="120" w:type="dxa"/>
            </w:tcMar>
          </w:tcPr>
          <w:p>
            <w:pPr>
              <w:spacing w:before="0" w:after="0" w:line="240" w:lineRule="auto"/>
            </w:pPr>
            <w:r/>
            <w:r>
              <w:rPr>
                <w:rFonts w:ascii="Calibri" w:hAnsi="Calibri"/>
                <w:b w:val="0"/>
                <w:color w:val="0B2545"/>
                <w:sz w:val="16"/>
              </w:rPr>
              <w:t>High</w:t>
            </w:r>
          </w:p>
        </w:tc>
        <w:tc>
          <w:tcPr>
            <w:tcW w:type="dxa" w:w="3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Eight-week scope is aggressive for production-grade security, operations, and five AI modules.</w:t>
            </w:r>
          </w:p>
        </w:tc>
        <w:tc>
          <w:tcPr>
            <w:tcW w:type="dxa" w:w="4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Use staged MVP; prioritize foundation and one validated model per use case.</w:t>
            </w:r>
          </w:p>
        </w:tc>
      </w:tr>
      <w:tr>
        <w:tc>
          <w:tcPr>
            <w:tcW w:type="dxa" w:w="850"/>
            <w:vAlign w:val="center"/>
            <w:tcMar>
              <w:top w:w="80" w:type="dxa"/>
              <w:start w:w="120" w:type="dxa"/>
              <w:bottom w:w="80" w:type="dxa"/>
              <w:end w:w="120" w:type="dxa"/>
            </w:tcMar>
          </w:tcPr>
          <w:p>
            <w:pPr>
              <w:spacing w:before="0" w:after="0" w:line="240" w:lineRule="auto"/>
            </w:pPr>
            <w:r/>
            <w:r>
              <w:rPr>
                <w:rFonts w:ascii="Calibri" w:hAnsi="Calibri"/>
                <w:b w:val="0"/>
                <w:color w:val="0B2545"/>
                <w:sz w:val="16"/>
              </w:rPr>
              <w:t>R-04</w:t>
            </w:r>
          </w:p>
        </w:tc>
        <w:tc>
          <w:tcPr>
            <w:tcW w:type="dxa" w:w="1000"/>
            <w:vAlign w:val="center"/>
            <w:tcMar>
              <w:top w:w="80" w:type="dxa"/>
              <w:start w:w="120" w:type="dxa"/>
              <w:bottom w:w="80" w:type="dxa"/>
              <w:end w:w="120" w:type="dxa"/>
            </w:tcMar>
          </w:tcPr>
          <w:p>
            <w:pPr>
              <w:spacing w:before="0" w:after="0" w:line="240" w:lineRule="auto"/>
            </w:pPr>
            <w:r/>
            <w:r>
              <w:rPr>
                <w:rFonts w:ascii="Calibri" w:hAnsi="Calibri"/>
                <w:b w:val="0"/>
                <w:color w:val="0B2545"/>
                <w:sz w:val="16"/>
              </w:rPr>
              <w:t>High</w:t>
            </w:r>
          </w:p>
        </w:tc>
        <w:tc>
          <w:tcPr>
            <w:tcW w:type="dxa" w:w="3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Random splits could inflate forecasting/churn performance through leakage.</w:t>
            </w:r>
          </w:p>
        </w:tc>
        <w:tc>
          <w:tcPr>
            <w:tcW w:type="dxa" w:w="4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Mandate temporal/point-in-time validation and leakage review.</w:t>
            </w:r>
          </w:p>
        </w:tc>
      </w:tr>
      <w:tr>
        <w:tc>
          <w:tcPr>
            <w:tcW w:type="dxa" w:w="850"/>
            <w:vAlign w:val="center"/>
            <w:tcMar>
              <w:top w:w="80" w:type="dxa"/>
              <w:start w:w="120" w:type="dxa"/>
              <w:bottom w:w="80" w:type="dxa"/>
              <w:end w:w="120" w:type="dxa"/>
            </w:tcMar>
          </w:tcPr>
          <w:p>
            <w:pPr>
              <w:spacing w:before="0" w:after="0" w:line="240" w:lineRule="auto"/>
            </w:pPr>
            <w:r/>
            <w:r>
              <w:rPr>
                <w:rFonts w:ascii="Calibri" w:hAnsi="Calibri"/>
                <w:b w:val="0"/>
                <w:color w:val="0B2545"/>
                <w:sz w:val="16"/>
              </w:rPr>
              <w:t>R-05</w:t>
            </w:r>
          </w:p>
        </w:tc>
        <w:tc>
          <w:tcPr>
            <w:tcW w:type="dxa" w:w="1000"/>
            <w:vAlign w:val="center"/>
            <w:tcMar>
              <w:top w:w="80" w:type="dxa"/>
              <w:start w:w="120" w:type="dxa"/>
              <w:bottom w:w="80" w:type="dxa"/>
              <w:end w:w="120" w:type="dxa"/>
            </w:tcMar>
          </w:tcPr>
          <w:p>
            <w:pPr>
              <w:spacing w:before="0" w:after="0" w:line="240" w:lineRule="auto"/>
            </w:pPr>
            <w:r/>
            <w:r>
              <w:rPr>
                <w:rFonts w:ascii="Calibri" w:hAnsi="Calibri"/>
                <w:b w:val="0"/>
                <w:color w:val="0B2545"/>
                <w:sz w:val="16"/>
              </w:rPr>
              <w:t>High</w:t>
            </w:r>
          </w:p>
        </w:tc>
        <w:tc>
          <w:tcPr>
            <w:tcW w:type="dxa" w:w="3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False anomaly alerts may overwhelm users.</w:t>
            </w:r>
          </w:p>
        </w:tc>
        <w:tc>
          <w:tcPr>
            <w:tcW w:type="dxa" w:w="4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Use severity, deduplication, review feedback, and workload-based thresholds.</w:t>
            </w:r>
          </w:p>
        </w:tc>
      </w:tr>
      <w:tr>
        <w:tc>
          <w:tcPr>
            <w:tcW w:type="dxa" w:w="850"/>
            <w:vAlign w:val="center"/>
            <w:tcMar>
              <w:top w:w="80" w:type="dxa"/>
              <w:start w:w="120" w:type="dxa"/>
              <w:bottom w:w="80" w:type="dxa"/>
              <w:end w:w="120" w:type="dxa"/>
            </w:tcMar>
          </w:tcPr>
          <w:p>
            <w:pPr>
              <w:spacing w:before="0" w:after="0" w:line="240" w:lineRule="auto"/>
            </w:pPr>
            <w:r/>
            <w:r>
              <w:rPr>
                <w:rFonts w:ascii="Calibri" w:hAnsi="Calibri"/>
                <w:b w:val="0"/>
                <w:color w:val="0B2545"/>
                <w:sz w:val="16"/>
              </w:rPr>
              <w:t>R-06</w:t>
            </w:r>
          </w:p>
        </w:tc>
        <w:tc>
          <w:tcPr>
            <w:tcW w:type="dxa" w:w="1000"/>
            <w:vAlign w:val="center"/>
            <w:tcMar>
              <w:top w:w="80" w:type="dxa"/>
              <w:start w:w="120" w:type="dxa"/>
              <w:bottom w:w="80" w:type="dxa"/>
              <w:end w:w="120" w:type="dxa"/>
            </w:tcMar>
          </w:tcPr>
          <w:p>
            <w:pPr>
              <w:spacing w:before="0" w:after="0" w:line="240" w:lineRule="auto"/>
            </w:pPr>
            <w:r/>
            <w:r>
              <w:rPr>
                <w:rFonts w:ascii="Calibri" w:hAnsi="Calibri"/>
                <w:b w:val="0"/>
                <w:color w:val="0B2545"/>
                <w:sz w:val="16"/>
              </w:rPr>
              <w:t>Medium</w:t>
            </w:r>
          </w:p>
        </w:tc>
        <w:tc>
          <w:tcPr>
            <w:tcW w:type="dxa" w:w="3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Cloud free/low-cost tiers may not sustain dataset scale or availability targets.</w:t>
            </w:r>
          </w:p>
        </w:tc>
        <w:tc>
          <w:tcPr>
            <w:tcW w:type="dxa" w:w="4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Load test and approve capacity/cost before production.</w:t>
            </w:r>
          </w:p>
        </w:tc>
      </w:tr>
      <w:tr>
        <w:tc>
          <w:tcPr>
            <w:tcW w:type="dxa" w:w="850"/>
            <w:vAlign w:val="center"/>
            <w:tcMar>
              <w:top w:w="80" w:type="dxa"/>
              <w:start w:w="120" w:type="dxa"/>
              <w:bottom w:w="80" w:type="dxa"/>
              <w:end w:w="120" w:type="dxa"/>
            </w:tcMar>
          </w:tcPr>
          <w:p>
            <w:pPr>
              <w:spacing w:before="0" w:after="0" w:line="240" w:lineRule="auto"/>
            </w:pPr>
            <w:r/>
            <w:r>
              <w:rPr>
                <w:rFonts w:ascii="Calibri" w:hAnsi="Calibri"/>
                <w:b w:val="0"/>
                <w:color w:val="0B2545"/>
                <w:sz w:val="16"/>
              </w:rPr>
              <w:t>R-07</w:t>
            </w:r>
          </w:p>
        </w:tc>
        <w:tc>
          <w:tcPr>
            <w:tcW w:type="dxa" w:w="1000"/>
            <w:vAlign w:val="center"/>
            <w:tcMar>
              <w:top w:w="80" w:type="dxa"/>
              <w:start w:w="120" w:type="dxa"/>
              <w:bottom w:w="80" w:type="dxa"/>
              <w:end w:w="120" w:type="dxa"/>
            </w:tcMar>
          </w:tcPr>
          <w:p>
            <w:pPr>
              <w:spacing w:before="0" w:after="0" w:line="240" w:lineRule="auto"/>
            </w:pPr>
            <w:r/>
            <w:r>
              <w:rPr>
                <w:rFonts w:ascii="Calibri" w:hAnsi="Calibri"/>
                <w:b w:val="0"/>
                <w:color w:val="0B2545"/>
                <w:sz w:val="16"/>
              </w:rPr>
              <w:t>Medium</w:t>
            </w:r>
          </w:p>
        </w:tc>
        <w:tc>
          <w:tcPr>
            <w:tcW w:type="dxa" w:w="3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Forecasts may reflect stockouts rather than unconstrained demand.</w:t>
            </w:r>
          </w:p>
        </w:tc>
        <w:tc>
          <w:tcPr>
            <w:tcW w:type="dxa" w:w="4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Use stock status as feature/censor flag and label constrained periods.</w:t>
            </w:r>
          </w:p>
        </w:tc>
      </w:tr>
      <w:tr>
        <w:tc>
          <w:tcPr>
            <w:tcW w:type="dxa" w:w="850"/>
            <w:vAlign w:val="center"/>
            <w:tcMar>
              <w:top w:w="80" w:type="dxa"/>
              <w:start w:w="120" w:type="dxa"/>
              <w:bottom w:w="80" w:type="dxa"/>
              <w:end w:w="120" w:type="dxa"/>
            </w:tcMar>
          </w:tcPr>
          <w:p>
            <w:pPr>
              <w:spacing w:before="0" w:after="0" w:line="240" w:lineRule="auto"/>
            </w:pPr>
            <w:r/>
            <w:r>
              <w:rPr>
                <w:rFonts w:ascii="Calibri" w:hAnsi="Calibri"/>
                <w:b w:val="0"/>
                <w:color w:val="0B2545"/>
                <w:sz w:val="16"/>
              </w:rPr>
              <w:t>R-08</w:t>
            </w:r>
          </w:p>
        </w:tc>
        <w:tc>
          <w:tcPr>
            <w:tcW w:type="dxa" w:w="1000"/>
            <w:vAlign w:val="center"/>
            <w:tcMar>
              <w:top w:w="80" w:type="dxa"/>
              <w:start w:w="120" w:type="dxa"/>
              <w:bottom w:w="80" w:type="dxa"/>
              <w:end w:w="120" w:type="dxa"/>
            </w:tcMar>
          </w:tcPr>
          <w:p>
            <w:pPr>
              <w:spacing w:before="0" w:after="0" w:line="240" w:lineRule="auto"/>
            </w:pPr>
            <w:r/>
            <w:r>
              <w:rPr>
                <w:rFonts w:ascii="Calibri" w:hAnsi="Calibri"/>
                <w:b w:val="0"/>
                <w:color w:val="0B2545"/>
                <w:sz w:val="16"/>
              </w:rPr>
              <w:t>Medium</w:t>
            </w:r>
          </w:p>
        </w:tc>
        <w:tc>
          <w:tcPr>
            <w:tcW w:type="dxa" w:w="3500"/>
            <w:vAlign w:val="center"/>
            <w:tcMar>
              <w:top w:w="80" w:type="dxa"/>
              <w:start w:w="120" w:type="dxa"/>
              <w:bottom w:w="80" w:type="dxa"/>
              <w:end w:w="120" w:type="dxa"/>
            </w:tcMar>
          </w:tcPr>
          <w:p>
            <w:pPr>
              <w:spacing w:before="0" w:after="0" w:line="240" w:lineRule="auto"/>
            </w:pPr>
            <w:r/>
            <w:r>
              <w:rPr>
                <w:rFonts w:ascii="Calibri" w:hAnsi="Calibri"/>
                <w:b w:val="0"/>
                <w:color w:val="0B2545"/>
                <w:sz w:val="16"/>
              </w:rPr>
              <w:t>PII use may create privacy/compliance obligations.</w:t>
            </w:r>
          </w:p>
        </w:tc>
        <w:tc>
          <w:tcPr>
            <w:tcW w:type="dxa" w:w="4010"/>
            <w:vAlign w:val="center"/>
            <w:tcMar>
              <w:top w:w="80" w:type="dxa"/>
              <w:start w:w="120" w:type="dxa"/>
              <w:bottom w:w="80" w:type="dxa"/>
              <w:end w:w="120" w:type="dxa"/>
            </w:tcMar>
          </w:tcPr>
          <w:p>
            <w:pPr>
              <w:spacing w:before="0" w:after="0" w:line="240" w:lineRule="auto"/>
            </w:pPr>
            <w:r/>
            <w:r>
              <w:rPr>
                <w:rFonts w:ascii="Calibri" w:hAnsi="Calibri"/>
                <w:b w:val="0"/>
                <w:color w:val="0B2545"/>
                <w:sz w:val="16"/>
              </w:rPr>
              <w:t>Minimize PII, document consent/purpose, conduct privacy review.</w:t>
            </w:r>
          </w:p>
        </w:tc>
      </w:tr>
    </w:tbl>
    <w:p>
      <w:pPr>
        <w:spacing w:after="20"/>
      </w:pPr>
    </w:p>
    <w:p>
      <w:pPr>
        <w:pStyle w:val="Heading2"/>
        <w:keepNext/>
        <w:keepLines/>
      </w:pPr>
      <w:r>
        <w:t>15.1 Decisions Required Before Build Freeze</w:t>
      </w:r>
    </w:p>
    <w:p>
      <w:pPr>
        <w:spacing w:after="60" w:line="259" w:lineRule="auto"/>
        <w:ind w:left="432" w:firstLine="0"/>
      </w:pPr>
      <w:r>
        <w:t>1.  Confirm whether sale_amount represents units, currency, or another normalized target and define treatment of negative zero.</w:t>
        <w:br/>
        <w:t>2.  Define discount scale and policy for values above 1.0.</w:t>
        <w:br/>
        <w:t>3.  Confirm dt format, date range, local time zone, and the hour mapping of both 24-element vectors.</w:t>
        <w:br/>
        <w:t>4.  Confirm weather units/sources and whether future weather forecasts are available at inference time.</w:t>
        <w:br/>
        <w:t>5.  Provide customer, order/basket, invoice/payment, product-cost, and inventory movement data contracts.</w:t>
        <w:br/>
        <w:t>6.  Approve tenant model, expected stores/users, concurrent load, retention, RPO/RTO, and hosting budget.</w:t>
        <w:br/>
        <w:t>7.  Approve churn definition, forecast horizons/granularity, recommendation contexts, and anomaly workload limits.</w:t>
        <w:br/>
        <w:t>8.  Choose ReactJS for production UI or formally accept Streamlit limitations.</w:t>
        <w:br/>
        <w:t>9.  Approve numeric model release thresholds after baseline experiments.</w:t>
        <w:br/>
        <w:t>10.  Assign requirement, data, model, security, and operational owners.</w:t>
      </w:r>
    </w:p>
    <w:p>
      <w:pPr>
        <w:pStyle w:val="Heading1"/>
        <w:keepNext/>
        <w:keepLines/>
      </w:pPr>
      <w:r>
        <w:t>Appendix A - Supplemental Data Contracts</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cantSplit/>
        </w:trPr>
        <w:tc>
          <w:tcPr>
            <w:tcW w:type="dxa" w:w="245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Dataset</w:t>
            </w:r>
          </w:p>
        </w:tc>
        <w:tc>
          <w:tcPr>
            <w:tcW w:type="dxa" w:w="691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6"/>
              </w:rPr>
              <w:t>Minimum required fields</w:t>
            </w:r>
          </w:p>
        </w:tc>
      </w:tr>
      <w:tr>
        <w:trPr>
          <w:cantSplit/>
        </w:trPr>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customers</w:t>
            </w:r>
          </w:p>
        </w:tc>
        <w:tc>
          <w:tcPr>
            <w:tcW w:type="dxa" w:w="6910"/>
            <w:vAlign w:val="center"/>
            <w:tcMar>
              <w:top w:w="80" w:type="dxa"/>
              <w:start w:w="120" w:type="dxa"/>
              <w:bottom w:w="80" w:type="dxa"/>
              <w:end w:w="120" w:type="dxa"/>
            </w:tcMar>
          </w:tcPr>
          <w:p>
            <w:pPr>
              <w:spacing w:before="0" w:after="0" w:line="240" w:lineRule="auto"/>
            </w:pPr>
            <w:r/>
            <w:r>
              <w:rPr>
                <w:rFonts w:ascii="Calibri" w:hAnsi="Calibri"/>
                <w:b w:val="0"/>
                <w:color w:val="0B2545"/>
                <w:sz w:val="16"/>
              </w:rPr>
              <w:t>tenant_id, customer_id, created_at, status, consent flags, assigned store/seller, optional permitted demographics.</w:t>
            </w:r>
          </w:p>
        </w:tc>
      </w:tr>
      <w:tr>
        <w:trPr>
          <w:cantSplit/>
        </w:trPr>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orders/transactions</w:t>
            </w:r>
          </w:p>
        </w:tc>
        <w:tc>
          <w:tcPr>
            <w:tcW w:type="dxa" w:w="6910"/>
            <w:vAlign w:val="center"/>
            <w:tcMar>
              <w:top w:w="80" w:type="dxa"/>
              <w:start w:w="120" w:type="dxa"/>
              <w:bottom w:w="80" w:type="dxa"/>
              <w:end w:w="120" w:type="dxa"/>
            </w:tcMar>
          </w:tcPr>
          <w:p>
            <w:r/>
            <w:r>
              <w:rPr>
                <w:rFonts w:ascii="Aptos" w:hAnsi="Aptos"/>
                <w:b w:val="0"/>
                <w:sz w:val="18"/>
              </w:rPr>
              <w:t>tenant_id, transaction_id, customer/session_id, store/seller_id, event_time, currency, totals, status.</w:t>
            </w:r>
          </w:p>
        </w:tc>
      </w:tr>
      <w:tr>
        <w:trPr>
          <w:cantSplit/>
        </w:trPr>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order_lines</w:t>
            </w:r>
          </w:p>
        </w:tc>
        <w:tc>
          <w:tcPr>
            <w:tcW w:type="dxa" w:w="6910"/>
            <w:vAlign w:val="center"/>
            <w:tcMar>
              <w:top w:w="80" w:type="dxa"/>
              <w:start w:w="120" w:type="dxa"/>
              <w:bottom w:w="80" w:type="dxa"/>
              <w:end w:w="120" w:type="dxa"/>
            </w:tcMar>
          </w:tcPr>
          <w:p>
            <w:pPr>
              <w:spacing w:before="0" w:after="0" w:line="240" w:lineRule="auto"/>
            </w:pPr>
            <w:r/>
            <w:r>
              <w:rPr>
                <w:rFonts w:ascii="Calibri" w:hAnsi="Calibri"/>
                <w:b w:val="0"/>
                <w:color w:val="0B2545"/>
                <w:sz w:val="16"/>
              </w:rPr>
              <w:t>transaction_id, line_id, product_id, quantity, unit_price, discount, tax, cost, return/refund flags.</w:t>
            </w:r>
          </w:p>
        </w:tc>
      </w:tr>
      <w:tr>
        <w:trPr>
          <w:cantSplit/>
        </w:trPr>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inventory_movements</w:t>
            </w:r>
          </w:p>
        </w:tc>
        <w:tc>
          <w:tcPr>
            <w:tcW w:type="dxa" w:w="6910"/>
            <w:vAlign w:val="center"/>
            <w:tcMar>
              <w:top w:w="80" w:type="dxa"/>
              <w:start w:w="120" w:type="dxa"/>
              <w:bottom w:w="80" w:type="dxa"/>
              <w:end w:w="120" w:type="dxa"/>
            </w:tcMar>
          </w:tcPr>
          <w:p>
            <w:pPr>
              <w:spacing w:before="0" w:after="0" w:line="240" w:lineRule="auto"/>
            </w:pPr>
            <w:r/>
            <w:r>
              <w:rPr>
                <w:rFonts w:ascii="Calibri" w:hAnsi="Calibri"/>
                <w:b w:val="0"/>
                <w:color w:val="0B2545"/>
                <w:sz w:val="16"/>
              </w:rPr>
              <w:t>movement_id, store/warehouse, product_id, type, quantity, event_time, source/reference, actor.</w:t>
            </w:r>
          </w:p>
        </w:tc>
      </w:tr>
      <w:tr>
        <w:trPr>
          <w:cantSplit/>
        </w:trPr>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inventory_balances</w:t>
            </w:r>
          </w:p>
        </w:tc>
        <w:tc>
          <w:tcPr>
            <w:tcW w:type="dxa" w:w="6910"/>
            <w:vAlign w:val="center"/>
            <w:tcMar>
              <w:top w:w="80" w:type="dxa"/>
              <w:start w:w="120" w:type="dxa"/>
              <w:bottom w:w="80" w:type="dxa"/>
              <w:end w:w="120" w:type="dxa"/>
            </w:tcMar>
          </w:tcPr>
          <w:p>
            <w:pPr>
              <w:spacing w:before="0" w:after="0" w:line="240" w:lineRule="auto"/>
            </w:pPr>
            <w:r/>
            <w:r>
              <w:rPr>
                <w:rFonts w:ascii="Calibri" w:hAnsi="Calibri"/>
                <w:b w:val="0"/>
                <w:color w:val="0B2545"/>
                <w:sz w:val="16"/>
              </w:rPr>
              <w:t>store/warehouse, product_id, on_hand, reserved, damaged, in_transit, as_of_time.</w:t>
            </w:r>
          </w:p>
        </w:tc>
      </w:tr>
      <w:tr>
        <w:trPr>
          <w:cantSplit/>
        </w:trPr>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invoices/payments</w:t>
            </w:r>
          </w:p>
        </w:tc>
        <w:tc>
          <w:tcPr>
            <w:tcW w:type="dxa" w:w="691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invoice_id, customer, issue/due dates, lines/totals/status; payment_id, amount, method, reference, time/status.</w:t>
            </w:r>
          </w:p>
        </w:tc>
      </w:tr>
      <w:tr>
        <w:trPr>
          <w:cantSplit/>
        </w:trPr>
        <w:tc>
          <w:tcPr>
            <w:tcW w:type="dxa" w:w="2450"/>
            <w:vAlign w:val="center"/>
            <w:tcMar>
              <w:top w:w="80" w:type="dxa"/>
              <w:start w:w="120" w:type="dxa"/>
              <w:bottom w:w="80" w:type="dxa"/>
              <w:end w:w="120" w:type="dxa"/>
            </w:tcMar>
          </w:tcPr>
          <w:p>
            <w:pPr>
              <w:spacing w:before="0" w:after="0" w:line="240" w:lineRule="auto"/>
            </w:pPr>
            <w:r/>
            <w:r>
              <w:rPr>
                <w:rFonts w:ascii="Calibri" w:hAnsi="Calibri"/>
                <w:b w:val="0"/>
                <w:color w:val="0B2545"/>
                <w:sz w:val="16"/>
              </w:rPr>
              <w:t>interactions</w:t>
            </w:r>
          </w:p>
        </w:tc>
        <w:tc>
          <w:tcPr>
            <w:tcW w:type="dxa" w:w="6910"/>
            <w:vAlign w:val="center"/>
            <w:tcMar>
              <w:top w:w="80" w:type="dxa"/>
              <w:start w:w="120" w:type="dxa"/>
              <w:bottom w:w="80" w:type="dxa"/>
              <w:end w:w="120" w:type="dxa"/>
            </w:tcMar>
          </w:tcPr>
          <w:p>
            <w:pPr>
              <w:spacing w:before="0" w:after="0" w:line="240" w:lineRule="auto"/>
            </w:pPr>
            <w:r/>
            <w:r>
              <w:rPr>
                <w:rFonts w:ascii="Calibri" w:hAnsi="Calibri"/>
                <w:b w:val="0"/>
                <w:color w:val="0B2545"/>
                <w:sz w:val="16"/>
              </w:rPr>
              <w:t>event_id, customer/session, context, product, impression/click/add/purchase, event_time, model/version.</w:t>
            </w:r>
          </w:p>
        </w:tc>
      </w:tr>
    </w:tbl>
    <w:p>
      <w:pPr>
        <w:spacing w:after="20"/>
      </w:pPr>
    </w:p>
    <w:p>
      <w:pPr>
        <w:pStyle w:val="Heading1"/>
        <w:keepNext/>
        <w:keepLines/>
      </w:pPr>
      <w:r>
        <w:t>Appendix B - Acceptance Evidence Checklist</w:t>
      </w:r>
    </w:p>
    <w:p>
      <w:pPr>
        <w:pStyle w:val="ListBullet"/>
        <w:spacing w:after="80" w:line="264" w:lineRule="auto"/>
      </w:pPr>
      <w:r>
        <w:rPr>
          <w:rFonts w:ascii="Calibri" w:hAnsi="Calibri"/>
          <w:color w:val="0B2545"/>
        </w:rPr>
        <w:t>Approved SRS and change log.</w:t>
      </w:r>
    </w:p>
    <w:p>
      <w:pPr>
        <w:pStyle w:val="ListBullet"/>
        <w:spacing w:after="80" w:line="264" w:lineRule="auto"/>
      </w:pPr>
      <w:r>
        <w:rPr>
          <w:rFonts w:ascii="Calibri" w:hAnsi="Calibri"/>
          <w:color w:val="0B2545"/>
        </w:rPr>
        <w:t>Architecture, threat model, data model, OpenAPI specification, and deployment diagrams.</w:t>
      </w:r>
    </w:p>
    <w:p>
      <w:pPr>
        <w:pStyle w:val="ListBullet"/>
        <w:spacing w:after="80" w:line="264" w:lineRule="auto"/>
      </w:pPr>
      <w:r>
        <w:rPr>
          <w:rFonts w:ascii="Calibri" w:hAnsi="Calibri"/>
          <w:color w:val="0B2545"/>
        </w:rPr>
        <w:t>Data dictionary, profiling report, validation rules, reconciliation report, and lineage evidence.</w:t>
      </w:r>
    </w:p>
    <w:p>
      <w:pPr>
        <w:pStyle w:val="ListBullet"/>
        <w:spacing w:after="80" w:line="264" w:lineRule="auto"/>
      </w:pPr>
      <w:r>
        <w:rPr>
          <w:rFonts w:ascii="Calibri" w:hAnsi="Calibri"/>
          <w:color w:val="0B2545"/>
        </w:rPr>
        <w:t>Test plan and requirement-to-test traceability report with results.</w:t>
      </w:r>
    </w:p>
    <w:p>
      <w:pPr>
        <w:pStyle w:val="ListBullet"/>
        <w:spacing w:after="80" w:line="264" w:lineRule="auto"/>
      </w:pPr>
      <w:r>
        <w:rPr>
          <w:rFonts w:ascii="Calibri" w:hAnsi="Calibri"/>
          <w:color w:val="0B2545"/>
        </w:rPr>
        <w:t>Model cards, experiment records, baseline comparisons, evaluation/slice metrics, approval records, and monitoring thresholds.</w:t>
      </w:r>
    </w:p>
    <w:p>
      <w:pPr>
        <w:pStyle w:val="ListBullet"/>
        <w:spacing w:after="80" w:line="264" w:lineRule="auto"/>
      </w:pPr>
      <w:r>
        <w:rPr>
          <w:rFonts w:ascii="Calibri" w:hAnsi="Calibri"/>
          <w:color w:val="0B2545"/>
        </w:rPr>
        <w:t>Security scan, access-control/tenant-isolation evidence, privacy review, and secrets/dependency reports.</w:t>
      </w:r>
    </w:p>
    <w:p>
      <w:pPr>
        <w:pStyle w:val="ListBullet"/>
        <w:spacing w:after="80" w:line="264" w:lineRule="auto"/>
      </w:pPr>
      <w:r>
        <w:rPr>
          <w:rFonts w:ascii="Calibri" w:hAnsi="Calibri"/>
          <w:color w:val="0B2545"/>
        </w:rPr>
        <w:t>Performance test report, capacity recommendation, monitoring dashboards, alert routes, and operational runbooks.</w:t>
      </w:r>
    </w:p>
    <w:p>
      <w:pPr>
        <w:pStyle w:val="ListBullet"/>
        <w:spacing w:after="80" w:line="264" w:lineRule="auto"/>
      </w:pPr>
      <w:r>
        <w:rPr>
          <w:rFonts w:ascii="Calibri" w:hAnsi="Calibri"/>
          <w:color w:val="0B2545"/>
        </w:rPr>
        <w:t>Backup restore and application/model rollback evidence.</w:t>
      </w:r>
    </w:p>
    <w:p>
      <w:pPr>
        <w:pStyle w:val="ListBullet"/>
        <w:spacing w:after="80" w:line="264" w:lineRule="auto"/>
      </w:pPr>
      <w:r>
        <w:rPr>
          <w:rFonts w:ascii="Calibri" w:hAnsi="Calibri"/>
          <w:color w:val="0B2545"/>
        </w:rPr>
        <w:t>UAT record signed by representative Business Owner, Store Manager, Sales Executive, and Administrator users.</w:t>
      </w:r>
    </w:p>
    <w:p>
      <w:pPr>
        <w:pStyle w:val="Heading1"/>
        <w:keepNext/>
        <w:keepLines/>
      </w:pPr>
      <w:r>
        <w:t>Appendix C - Requirement Counts</w:t>
      </w:r>
    </w:p>
    <w:tbl>
      <w:tblPr>
        <w:tblStyle w:val="TableGrid"/>
        <w:tblW w:type="dxa" w:w="9360"/>
        <w:jc w:val="left"/>
        <w:tblLayout w:type="fixed"/>
        <w:tblLook w:firstColumn="1" w:firstRow="1" w:lastColumn="0" w:lastRow="0" w:noHBand="0" w:noVBand="1" w:val="04A0"/>
        <w:tblInd w:w="120" w:type="dxa"/>
      </w:tblPr>
      <w:tblGrid>
        <w:gridCol w:w="7000"/>
        <w:gridCol w:w="2360"/>
      </w:tblGrid>
      <w:tr>
        <w:trPr>
          <w:tblHeader w:val="true"/>
        </w:trPr>
        <w:tc>
          <w:tcPr>
            <w:tcW w:type="dxa" w:w="700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Requirement family</w:t>
            </w:r>
          </w:p>
        </w:tc>
        <w:tc>
          <w:tcPr>
            <w:tcW w:type="dxa" w:w="2360"/>
            <w:shd w:fill="F2F4F7"/>
            <w:vAlign w:val="center"/>
            <w:tcMar>
              <w:top w:w="80" w:type="dxa"/>
              <w:start w:w="120" w:type="dxa"/>
              <w:bottom w:w="80" w:type="dxa"/>
              <w:end w:w="120" w:type="dxa"/>
            </w:tcMar>
          </w:tcPr>
          <w:p>
            <w:pPr>
              <w:spacing w:before="0" w:after="0" w:line="240" w:lineRule="auto"/>
            </w:pPr>
            <w:r/>
            <w:r>
              <w:rPr>
                <w:rFonts w:ascii="Calibri" w:hAnsi="Calibri"/>
                <w:b/>
                <w:color w:val="0B2545"/>
                <w:sz w:val="17"/>
              </w:rPr>
              <w:t>Count</w:t>
            </w:r>
          </w:p>
        </w:tc>
      </w:tr>
      <w:tr>
        <w:tc>
          <w:tcPr>
            <w:tcW w:type="dxa" w:w="7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Authentication/RBAC</w:t>
            </w:r>
          </w:p>
        </w:tc>
        <w:tc>
          <w:tcPr>
            <w:tcW w:type="dxa" w:w="2360"/>
            <w:vAlign w:val="center"/>
            <w:tcMar>
              <w:top w:w="80" w:type="dxa"/>
              <w:start w:w="120" w:type="dxa"/>
              <w:bottom w:w="80" w:type="dxa"/>
              <w:end w:w="120" w:type="dxa"/>
            </w:tcMar>
          </w:tcPr>
          <w:p>
            <w:r/>
            <w:r>
              <w:rPr>
                <w:rFonts w:ascii="Aptos" w:hAnsi="Aptos"/>
                <w:b w:val="0"/>
                <w:sz w:val="18"/>
              </w:rPr>
              <w:t>17</w:t>
            </w:r>
          </w:p>
        </w:tc>
      </w:tr>
      <w:tr>
        <w:tc>
          <w:tcPr>
            <w:tcW w:type="dxa" w:w="7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Master data</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t>6</w:t>
            </w:r>
          </w:p>
        </w:tc>
      </w:tr>
      <w:tr>
        <w:tc>
          <w:tcPr>
            <w:tcW w:type="dxa" w:w="7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Upload</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t>10</w:t>
            </w:r>
          </w:p>
        </w:tc>
      </w:tr>
      <w:tr>
        <w:tc>
          <w:tcPr>
            <w:tcW w:type="dxa" w:w="7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Sales</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t>8</w:t>
            </w:r>
          </w:p>
        </w:tc>
      </w:tr>
      <w:tr>
        <w:tc>
          <w:tcPr>
            <w:tcW w:type="dxa" w:w="7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Inventory</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t>10</w:t>
            </w:r>
          </w:p>
        </w:tc>
      </w:tr>
      <w:tr>
        <w:tc>
          <w:tcPr>
            <w:tcW w:type="dxa" w:w="7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Invoices/payments</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t>8</w:t>
            </w:r>
          </w:p>
        </w:tc>
      </w:tr>
      <w:tr>
        <w:tc>
          <w:tcPr>
            <w:tcW w:type="dxa" w:w="7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Dashboards/reports</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t>10</w:t>
            </w:r>
          </w:p>
        </w:tc>
      </w:tr>
      <w:tr>
        <w:tc>
          <w:tcPr>
            <w:tcW w:type="dxa" w:w="7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Segmentation</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t>7</w:t>
            </w:r>
          </w:p>
        </w:tc>
      </w:tr>
      <w:tr>
        <w:tc>
          <w:tcPr>
            <w:tcW w:type="dxa" w:w="7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Forecasting</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t>10</w:t>
            </w:r>
          </w:p>
        </w:tc>
      </w:tr>
      <w:tr>
        <w:tc>
          <w:tcPr>
            <w:tcW w:type="dxa" w:w="7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Churn</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t>8</w:t>
            </w:r>
          </w:p>
        </w:tc>
      </w:tr>
      <w:tr>
        <w:tc>
          <w:tcPr>
            <w:tcW w:type="dxa" w:w="7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Recommendations</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t>8</w:t>
            </w:r>
          </w:p>
        </w:tc>
      </w:tr>
      <w:tr>
        <w:tc>
          <w:tcPr>
            <w:tcW w:type="dxa" w:w="7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Anomaly detection</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t>9</w:t>
            </w:r>
          </w:p>
        </w:tc>
      </w:tr>
      <w:tr>
        <w:tc>
          <w:tcPr>
            <w:tcW w:type="dxa" w:w="7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Administration</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t>9</w:t>
            </w:r>
          </w:p>
        </w:tc>
      </w:tr>
      <w:tr>
        <w:tc>
          <w:tcPr>
            <w:tcW w:type="dxa" w:w="7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Data</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t>10</w:t>
            </w:r>
          </w:p>
        </w:tc>
      </w:tr>
      <w:tr>
        <w:tc>
          <w:tcPr>
            <w:tcW w:type="dxa" w:w="7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AI/ML lifecycle</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t>14</w:t>
            </w:r>
          </w:p>
        </w:tc>
      </w:tr>
      <w:tr>
        <w:tc>
          <w:tcPr>
            <w:tcW w:type="dxa" w:w="7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Non-functional</w:t>
            </w:r>
          </w:p>
        </w:tc>
        <w:tc>
          <w:tcPr>
            <w:tcW w:type="dxa" w:w="2360"/>
            <w:vAlign w:val="center"/>
            <w:tcMar>
              <w:top w:w="80" w:type="dxa"/>
              <w:start w:w="120" w:type="dxa"/>
              <w:bottom w:w="80" w:type="dxa"/>
              <w:end w:w="120" w:type="dxa"/>
            </w:tcMar>
          </w:tcPr>
          <w:p>
            <w:pPr>
              <w:spacing w:before="0" w:after="0" w:line="240" w:lineRule="auto"/>
            </w:pPr>
            <w:r/>
            <w:r>
              <w:rPr>
                <w:rFonts w:ascii="Calibri" w:hAnsi="Calibri"/>
                <w:b w:val="0"/>
                <w:color w:val="0B2545"/>
                <w:sz w:val="17"/>
              </w:rPr>
              <w:t>32</w:t>
            </w:r>
          </w:p>
        </w:tc>
      </w:tr>
      <w:tr>
        <w:tc>
          <w:tcPr>
            <w:tcW w:type="dxa" w:w="7000"/>
            <w:vAlign w:val="center"/>
            <w:tcMar>
              <w:top w:w="80" w:type="dxa"/>
              <w:start w:w="120" w:type="dxa"/>
              <w:bottom w:w="80" w:type="dxa"/>
              <w:end w:w="120" w:type="dxa"/>
            </w:tcMar>
          </w:tcPr>
          <w:p>
            <w:pPr>
              <w:spacing w:before="0" w:after="0" w:line="240" w:lineRule="auto"/>
            </w:pPr>
            <w:r/>
            <w:r>
              <w:rPr>
                <w:rFonts w:ascii="Calibri" w:hAnsi="Calibri"/>
                <w:b w:val="0"/>
                <w:color w:val="0B2545"/>
                <w:sz w:val="17"/>
              </w:rPr>
              <w:t>Total enumerated requirements</w:t>
            </w:r>
          </w:p>
        </w:tc>
        <w:tc>
          <w:tcPr>
            <w:tcW w:type="dxa" w:w="2360"/>
            <w:vAlign w:val="center"/>
            <w:tcMar>
              <w:top w:w="80" w:type="dxa"/>
              <w:start w:w="120" w:type="dxa"/>
              <w:bottom w:w="80" w:type="dxa"/>
              <w:end w:w="120" w:type="dxa"/>
            </w:tcMar>
          </w:tcPr>
          <w:p>
            <w:r/>
            <w:r>
              <w:rPr>
                <w:rFonts w:ascii="Aptos" w:hAnsi="Aptos"/>
                <w:b w:val="0"/>
                <w:sz w:val="18"/>
              </w:rPr>
              <w:t>176</w:t>
            </w:r>
          </w:p>
        </w:tc>
      </w:tr>
    </w:tbl>
    <w:p>
      <w:pPr>
        <w:spacing w:after="20"/>
      </w:pPr>
    </w:p>
    <w:p>
      <w:pPr>
        <w:spacing w:after="120" w:line="264" w:lineRule="auto"/>
      </w:pPr>
      <w:r>
        <w:rPr>
          <w:i/>
        </w:rPr>
        <w:t>Revision 1.1 implementation alignment continues in Appendix D.</w:t>
      </w:r>
    </w:p>
    <w:p>
      <w:pPr>
        <w:pStyle w:val="Heading1"/>
      </w:pPr>
      <w:r>
        <w:t>Appendix D - Revision 1.1 Implementation Alignment</w:t>
      </w:r>
    </w:p>
    <w:p>
      <w:pPr>
        <w:spacing w:after="20" w:line="240" w:lineRule="auto"/>
      </w:pPr>
      <w:r>
        <w:rPr>
          <w:rFonts w:ascii="Aptos" w:hAnsi="Aptos"/>
          <w:b/>
          <w:sz w:val="19"/>
        </w:rPr>
        <w:t xml:space="preserve">Status snapshot. </w:t>
      </w:r>
      <w:r>
        <w:rPr>
          <w:rFonts w:ascii="Aptos" w:hAnsi="Aptos"/>
          <w:sz w:val="19"/>
        </w:rPr>
        <w:t>This appendix records the requirements verified in the working Garvitk001 implementation as of 20 August 2026. It does not change the long-term product vision. Milestones 3 and 4 remain future work and must pass their own acceptance gates before they are presented as complete.</w:t>
      </w:r>
    </w:p>
    <w:p>
      <w:pPr>
        <w:pStyle w:val="Heading2"/>
      </w:pPr>
      <w:r>
        <w:t>D.1 Identity, employee access and recovery</w:t>
      </w:r>
    </w:p>
    <w:tbl>
      <w:tblPr>
        <w:tblStyle w:val="TableGrid"/>
        <w:tblW w:type="dxa" w:w="9360"/>
        <w:jc w:val="left"/>
        <w:tblLayout w:type="fixed"/>
        <w:tblLook w:firstColumn="1" w:firstRow="1" w:lastColumn="0" w:lastRow="0" w:noHBand="0" w:noVBand="1" w:val="04A0"/>
      </w:tblPr>
      <w:tblGrid>
        <w:gridCol w:w="1512"/>
        <w:gridCol w:w="5616"/>
        <w:gridCol w:w="2232"/>
      </w:tblGrid>
      <w:tr>
        <w:tc>
          <w:tcPr>
            <w:tcW w:type="dxa" w:w="1512"/>
            <w:shd w:fill="24335A"/>
            <w:vAlign w:val="center"/>
          </w:tcPr>
          <w:p>
            <w:r/>
            <w:r>
              <w:rPr>
                <w:rFonts w:ascii="Aptos" w:hAnsi="Aptos"/>
                <w:b/>
                <w:color w:val="FFFFFF"/>
                <w:sz w:val="18"/>
              </w:rPr>
              <w:t>ID</w:t>
            </w:r>
          </w:p>
        </w:tc>
        <w:tc>
          <w:tcPr>
            <w:tcW w:type="dxa" w:w="5616"/>
            <w:shd w:fill="24335A"/>
            <w:vAlign w:val="center"/>
          </w:tcPr>
          <w:p>
            <w:r/>
            <w:r>
              <w:rPr>
                <w:rFonts w:ascii="Aptos" w:hAnsi="Aptos"/>
                <w:b/>
                <w:color w:val="FFFFFF"/>
                <w:sz w:val="18"/>
              </w:rPr>
              <w:t>Updated requirement</w:t>
            </w:r>
          </w:p>
        </w:tc>
        <w:tc>
          <w:tcPr>
            <w:tcW w:type="dxa" w:w="2232"/>
            <w:shd w:fill="24335A"/>
            <w:vAlign w:val="center"/>
          </w:tcPr>
          <w:p>
            <w:r/>
            <w:r>
              <w:rPr>
                <w:rFonts w:ascii="Aptos" w:hAnsi="Aptos"/>
                <w:b/>
                <w:color w:val="FFFFFF"/>
                <w:sz w:val="18"/>
              </w:rPr>
              <w:t>Acceptance evidence</w:t>
            </w:r>
          </w:p>
        </w:tc>
      </w:tr>
      <w:tr>
        <w:tc>
          <w:tcPr>
            <w:tcW w:type="dxa" w:w="1512"/>
            <w:vAlign w:val="center"/>
          </w:tcPr>
          <w:p>
            <w:pPr>
              <w:spacing w:after="40"/>
            </w:pPr>
            <w:r>
              <w:rPr>
                <w:rFonts w:ascii="Aptos" w:hAnsi="Aptos"/>
                <w:sz w:val="18"/>
              </w:rPr>
            </w:r>
            <w:r>
              <w:rPr>
                <w:rFonts w:ascii="Aptos" w:hAnsi="Aptos"/>
                <w:b w:val="0"/>
                <w:sz w:val="18"/>
              </w:rPr>
              <w:t>FR-AUTH-013</w:t>
            </w:r>
          </w:p>
        </w:tc>
        <w:tc>
          <w:tcPr>
            <w:tcW w:type="dxa" w:w="5616"/>
            <w:vAlign w:val="center"/>
          </w:tcPr>
          <w:p>
            <w:pPr>
              <w:spacing w:after="40"/>
            </w:pPr>
            <w:r>
              <w:rPr>
                <w:rFonts w:ascii="Aptos" w:hAnsi="Aptos"/>
                <w:sz w:val="18"/>
              </w:rPr>
            </w:r>
            <w:r>
              <w:rPr>
                <w:rFonts w:ascii="Aptos" w:hAnsi="Aptos"/>
                <w:b w:val="0"/>
                <w:sz w:val="18"/>
              </w:rPr>
              <w:t>Business Owner is the only public self-registration role. A new account remains pending until its one-time email verification token is accepted.</w:t>
            </w:r>
          </w:p>
        </w:tc>
        <w:tc>
          <w:tcPr>
            <w:tcW w:type="dxa" w:w="2232"/>
            <w:vAlign w:val="center"/>
          </w:tcPr>
          <w:p>
            <w:pPr>
              <w:spacing w:after="40"/>
            </w:pPr>
            <w:r>
              <w:rPr>
                <w:rFonts w:ascii="Aptos" w:hAnsi="Aptos"/>
                <w:sz w:val="18"/>
              </w:rPr>
            </w:r>
            <w:r>
              <w:rPr>
                <w:rFonts w:ascii="Aptos" w:hAnsi="Aptos"/>
                <w:b w:val="0"/>
                <w:sz w:val="18"/>
              </w:rPr>
              <w:t>Registration, verification and denied-unverified-login tests.</w:t>
            </w:r>
          </w:p>
        </w:tc>
      </w:tr>
      <w:tr>
        <w:tc>
          <w:tcPr>
            <w:tcW w:type="dxa" w:w="1512"/>
            <w:vAlign w:val="center"/>
            <w:shd w:fill="EEF2F8"/>
          </w:tcPr>
          <w:p>
            <w:pPr>
              <w:spacing w:after="40"/>
            </w:pPr>
            <w:r>
              <w:rPr>
                <w:rFonts w:ascii="Aptos" w:hAnsi="Aptos"/>
                <w:sz w:val="18"/>
              </w:rPr>
            </w:r>
            <w:r>
              <w:rPr>
                <w:rFonts w:ascii="Aptos" w:hAnsi="Aptos"/>
                <w:b w:val="0"/>
                <w:sz w:val="18"/>
              </w:rPr>
              <w:t>FR-AUTH-014</w:t>
            </w:r>
          </w:p>
        </w:tc>
        <w:tc>
          <w:tcPr>
            <w:tcW w:type="dxa" w:w="5616"/>
            <w:vAlign w:val="center"/>
            <w:shd w:fill="EEF2F8"/>
          </w:tcPr>
          <w:p>
            <w:pPr>
              <w:spacing w:after="40"/>
            </w:pPr>
            <w:r>
              <w:rPr>
                <w:rFonts w:ascii="Aptos" w:hAnsi="Aptos"/>
                <w:sz w:val="18"/>
              </w:rPr>
            </w:r>
            <w:r>
              <w:rPr>
                <w:rFonts w:ascii="Aptos" w:hAnsi="Aptos"/>
                <w:b w:val="0"/>
                <w:sz w:val="18"/>
              </w:rPr>
              <w:t>A Business Owner may invite only a Store Manager or Sales Executive inside the same tenant. A valid assigned store and a confirmed work email are required. The employee sets a password during one-time activation and cannot sign in beforehand.</w:t>
            </w:r>
          </w:p>
        </w:tc>
        <w:tc>
          <w:tcPr>
            <w:tcW w:type="dxa" w:w="2232"/>
            <w:vAlign w:val="center"/>
            <w:shd w:fill="EEF2F8"/>
          </w:tcPr>
          <w:p>
            <w:pPr>
              <w:spacing w:after="40"/>
            </w:pPr>
            <w:r>
              <w:rPr>
                <w:rFonts w:ascii="Aptos" w:hAnsi="Aptos"/>
                <w:sz w:val="18"/>
              </w:rPr>
            </w:r>
            <w:r>
              <w:rPr>
                <w:rFonts w:ascii="Aptos" w:hAnsi="Aptos"/>
                <w:b w:val="0"/>
                <w:sz w:val="18"/>
              </w:rPr>
              <w:t>Owner-only invitation, tenant/store scope and activation tests.</w:t>
            </w:r>
          </w:p>
        </w:tc>
      </w:tr>
      <w:tr>
        <w:tc>
          <w:tcPr>
            <w:tcW w:type="dxa" w:w="1512"/>
            <w:vAlign w:val="center"/>
          </w:tcPr>
          <w:p>
            <w:pPr>
              <w:spacing w:after="40"/>
            </w:pPr>
            <w:r>
              <w:rPr>
                <w:rFonts w:ascii="Aptos" w:hAnsi="Aptos"/>
                <w:sz w:val="18"/>
              </w:rPr>
            </w:r>
            <w:r>
              <w:rPr>
                <w:rFonts w:ascii="Aptos" w:hAnsi="Aptos"/>
                <w:b w:val="0"/>
                <w:sz w:val="18"/>
              </w:rPr>
              <w:t>FR-AUTH-015</w:t>
            </w:r>
          </w:p>
        </w:tc>
        <w:tc>
          <w:tcPr>
            <w:tcW w:type="dxa" w:w="5616"/>
            <w:vAlign w:val="center"/>
          </w:tcPr>
          <w:p>
            <w:pPr>
              <w:spacing w:after="40"/>
            </w:pPr>
            <w:r>
              <w:rPr>
                <w:rFonts w:ascii="Aptos" w:hAnsi="Aptos"/>
                <w:sz w:val="18"/>
              </w:rPr>
            </w:r>
            <w:r>
              <w:rPr>
                <w:rFonts w:ascii="Aptos" w:hAnsi="Aptos"/>
                <w:b w:val="0"/>
                <w:sz w:val="18"/>
              </w:rPr>
              <w:t>Password recovery shall return a generic response, deliver a short-lived one-time token to the registered email, replace the password after validation and revoke prior sessions.</w:t>
            </w:r>
          </w:p>
        </w:tc>
        <w:tc>
          <w:tcPr>
            <w:tcW w:type="dxa" w:w="2232"/>
            <w:vAlign w:val="center"/>
          </w:tcPr>
          <w:p>
            <w:pPr>
              <w:spacing w:after="40"/>
            </w:pPr>
            <w:r>
              <w:rPr>
                <w:rFonts w:ascii="Aptos" w:hAnsi="Aptos"/>
                <w:sz w:val="18"/>
              </w:rPr>
            </w:r>
            <w:r>
              <w:rPr>
                <w:rFonts w:ascii="Aptos" w:hAnsi="Aptos"/>
                <w:b w:val="0"/>
                <w:sz w:val="18"/>
              </w:rPr>
              <w:t>Positive, expired/used-token and account-enumeration tests.</w:t>
            </w:r>
          </w:p>
        </w:tc>
      </w:tr>
      <w:tr>
        <w:tc>
          <w:tcPr>
            <w:tcW w:type="dxa" w:w="1512"/>
            <w:vAlign w:val="center"/>
            <w:shd w:fill="EEF2F8"/>
          </w:tcPr>
          <w:p>
            <w:pPr>
              <w:spacing w:after="40"/>
            </w:pPr>
            <w:r>
              <w:rPr>
                <w:rFonts w:ascii="Aptos" w:hAnsi="Aptos"/>
                <w:sz w:val="18"/>
              </w:rPr>
            </w:r>
            <w:r>
              <w:rPr>
                <w:rFonts w:ascii="Aptos" w:hAnsi="Aptos"/>
                <w:b w:val="0"/>
                <w:sz w:val="18"/>
              </w:rPr>
              <w:t>FR-AUTH-016</w:t>
            </w:r>
          </w:p>
        </w:tc>
        <w:tc>
          <w:tcPr>
            <w:tcW w:type="dxa" w:w="5616"/>
            <w:vAlign w:val="center"/>
            <w:shd w:fill="EEF2F8"/>
          </w:tcPr>
          <w:p>
            <w:pPr>
              <w:spacing w:after="40"/>
            </w:pPr>
            <w:r>
              <w:rPr>
                <w:rFonts w:ascii="Aptos" w:hAnsi="Aptos"/>
                <w:sz w:val="18"/>
              </w:rPr>
            </w:r>
            <w:r>
              <w:rPr>
                <w:rFonts w:ascii="Aptos" w:hAnsi="Aptos"/>
                <w:b w:val="0"/>
                <w:sz w:val="18"/>
              </w:rPr>
              <w:t>Development may display one-time tokens for local evaluation. Production shall require configured SMTP delivery and shall not expose those tokens in API responses.</w:t>
            </w:r>
          </w:p>
        </w:tc>
        <w:tc>
          <w:tcPr>
            <w:tcW w:type="dxa" w:w="2232"/>
            <w:vAlign w:val="center"/>
            <w:shd w:fill="EEF2F8"/>
          </w:tcPr>
          <w:p>
            <w:pPr>
              <w:spacing w:after="40"/>
            </w:pPr>
            <w:r>
              <w:rPr>
                <w:rFonts w:ascii="Aptos" w:hAnsi="Aptos"/>
                <w:sz w:val="18"/>
              </w:rPr>
            </w:r>
            <w:r>
              <w:rPr>
                <w:rFonts w:ascii="Aptos" w:hAnsi="Aptos"/>
                <w:b w:val="0"/>
                <w:sz w:val="18"/>
              </w:rPr>
              <w:t>Environment and production-mode configuration tests.</w:t>
            </w:r>
          </w:p>
        </w:tc>
      </w:tr>
      <w:tr>
        <w:tc>
          <w:tcPr>
            <w:tcW w:type="dxa" w:w="1512"/>
            <w:vAlign w:val="center"/>
          </w:tcPr>
          <w:p>
            <w:pPr>
              <w:spacing w:after="40"/>
            </w:pPr>
            <w:r>
              <w:rPr>
                <w:rFonts w:ascii="Aptos" w:hAnsi="Aptos"/>
                <w:sz w:val="18"/>
              </w:rPr>
            </w:r>
            <w:r>
              <w:rPr>
                <w:rFonts w:ascii="Aptos" w:hAnsi="Aptos"/>
                <w:b w:val="0"/>
                <w:sz w:val="18"/>
              </w:rPr>
              <w:t>FR-AUTH-017</w:t>
            </w:r>
          </w:p>
        </w:tc>
        <w:tc>
          <w:tcPr>
            <w:tcW w:type="dxa" w:w="5616"/>
            <w:vAlign w:val="center"/>
          </w:tcPr>
          <w:p>
            <w:pPr>
              <w:spacing w:after="40"/>
            </w:pPr>
            <w:r>
              <w:rPr>
                <w:rFonts w:ascii="Aptos" w:hAnsi="Aptos"/>
                <w:sz w:val="18"/>
              </w:rPr>
            </w:r>
            <w:r>
              <w:rPr>
                <w:rFonts w:ascii="Aptos" w:hAnsi="Aptos"/>
                <w:b w:val="0"/>
                <w:sz w:val="18"/>
              </w:rPr>
              <w:t>The current release shall have one internally provisioned Platform Administrator. The account requires MFA and is not available through public registration or owner invitations.</w:t>
            </w:r>
          </w:p>
        </w:tc>
        <w:tc>
          <w:tcPr>
            <w:tcW w:type="dxa" w:w="2232"/>
            <w:vAlign w:val="center"/>
          </w:tcPr>
          <w:p>
            <w:pPr>
              <w:spacing w:after="40"/>
            </w:pPr>
            <w:r>
              <w:rPr>
                <w:rFonts w:ascii="Aptos" w:hAnsi="Aptos"/>
                <w:sz w:val="18"/>
              </w:rPr>
            </w:r>
            <w:r>
              <w:rPr>
                <w:rFonts w:ascii="Aptos" w:hAnsi="Aptos"/>
                <w:b w:val="0"/>
                <w:sz w:val="18"/>
              </w:rPr>
              <w:t>Seed, role restriction, MFA and audit tests.</w:t>
            </w:r>
          </w:p>
        </w:tc>
      </w:tr>
    </w:tbl>
    <w:p>
      <w:pPr>
        <w:pStyle w:val="Heading2"/>
      </w:pPr>
      <w:r>
        <w:t>D.2 Implemented application scope</w:t>
      </w:r>
    </w:p>
    <w:p>
      <w:pPr>
        <w:pStyle w:val="ListBullet"/>
        <w:spacing w:after="20" w:line="240" w:lineRule="auto"/>
      </w:pPr>
      <w:r>
        <w:rPr>
          <w:rFonts w:ascii="Aptos" w:hAnsi="Aptos"/>
          <w:sz w:val="19"/>
        </w:rPr>
        <w:t>Authentication and security: Argon2 password hashing, JWT access/refresh sessions, session revocation, administrator TOTP MFA, login throttling, audit events and optional SMTP/TLS email delivery.</w:t>
      </w:r>
    </w:p>
    <w:p>
      <w:pPr>
        <w:pStyle w:val="ListBullet"/>
        <w:spacing w:after="20" w:line="240" w:lineRule="auto"/>
      </w:pPr>
      <w:r>
        <w:rPr>
          <w:rFonts w:ascii="Aptos" w:hAnsi="Aptos"/>
          <w:sz w:val="19"/>
        </w:rPr>
        <w:t>Business onboarding: guided checklist, store creation, CSV templates, validation preview, import progress/error reporting, sample data and forecast-readiness checks.</w:t>
      </w:r>
    </w:p>
    <w:p>
      <w:pPr>
        <w:pStyle w:val="ListBullet"/>
        <w:spacing w:after="20" w:line="240" w:lineRule="auto"/>
      </w:pPr>
      <w:r>
        <w:rPr>
          <w:rFonts w:ascii="Aptos" w:hAnsi="Aptos"/>
          <w:sz w:val="19"/>
        </w:rPr>
        <w:t>Operational data: products, opening inventory, customers, multi-line sales, stock-safe sale entry, void/reversal handling and idempotent dataset-to-database imports.</w:t>
      </w:r>
    </w:p>
    <w:p>
      <w:pPr>
        <w:pStyle w:val="ListBullet"/>
        <w:spacing w:after="20" w:line="240" w:lineRule="auto"/>
      </w:pPr>
      <w:r>
        <w:rPr>
          <w:rFonts w:ascii="Aptos" w:hAnsi="Aptos"/>
          <w:sz w:val="19"/>
        </w:rPr>
        <w:t>Role workspaces: Business Owner business KPIs and team performance; Store Manager store sales, inventory and demand; Sales Executive personal sales, customers and targets; Administrator security, audit and model monitoring.</w:t>
      </w:r>
    </w:p>
    <w:p>
      <w:pPr>
        <w:pStyle w:val="ListBullet"/>
        <w:spacing w:after="20" w:line="240" w:lineRule="auto"/>
      </w:pPr>
      <w:r>
        <w:rPr>
          <w:rFonts w:ascii="Aptos" w:hAnsi="Aptos"/>
          <w:sz w:val="19"/>
        </w:rPr>
        <w:t>User experience: English/Hindi landing content, light/dark theme, role-aware navigation, profile and personalized settings, readable sign-in/recovery/activation screens and useful empty states.</w:t>
      </w:r>
    </w:p>
    <w:p>
      <w:pPr>
        <w:pStyle w:val="ListBullet"/>
        <w:spacing w:after="20" w:line="240" w:lineRule="auto"/>
      </w:pPr>
      <w:r>
        <w:rPr>
          <w:rFonts w:ascii="Aptos" w:hAnsi="Aptos"/>
          <w:sz w:val="19"/>
        </w:rPr>
        <w:t>Operational intelligence: database-backed low-inventory, revenue movement, daily-target and customer decline alerts. These are evidence-based rules, not a claim that the Milestone 3 anomaly model is complete.</w:t>
      </w:r>
    </w:p>
    <w:p>
      <w:pPr>
        <w:pStyle w:val="Heading2"/>
      </w:pPr>
      <w:r>
        <w:t>D.3 Milestone 2 data and model controls</w:t>
      </w:r>
    </w:p>
    <w:p>
      <w:pPr>
        <w:pStyle w:val="ListBullet"/>
        <w:spacing w:after="20" w:line="240" w:lineRule="auto"/>
      </w:pPr>
      <w:r>
        <w:rPr>
          <w:rFonts w:ascii="Aptos" w:hAnsi="Aptos"/>
          <w:sz w:val="19"/>
        </w:rPr>
        <w:t>Customer segmentation uses cleaned customer transaction history to build recency, frequency, monetary, tenure and engagement features. K-Means is compared with hierarchical clustering, and the approved run is stored with version, features, metrics and customer assignments.</w:t>
      </w:r>
    </w:p>
    <w:p>
      <w:pPr>
        <w:pStyle w:val="ListBullet"/>
        <w:spacing w:after="20" w:line="240" w:lineRule="auto"/>
      </w:pPr>
      <w:r>
        <w:rPr>
          <w:rFonts w:ascii="Aptos" w:hAnsi="Aptos"/>
          <w:sz w:val="19"/>
        </w:rPr>
        <w:t>Forecasting uses chronological validation. Business revenue compares Seasonal Naive, Prophet, Linear Trend, XGBoost and Random Forest candidates; store/product demand compares Seasonal Naive, XGBoost and Random Forest; personal sales is trained only from the authorized seller history.</w:t>
      </w:r>
    </w:p>
    <w:p>
      <w:pPr>
        <w:pStyle w:val="ListBullet"/>
        <w:spacing w:after="20" w:line="240" w:lineRule="auto"/>
      </w:pPr>
      <w:r>
        <w:rPr>
          <w:rFonts w:ascii="Aptos" w:hAnsi="Aptos"/>
          <w:sz w:val="19"/>
        </w:rPr>
        <w:t>Forecast responses keep recorded actual history separate from future predictions, support 7, 14 and 30 day horizons, and include model version, generated time, metrics and prediction ranges.</w:t>
      </w:r>
    </w:p>
    <w:p>
      <w:pPr>
        <w:pStyle w:val="ListBullet"/>
        <w:spacing w:after="20" w:line="240" w:lineRule="auto"/>
      </w:pPr>
      <w:r>
        <w:rPr>
          <w:rFonts w:ascii="Aptos" w:hAnsi="Aptos"/>
          <w:sz w:val="19"/>
        </w:rPr>
        <w:t>The Parquet sale_amount target is labelled source_unit until the provider supplies an approved business definition. Unknown store/product mappings remain unmapped instead of being guessed.</w:t>
      </w:r>
    </w:p>
    <w:p>
      <w:pPr>
        <w:pStyle w:val="ListBullet"/>
        <w:spacing w:after="20" w:line="240" w:lineRule="auto"/>
      </w:pPr>
      <w:r>
        <w:rPr>
          <w:rFonts w:ascii="Aptos" w:hAnsi="Aptos"/>
          <w:sz w:val="19"/>
        </w:rPr>
        <w:t>Tenant training publishes no fabricated insights: revenue requires 30 completed dated sales across 30 days; demand requires an eligible SKU/store series with 30 records across 30 days; segmentation requires 20 customers. Forecasts must beat the last-value baseline by 2%, and clustering must reach a Silhouette Score of 0.20. Failed gates remain recorded but are not served as active models.</w:t>
      </w:r>
    </w:p>
    <w:p>
      <w:pPr>
        <w:pStyle w:val="Heading2"/>
      </w:pPr>
      <w:r>
        <w:t>D.4 Interface and integration baseline</w:t>
      </w:r>
    </w:p>
    <w:tbl>
      <w:tblPr>
        <w:tblStyle w:val="TableGrid"/>
        <w:tblW w:type="dxa" w:w="9360"/>
        <w:jc w:val="left"/>
        <w:tblLayout w:type="fixed"/>
        <w:tblLook w:firstColumn="1" w:firstRow="1" w:lastColumn="0" w:lastRow="0" w:noHBand="0" w:noVBand="1" w:val="04A0"/>
      </w:tblPr>
      <w:tblGrid>
        <w:gridCol w:w="1584"/>
        <w:gridCol w:w="3024"/>
        <w:gridCol w:w="4752"/>
      </w:tblGrid>
      <w:tr>
        <w:tc>
          <w:tcPr>
            <w:tcW w:type="dxa" w:w="1584"/>
            <w:shd w:fill="24335A"/>
            <w:vAlign w:val="center"/>
          </w:tcPr>
          <w:p>
            <w:r/>
            <w:r>
              <w:rPr>
                <w:rFonts w:ascii="Aptos" w:hAnsi="Aptos"/>
                <w:b/>
                <w:color w:val="FFFFFF"/>
                <w:sz w:val="18"/>
              </w:rPr>
              <w:t>Area</w:t>
            </w:r>
          </w:p>
        </w:tc>
        <w:tc>
          <w:tcPr>
            <w:tcW w:type="dxa" w:w="3024"/>
            <w:shd w:fill="24335A"/>
            <w:vAlign w:val="center"/>
          </w:tcPr>
          <w:p>
            <w:r/>
            <w:r>
              <w:rPr>
                <w:rFonts w:ascii="Aptos" w:hAnsi="Aptos"/>
                <w:b/>
                <w:color w:val="FFFFFF"/>
                <w:sz w:val="18"/>
              </w:rPr>
              <w:t>Primary API group</w:t>
            </w:r>
          </w:p>
        </w:tc>
        <w:tc>
          <w:tcPr>
            <w:tcW w:type="dxa" w:w="4752"/>
            <w:shd w:fill="24335A"/>
            <w:vAlign w:val="center"/>
          </w:tcPr>
          <w:p>
            <w:r/>
            <w:r>
              <w:rPr>
                <w:rFonts w:ascii="Aptos" w:hAnsi="Aptos"/>
                <w:b/>
                <w:color w:val="FFFFFF"/>
                <w:sz w:val="18"/>
              </w:rPr>
              <w:t>Implemented behavior</w:t>
            </w:r>
          </w:p>
        </w:tc>
      </w:tr>
      <w:tr>
        <w:tc>
          <w:tcPr>
            <w:tcW w:type="dxa" w:w="1584"/>
            <w:vAlign w:val="center"/>
          </w:tcPr>
          <w:p>
            <w:pPr>
              <w:spacing w:after="40"/>
            </w:pPr>
            <w:r>
              <w:rPr>
                <w:rFonts w:ascii="Aptos" w:hAnsi="Aptos"/>
                <w:sz w:val="18"/>
              </w:rPr>
            </w:r>
            <w:r>
              <w:rPr>
                <w:rFonts w:ascii="Aptos" w:hAnsi="Aptos"/>
                <w:b w:val="0"/>
                <w:sz w:val="18"/>
              </w:rPr>
              <w:t>Identity</w:t>
            </w:r>
          </w:p>
        </w:tc>
        <w:tc>
          <w:tcPr>
            <w:tcW w:type="dxa" w:w="3024"/>
            <w:vAlign w:val="center"/>
          </w:tcPr>
          <w:p>
            <w:pPr>
              <w:spacing w:after="40"/>
            </w:pPr>
            <w:r>
              <w:rPr>
                <w:rFonts w:ascii="Aptos" w:hAnsi="Aptos"/>
                <w:sz w:val="18"/>
              </w:rPr>
            </w:r>
            <w:r>
              <w:rPr>
                <w:rFonts w:ascii="Aptos" w:hAnsi="Aptos"/>
                <w:b w:val="0"/>
                <w:sz w:val="18"/>
              </w:rPr>
              <w:t>/api/v1/auth/*</w:t>
            </w:r>
          </w:p>
        </w:tc>
        <w:tc>
          <w:tcPr>
            <w:tcW w:type="dxa" w:w="4752"/>
            <w:vAlign w:val="center"/>
          </w:tcPr>
          <w:p>
            <w:pPr>
              <w:spacing w:after="40"/>
            </w:pPr>
            <w:r>
              <w:rPr>
                <w:rFonts w:ascii="Aptos" w:hAnsi="Aptos"/>
                <w:sz w:val="18"/>
              </w:rPr>
            </w:r>
            <w:r>
              <w:rPr>
                <w:rFonts w:ascii="Aptos" w:hAnsi="Aptos"/>
                <w:b w:val="0"/>
                <w:sz w:val="18"/>
              </w:rPr>
              <w:t>Registration, verification, login, refresh, logout, MFA and password recovery.</w:t>
            </w:r>
          </w:p>
        </w:tc>
      </w:tr>
      <w:tr>
        <w:tc>
          <w:tcPr>
            <w:tcW w:type="dxa" w:w="1584"/>
            <w:vAlign w:val="center"/>
            <w:shd w:fill="EEF2F8"/>
          </w:tcPr>
          <w:p>
            <w:pPr>
              <w:spacing w:after="40"/>
            </w:pPr>
            <w:r>
              <w:rPr>
                <w:rFonts w:ascii="Aptos" w:hAnsi="Aptos"/>
                <w:sz w:val="18"/>
              </w:rPr>
            </w:r>
            <w:r>
              <w:rPr>
                <w:rFonts w:ascii="Aptos" w:hAnsi="Aptos"/>
                <w:b w:val="0"/>
                <w:sz w:val="18"/>
              </w:rPr>
              <w:t>Workforce</w:t>
            </w:r>
          </w:p>
        </w:tc>
        <w:tc>
          <w:tcPr>
            <w:tcW w:type="dxa" w:w="3024"/>
            <w:vAlign w:val="center"/>
            <w:shd w:fill="EEF2F8"/>
          </w:tcPr>
          <w:p>
            <w:pPr>
              <w:spacing w:after="40"/>
            </w:pPr>
            <w:r>
              <w:rPr>
                <w:rFonts w:ascii="Aptos" w:hAnsi="Aptos"/>
                <w:sz w:val="18"/>
              </w:rPr>
            </w:r>
            <w:r>
              <w:rPr>
                <w:rFonts w:ascii="Aptos" w:hAnsi="Aptos"/>
                <w:b w:val="0"/>
                <w:sz w:val="18"/>
              </w:rPr>
              <w:t>/api/v1/users; /api/v1/team</w:t>
            </w:r>
          </w:p>
        </w:tc>
        <w:tc>
          <w:tcPr>
            <w:tcW w:type="dxa" w:w="4752"/>
            <w:vAlign w:val="center"/>
            <w:shd w:fill="EEF2F8"/>
          </w:tcPr>
          <w:p>
            <w:pPr>
              <w:spacing w:after="40"/>
            </w:pPr>
            <w:r>
              <w:rPr>
                <w:rFonts w:ascii="Aptos" w:hAnsi="Aptos"/>
                <w:sz w:val="18"/>
              </w:rPr>
            </w:r>
            <w:r>
              <w:rPr>
                <w:rFonts w:ascii="Aptos" w:hAnsi="Aptos"/>
                <w:b w:val="0"/>
                <w:sz w:val="18"/>
              </w:rPr>
              <w:t>Owner-scoped invitations, activation, employee profiles, targets and performance.</w:t>
            </w:r>
          </w:p>
        </w:tc>
      </w:tr>
      <w:tr>
        <w:tc>
          <w:tcPr>
            <w:tcW w:type="dxa" w:w="1584"/>
            <w:vAlign w:val="center"/>
          </w:tcPr>
          <w:p>
            <w:pPr>
              <w:spacing w:after="40"/>
            </w:pPr>
            <w:r>
              <w:rPr>
                <w:rFonts w:ascii="Aptos" w:hAnsi="Aptos"/>
                <w:sz w:val="18"/>
              </w:rPr>
            </w:r>
            <w:r>
              <w:rPr>
                <w:rFonts w:ascii="Aptos" w:hAnsi="Aptos"/>
                <w:b w:val="0"/>
                <w:sz w:val="18"/>
              </w:rPr>
              <w:t>Onboarding</w:t>
            </w:r>
          </w:p>
        </w:tc>
        <w:tc>
          <w:tcPr>
            <w:tcW w:type="dxa" w:w="3024"/>
            <w:vAlign w:val="center"/>
          </w:tcPr>
          <w:p>
            <w:pPr>
              <w:spacing w:after="40"/>
            </w:pPr>
            <w:r>
              <w:rPr>
                <w:rFonts w:ascii="Aptos" w:hAnsi="Aptos"/>
                <w:sz w:val="18"/>
              </w:rPr>
            </w:r>
            <w:r>
              <w:rPr>
                <w:rFonts w:ascii="Aptos" w:hAnsi="Aptos"/>
                <w:b w:val="0"/>
                <w:sz w:val="18"/>
              </w:rPr>
              <w:t>/api/v1/onboarding/*</w:t>
            </w:r>
          </w:p>
        </w:tc>
        <w:tc>
          <w:tcPr>
            <w:tcW w:type="dxa" w:w="4752"/>
            <w:vAlign w:val="center"/>
          </w:tcPr>
          <w:p>
            <w:pPr>
              <w:spacing w:after="40"/>
            </w:pPr>
            <w:r>
              <w:rPr>
                <w:rFonts w:ascii="Aptos" w:hAnsi="Aptos"/>
                <w:sz w:val="18"/>
              </w:rPr>
            </w:r>
            <w:r>
              <w:rPr>
                <w:rFonts w:ascii="Aptos" w:hAnsi="Aptos"/>
                <w:b w:val="0"/>
                <w:sz w:val="18"/>
              </w:rPr>
              <w:t>Store setup, templates, preview, import jobs, errors and readiness.</w:t>
            </w:r>
          </w:p>
        </w:tc>
      </w:tr>
      <w:tr>
        <w:tc>
          <w:tcPr>
            <w:tcW w:type="dxa" w:w="1584"/>
            <w:vAlign w:val="center"/>
            <w:shd w:fill="EEF2F8"/>
          </w:tcPr>
          <w:p>
            <w:pPr>
              <w:spacing w:after="40"/>
            </w:pPr>
            <w:r>
              <w:rPr>
                <w:rFonts w:ascii="Aptos" w:hAnsi="Aptos"/>
                <w:sz w:val="18"/>
              </w:rPr>
            </w:r>
            <w:r>
              <w:rPr>
                <w:rFonts w:ascii="Aptos" w:hAnsi="Aptos"/>
                <w:b w:val="0"/>
                <w:sz w:val="18"/>
              </w:rPr>
              <w:t>Operations</w:t>
            </w:r>
          </w:p>
        </w:tc>
        <w:tc>
          <w:tcPr>
            <w:tcW w:type="dxa" w:w="3024"/>
            <w:vAlign w:val="center"/>
            <w:shd w:fill="EEF2F8"/>
          </w:tcPr>
          <w:p>
            <w:pPr>
              <w:spacing w:after="40"/>
            </w:pPr>
            <w:r>
              <w:rPr>
                <w:rFonts w:ascii="Aptos" w:hAnsi="Aptos"/>
                <w:sz w:val="18"/>
              </w:rPr>
            </w:r>
            <w:r>
              <w:rPr>
                <w:rFonts w:ascii="Aptos" w:hAnsi="Aptos"/>
                <w:b w:val="0"/>
                <w:sz w:val="18"/>
              </w:rPr>
              <w:t>/api/v1/sales; /inventory; /customers</w:t>
            </w:r>
          </w:p>
        </w:tc>
        <w:tc>
          <w:tcPr>
            <w:tcW w:type="dxa" w:w="4752"/>
            <w:vAlign w:val="center"/>
            <w:shd w:fill="EEF2F8"/>
          </w:tcPr>
          <w:p>
            <w:pPr>
              <w:spacing w:after="40"/>
            </w:pPr>
            <w:r>
              <w:rPr>
                <w:rFonts w:ascii="Aptos" w:hAnsi="Aptos"/>
                <w:sz w:val="18"/>
              </w:rPr>
            </w:r>
            <w:r>
              <w:rPr>
                <w:rFonts w:ascii="Aptos" w:hAnsi="Aptos"/>
                <w:b w:val="0"/>
                <w:sz w:val="18"/>
              </w:rPr>
              <w:t>Server-validated, tenant/store/seller-scoped operational records.</w:t>
            </w:r>
          </w:p>
        </w:tc>
      </w:tr>
      <w:tr>
        <w:tc>
          <w:tcPr>
            <w:tcW w:type="dxa" w:w="1584"/>
            <w:vAlign w:val="center"/>
          </w:tcPr>
          <w:p>
            <w:pPr>
              <w:spacing w:after="40"/>
            </w:pPr>
            <w:r>
              <w:rPr>
                <w:rFonts w:ascii="Aptos" w:hAnsi="Aptos"/>
                <w:sz w:val="18"/>
              </w:rPr>
            </w:r>
            <w:r>
              <w:rPr>
                <w:rFonts w:ascii="Aptos" w:hAnsi="Aptos"/>
                <w:b w:val="0"/>
                <w:sz w:val="18"/>
              </w:rPr>
              <w:t>Intelligence</w:t>
            </w:r>
          </w:p>
        </w:tc>
        <w:tc>
          <w:tcPr>
            <w:tcW w:type="dxa" w:w="3024"/>
            <w:vAlign w:val="center"/>
          </w:tcPr>
          <w:p>
            <w:pPr>
              <w:spacing w:after="40"/>
            </w:pPr>
            <w:r>
              <w:rPr>
                <w:rFonts w:ascii="Aptos" w:hAnsi="Aptos"/>
                <w:sz w:val="18"/>
              </w:rPr>
            </w:r>
            <w:r>
              <w:rPr>
                <w:rFonts w:ascii="Aptos" w:hAnsi="Aptos"/>
                <w:b w:val="0"/>
                <w:sz w:val="18"/>
              </w:rPr>
              <w:t>/api/v1/intelligence; /customer-segments</w:t>
            </w:r>
          </w:p>
        </w:tc>
        <w:tc>
          <w:tcPr>
            <w:tcW w:type="dxa" w:w="4752"/>
            <w:vAlign w:val="center"/>
          </w:tcPr>
          <w:p>
            <w:pPr>
              <w:spacing w:after="40"/>
            </w:pPr>
            <w:r>
              <w:rPr>
                <w:rFonts w:ascii="Aptos" w:hAnsi="Aptos"/>
                <w:sz w:val="18"/>
              </w:rPr>
            </w:r>
            <w:r>
              <w:rPr>
                <w:rFonts w:ascii="Aptos" w:hAnsi="Aptos"/>
                <w:b w:val="0"/>
                <w:sz w:val="18"/>
              </w:rPr>
              <w:t>Readiness-gated tenant training and role-scoped segment outputs.</w:t>
            </w:r>
          </w:p>
        </w:tc>
      </w:tr>
      <w:tr>
        <w:tc>
          <w:tcPr>
            <w:tcW w:type="dxa" w:w="1584"/>
            <w:vAlign w:val="center"/>
            <w:shd w:fill="EEF2F8"/>
          </w:tcPr>
          <w:p>
            <w:pPr>
              <w:spacing w:after="40"/>
            </w:pPr>
            <w:r>
              <w:rPr>
                <w:rFonts w:ascii="Aptos" w:hAnsi="Aptos"/>
                <w:sz w:val="18"/>
              </w:rPr>
            </w:r>
            <w:r>
              <w:rPr>
                <w:rFonts w:ascii="Aptos" w:hAnsi="Aptos"/>
                <w:b w:val="0"/>
                <w:sz w:val="18"/>
              </w:rPr>
              <w:t>Forecasting</w:t>
            </w:r>
          </w:p>
        </w:tc>
        <w:tc>
          <w:tcPr>
            <w:tcW w:type="dxa" w:w="3024"/>
            <w:vAlign w:val="center"/>
            <w:shd w:fill="EEF2F8"/>
          </w:tcPr>
          <w:p>
            <w:pPr>
              <w:spacing w:after="40"/>
            </w:pPr>
            <w:r>
              <w:rPr>
                <w:rFonts w:ascii="Aptos" w:hAnsi="Aptos"/>
                <w:sz w:val="18"/>
              </w:rPr>
            </w:r>
            <w:r>
              <w:rPr>
                <w:rFonts w:ascii="Aptos" w:hAnsi="Aptos"/>
                <w:b w:val="0"/>
                <w:sz w:val="18"/>
              </w:rPr>
              <w:t>/api/v1/forecasts/*</w:t>
            </w:r>
          </w:p>
        </w:tc>
        <w:tc>
          <w:tcPr>
            <w:tcW w:type="dxa" w:w="4752"/>
            <w:vAlign w:val="center"/>
            <w:shd w:fill="EEF2F8"/>
          </w:tcPr>
          <w:p>
            <w:pPr>
              <w:spacing w:after="40"/>
            </w:pPr>
            <w:r>
              <w:rPr>
                <w:rFonts w:ascii="Aptos" w:hAnsi="Aptos"/>
                <w:sz w:val="18"/>
              </w:rPr>
            </w:r>
            <w:r>
              <w:rPr>
                <w:rFonts w:ascii="Aptos" w:hAnsi="Aptos"/>
                <w:b w:val="0"/>
                <w:sz w:val="18"/>
              </w:rPr>
              <w:t>Revenue, personal, demand, options and MFA-protected monitoring responses.</w:t>
            </w:r>
          </w:p>
        </w:tc>
      </w:tr>
    </w:tbl>
    <w:p>
      <w:pPr>
        <w:pStyle w:val="Heading2"/>
      </w:pPr>
      <w:r>
        <w:t>D.5 Verification evidence and remaining milestones</w:t>
      </w:r>
    </w:p>
    <w:p>
      <w:pPr>
        <w:spacing w:after="20" w:line="240" w:lineRule="auto"/>
      </w:pPr>
      <w:r>
        <w:rPr>
          <w:rFonts w:ascii="Aptos" w:hAnsi="Aptos"/>
          <w:b/>
          <w:sz w:val="19"/>
        </w:rPr>
        <w:t xml:space="preserve">Current local verification: </w:t>
      </w:r>
      <w:r>
        <w:rPr>
          <w:rFonts w:ascii="Aptos" w:hAnsi="Aptos"/>
          <w:sz w:val="19"/>
        </w:rPr>
        <w:t>29 backend automated tests pass, including authentication, RBAC, onboarding, daily sales, profiles, preferences, operational alerts, team performance, segmentation, forecasting and tenant intelligence; frontend lint/build remain integration gates.</w:t>
      </w:r>
    </w:p>
    <w:p>
      <w:pPr>
        <w:pStyle w:val="ListBullet"/>
        <w:spacing w:after="20" w:line="240" w:lineRule="auto"/>
      </w:pPr>
      <w:r>
        <w:rPr>
          <w:rFonts w:ascii="Aptos" w:hAnsi="Aptos"/>
          <w:sz w:val="19"/>
        </w:rPr>
        <w:t>Milestone 3 remains planned: recommendations, churn prediction and ML anomaly detection, with approved labels, eligible data, feedback and offline evaluation.</w:t>
      </w:r>
    </w:p>
    <w:p>
      <w:pPr>
        <w:pStyle w:val="ListBullet"/>
        <w:spacing w:after="20" w:line="240" w:lineRule="auto"/>
      </w:pPr>
      <w:r>
        <w:rPr>
          <w:rFonts w:ascii="Aptos" w:hAnsi="Aptos"/>
          <w:sz w:val="19"/>
        </w:rPr>
        <w:t>Milestone 4 remains planned: deployment hardening, accessibility, load/security tests, observability, backup/restore, UAT evidence and rollback.</w:t>
      </w:r>
    </w:p>
    <w:sectPr w:rsidR="00FC693F" w:rsidRPr="0006063C" w:rsidSect="00034616">
      <w:headerReference w:type="default" r:id="rId9"/>
      <w:footerReference w:type="default" r:id="rId10"/>
      <w:footerReference w:type="even" r:id="rId11"/>
      <w:footerReference w:type="first" r:id="rId12"/>
      <w:pgSz w:w="12240" w:h="15840"/>
      <w:pgMar w:top="1152" w:right="1296" w:bottom="1080" w:left="1296"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1.1  |  Updated SRS  |  Page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1.1  |  Updated SRS  |  Page </w:t>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1.1  |  Updated SRS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666666"/>
        <w:sz w:val="17"/>
      </w:rPr>
      <w:t>MARKETMIND AI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Note">
    <w:name w:val="Requirement Note"/>
    <w:pPr>
      <w:spacing w:after="80"/>
      <w:ind w:left="288"/>
    </w:pPr>
    <w:rPr>
      <w:rFonts w:ascii="Calibri" w:hAnsi="Calibri"/>
      <w:color w:val="0B254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MarketMind AI - Software Requirements Specification</dc:title>
  <dc:subject>Revision 1.1 - Milestones 1 and 2 implementation alignment</dc:subject>
  <dc:creator>MarketMind AI Project Requirements Team</dc:creator>
  <cp:keywords>SRS, sales intelligence, forecasting, churn, recommendation, anomaly detection, inventory</cp:keywords>
  <dc:description>Revision 1.1 preserves the original SRS and aligns implemented functionality with the working project.</dc:description>
  <cp:lastModifiedBy/>
  <cp:revision>1</cp:revision>
  <dcterms:created xsi:type="dcterms:W3CDTF">2013-12-23T23:15:00Z</dcterms:created>
  <dcterms:modified xsi:type="dcterms:W3CDTF">2013-12-23T23:15:00Z</dcterms:modified>
  <cp:category/>
</cp:coreProperties>
</file>