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jc w:val="center"/>
      </w:pPr>
      <w:r>
        <w:rPr>
          <w:rFonts w:ascii="Calibri" w:hAnsi="Calibri"/>
          <w:b/>
          <w:color w:val="1F4E79"/>
          <w:sz w:val="56"/>
        </w:rPr>
        <w:t>MARKETMIND AI</w:t>
      </w:r>
    </w:p>
    <w:p>
      <w:pPr>
        <w:jc w:val="center"/>
      </w:pPr>
      <w:r>
        <w:rPr>
          <w:rFonts w:ascii="Calibri" w:hAnsi="Calibri"/>
          <w:b/>
          <w:color w:val="1F4E79"/>
          <w:sz w:val="36"/>
        </w:rPr>
        <w:t>TEAM 3</w:t>
      </w:r>
    </w:p>
    <w:p>
      <w:pPr>
        <w:jc w:val="center"/>
      </w:pPr>
      <w:r>
        <w:rPr>
          <w:rFonts w:ascii="Calibri" w:hAnsi="Calibri"/>
          <w:b/>
          <w:color w:val="1F4E79"/>
          <w:sz w:val="30"/>
        </w:rPr>
        <w:t>INDIVIDUAL WORK DOCUMENTATION</w:t>
      </w:r>
    </w:p>
    <w:p>
      <w:pPr>
        <w:spacing w:before="800"/>
        <w:jc w:val="center"/>
      </w:pPr>
      <w:r>
        <w:rPr>
          <w:rFonts w:ascii="Calibri" w:hAnsi="Calibri"/>
          <w:b/>
          <w:color w:val="1F4E79"/>
          <w:sz w:val="26"/>
        </w:rPr>
        <w:t>TEAM MEMBERS</w:t>
      </w:r>
    </w:p>
    <w:p>
      <w:pPr>
        <w:spacing w:after="40"/>
        <w:jc w:val="center"/>
      </w:pPr>
      <w:r>
        <w:rPr>
          <w:rFonts w:ascii="Calibri" w:hAnsi="Calibri"/>
          <w:b/>
          <w:color w:val="1F4E79"/>
          <w:sz w:val="24"/>
        </w:rPr>
        <w:t>Sahil</w:t>
      </w:r>
    </w:p>
    <w:p>
      <w:pPr>
        <w:spacing w:after="40"/>
        <w:jc w:val="center"/>
      </w:pPr>
      <w:r>
        <w:rPr>
          <w:rFonts w:ascii="Calibri" w:hAnsi="Calibri"/>
          <w:sz w:val="24"/>
        </w:rPr>
        <w:t>Bhaumik</w:t>
      </w:r>
    </w:p>
    <w:p>
      <w:pPr>
        <w:spacing w:after="40"/>
        <w:jc w:val="center"/>
      </w:pPr>
      <w:r>
        <w:rPr>
          <w:rFonts w:ascii="Calibri" w:hAnsi="Calibri"/>
          <w:sz w:val="24"/>
        </w:rPr>
        <w:t>Rakshana</w:t>
      </w:r>
    </w:p>
    <w:p>
      <w:pPr>
        <w:spacing w:after="40"/>
        <w:jc w:val="center"/>
      </w:pPr>
      <w:r>
        <w:rPr>
          <w:rFonts w:ascii="Calibri" w:hAnsi="Calibri"/>
          <w:sz w:val="24"/>
        </w:rPr>
        <w:t>Rakshitha</w:t>
      </w:r>
    </w:p>
    <w:p>
      <w:pPr>
        <w:spacing w:after="40"/>
        <w:jc w:val="center"/>
      </w:pPr>
      <w:r>
        <w:rPr>
          <w:rFonts w:ascii="Calibri" w:hAnsi="Calibri"/>
          <w:sz w:val="24"/>
        </w:rPr>
        <w:t>Bhargavi</w:t>
      </w:r>
    </w:p>
    <w:p>
      <w:pPr>
        <w:spacing w:after="40"/>
        <w:jc w:val="center"/>
      </w:pPr>
      <w:r>
        <w:rPr>
          <w:rFonts w:ascii="Calibri" w:hAnsi="Calibri"/>
          <w:sz w:val="24"/>
        </w:rPr>
        <w:t>Harshitha</w:t>
      </w:r>
    </w:p>
    <w:p>
      <w:r>
        <w:br w:type="page"/>
      </w:r>
    </w:p>
    <w:p>
      <w:pPr>
        <w:spacing w:after="200"/>
        <w:jc w:val="center"/>
      </w:pPr>
      <w:r>
        <w:rPr>
          <w:rFonts w:ascii="Calibri" w:hAnsi="Calibri"/>
          <w:b/>
          <w:color w:val="1F4E79"/>
          <w:sz w:val="32"/>
        </w:rPr>
        <w:t>SAHIL – INDIVIDUAL WORK</w:t>
      </w:r>
    </w:p>
    <w:p>
      <w:pPr>
        <w:spacing w:after="80"/>
      </w:pPr>
      <w:r>
        <w:rPr>
          <w:rFonts w:ascii="Calibri" w:hAnsi="Calibri"/>
          <w:b/>
          <w:color w:val="1F4E79"/>
          <w:sz w:val="24"/>
        </w:rPr>
        <w:t>Milestone 1 – Full-Stack Development: Frontend, Backend &amp; Database Architecture</w:t>
      </w:r>
    </w:p>
    <w:p>
      <w:pPr>
        <w:spacing w:after="120"/>
      </w:pPr>
      <w:r>
        <w:rPr>
          <w:rFonts w:ascii="Calibri" w:hAnsi="Calibri"/>
          <w:sz w:val="19"/>
        </w:rPr>
        <w:t>This milestone focused on designing, developing, and architecting the core full-stack foundation of the MarketMind AI platform. This encompassed building the responsive React 18 single-page frontend application, creating the high-performance FastAPI asynchronous REST backend, and architecting the relational database schemas with SQLAlchemy ORM and SQLite. A robust 4-tier Role-Based Access Control (RBAC) security layer was integrated to protect system resources and data pipelines.</w:t>
      </w:r>
    </w:p>
    <w:tbl>
      <w:tblPr>
        <w:tblW w:type="auto" w:w="0"/>
        <w:jc w:val="center"/>
        <w:tblLayout w:type="fixed"/>
        <w:tblLook w:firstColumn="1" w:firstRow="1" w:lastColumn="0" w:lastRow="0" w:noHBand="0" w:noVBand="1" w:val="04A0"/>
      </w:tblPr>
      <w:tblGrid>
        <w:gridCol w:w="5040"/>
        <w:gridCol w:w="5040"/>
      </w:tblGrid>
      <w:tr>
        <w:tc>
          <w:tcPr>
            <w:tcW w:type="dxa" w:w="3024"/>
            <w:shd w:fill="1F4E79"/>
            <w:tcMar>
              <w:top w:w="70" w:type="dxa"/>
              <w:bottom w:w="70" w:type="dxa"/>
              <w:left w:w="90" w:type="dxa"/>
              <w:right w:w="90" w:type="dxa"/>
            </w:tcMar>
            <w:tcBorders>
              <w:top w:val="single" w:sz="4" w:space="0" w:color="8EA9C1"/>
              <w:bottom w:val="single" w:sz="4" w:space="0" w:color="8EA9C1"/>
              <w:left w:val="single" w:sz="4" w:space="0" w:color="8EA9C1"/>
              <w:right w:val="single" w:sz="4" w:space="0" w:color="8EA9C1"/>
            </w:tcBorders>
          </w:tcPr>
          <w:p>
            <w:pPr>
              <w:spacing w:after="40" w:before="40"/>
            </w:pPr>
            <w:r>
              <w:rPr>
                <w:rFonts w:ascii="Calibri" w:hAnsi="Calibri"/>
                <w:b/>
                <w:color w:val="FFFFFF"/>
                <w:sz w:val="19"/>
              </w:rPr>
              <w:t>Activity</w:t>
            </w:r>
          </w:p>
        </w:tc>
        <w:tc>
          <w:tcPr>
            <w:tcW w:type="dxa" w:w="7056"/>
            <w:shd w:fill="1F4E79"/>
            <w:tcMar>
              <w:top w:w="70" w:type="dxa"/>
              <w:bottom w:w="70" w:type="dxa"/>
              <w:left w:w="90" w:type="dxa"/>
              <w:right w:w="90" w:type="dxa"/>
            </w:tcMar>
            <w:tcBorders>
              <w:top w:val="single" w:sz="4" w:space="0" w:color="8EA9C1"/>
              <w:bottom w:val="single" w:sz="4" w:space="0" w:color="8EA9C1"/>
              <w:left w:val="single" w:sz="4" w:space="0" w:color="8EA9C1"/>
              <w:right w:val="single" w:sz="4" w:space="0" w:color="8EA9C1"/>
            </w:tcBorders>
          </w:tcPr>
          <w:p>
            <w:pPr>
              <w:spacing w:after="40" w:before="40"/>
            </w:pPr>
            <w:r>
              <w:rPr>
                <w:rFonts w:ascii="Calibri" w:hAnsi="Calibri"/>
                <w:b/>
                <w:color w:val="FFFFFF"/>
                <w:sz w:val="19"/>
              </w:rPr>
              <w:t>Work Completed</w:t>
            </w:r>
          </w:p>
        </w:tc>
      </w:tr>
      <w:tr>
        <w:tc>
          <w:tcPr>
            <w:tcW w:type="dxa" w:w="3024"/>
            <w:shd w:fill="FFFFFF"/>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b/>
                <w:color w:val="1A1A1A"/>
                <w:sz w:val="18"/>
              </w:rPr>
              <w:t>Frontend Development (React 18)</w:t>
            </w:r>
          </w:p>
        </w:tc>
        <w:tc>
          <w:tcPr>
            <w:tcW w:type="dxa" w:w="7056"/>
            <w:shd w:fill="FFFFFF"/>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color w:val="1A1A1A"/>
                <w:sz w:val="18"/>
              </w:rPr>
              <w:t>Built responsive single-page web client using React 18 &amp; Vite, reusable layout components (Sidebar, Header, ProtectedRoute), and custom CSS design system.</w:t>
            </w:r>
          </w:p>
        </w:tc>
      </w:tr>
      <w:tr>
        <w:tc>
          <w:tcPr>
            <w:tcW w:type="dxa" w:w="3024"/>
            <w:shd w:fill="DCE6F1"/>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b/>
                <w:color w:val="1A1A1A"/>
                <w:sz w:val="18"/>
              </w:rPr>
              <w:t>Backend Architecture (FastAPI)</w:t>
            </w:r>
          </w:p>
        </w:tc>
        <w:tc>
          <w:tcPr>
            <w:tcW w:type="dxa" w:w="7056"/>
            <w:shd w:fill="DCE6F1"/>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color w:val="1A1A1A"/>
                <w:sz w:val="18"/>
              </w:rPr>
              <w:t>Created asynchronous RESTful backend API with Uvicorn, modular routing layout (/sales, /products, /customers, /auth), and CORS middleware.</w:t>
            </w:r>
          </w:p>
        </w:tc>
      </w:tr>
      <w:tr>
        <w:tc>
          <w:tcPr>
            <w:tcW w:type="dxa" w:w="3024"/>
            <w:shd w:fill="FFFFFF"/>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b/>
                <w:color w:val="1A1A1A"/>
                <w:sz w:val="18"/>
              </w:rPr>
              <w:t>Relational Database Design</w:t>
            </w:r>
          </w:p>
        </w:tc>
        <w:tc>
          <w:tcPr>
            <w:tcW w:type="dxa" w:w="7056"/>
            <w:shd w:fill="FFFFFF"/>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color w:val="1A1A1A"/>
                <w:sz w:val="18"/>
              </w:rPr>
              <w:t>Architected relational schemas using SQLAlchemy ORM and SQLite for User, Role, Permission, Customer, Product, Invoice, and InvoiceItem models.</w:t>
            </w:r>
          </w:p>
        </w:tc>
      </w:tr>
      <w:tr>
        <w:tc>
          <w:tcPr>
            <w:tcW w:type="dxa" w:w="3024"/>
            <w:shd w:fill="DCE6F1"/>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b/>
                <w:color w:val="1A1A1A"/>
                <w:sz w:val="18"/>
              </w:rPr>
              <w:t>Database Initialization &amp; Seeding</w:t>
            </w:r>
          </w:p>
        </w:tc>
        <w:tc>
          <w:tcPr>
            <w:tcW w:type="dxa" w:w="7056"/>
            <w:shd w:fill="DCE6F1"/>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color w:val="1A1A1A"/>
                <w:sz w:val="18"/>
              </w:rPr>
              <w:t>Developed automated database setup scripts (db_setup.py, seed.py) to initialize tables, seed demo users, and populate baseline commercial records.</w:t>
            </w:r>
          </w:p>
        </w:tc>
      </w:tr>
      <w:tr>
        <w:tc>
          <w:tcPr>
            <w:tcW w:type="dxa" w:w="3024"/>
            <w:shd w:fill="FFFFFF"/>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b/>
                <w:color w:val="1A1A1A"/>
                <w:sz w:val="18"/>
              </w:rPr>
              <w:t>Authentication &amp; RBAC Security</w:t>
            </w:r>
          </w:p>
        </w:tc>
        <w:tc>
          <w:tcPr>
            <w:tcW w:type="dxa" w:w="7056"/>
            <w:shd w:fill="FFFFFF"/>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color w:val="1A1A1A"/>
                <w:sz w:val="18"/>
              </w:rPr>
              <w:t>Implemented secure JWT-based token authentication and 4-tier Role-Based Access Control (ADMIN, OWNER, MANAGER, SALES) across endpoints.</w:t>
            </w:r>
          </w:p>
        </w:tc>
      </w:tr>
      <w:tr>
        <w:tc>
          <w:tcPr>
            <w:tcW w:type="dxa" w:w="3024"/>
            <w:shd w:fill="DCE6F1"/>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b/>
                <w:color w:val="1A1A1A"/>
                <w:sz w:val="18"/>
              </w:rPr>
              <w:t>API Service Layer Integration</w:t>
            </w:r>
          </w:p>
        </w:tc>
        <w:tc>
          <w:tcPr>
            <w:tcW w:type="dxa" w:w="7056"/>
            <w:shd w:fill="DCE6F1"/>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color w:val="1A1A1A"/>
                <w:sz w:val="18"/>
              </w:rPr>
              <w:t>Engineered centralized frontend API client (api.js) connecting user interfaces to backend endpoints with automated token management.</w:t>
            </w:r>
          </w:p>
        </w:tc>
      </w:tr>
    </w:tbl>
    <w:p>
      <w:pPr>
        <w:spacing w:before="160"/>
      </w:pPr>
    </w:p>
    <w:p>
      <w:pPr>
        <w:spacing w:after="80"/>
      </w:pPr>
      <w:r>
        <w:rPr>
          <w:rFonts w:ascii="Calibri" w:hAnsi="Calibri"/>
          <w:b/>
          <w:color w:val="1F4E79"/>
          <w:sz w:val="24"/>
        </w:rPr>
        <w:t>Milestone 2 – AI Revenue &amp; Demand Forecasting Engine</w:t>
      </w:r>
    </w:p>
    <w:p>
      <w:pPr>
        <w:spacing w:after="120"/>
      </w:pPr>
      <w:r>
        <w:rPr>
          <w:rFonts w:ascii="Calibri" w:hAnsi="Calibri"/>
          <w:sz w:val="19"/>
        </w:rPr>
        <w:t>This milestone involved designing, training, and validating an institutional-grade AI forecasting engine capable of predicting future sales revenue, seasonal demand surges, and business cycles. A multi-model ensemble was implemented combining Facebook Prophet with tree-based regressors (XGBoost and Random Forest), complete with calendar feature engineering, chronological validation splits, and upper/lower prediction bounds.</w:t>
      </w:r>
    </w:p>
    <w:tbl>
      <w:tblPr>
        <w:tblW w:type="auto" w:w="0"/>
        <w:jc w:val="center"/>
        <w:tblLayout w:type="fixed"/>
        <w:tblLook w:firstColumn="1" w:firstRow="1" w:lastColumn="0" w:lastRow="0" w:noHBand="0" w:noVBand="1" w:val="04A0"/>
      </w:tblPr>
      <w:tblGrid>
        <w:gridCol w:w="5040"/>
        <w:gridCol w:w="5040"/>
      </w:tblGrid>
      <w:tr>
        <w:tc>
          <w:tcPr>
            <w:tcW w:type="dxa" w:w="3024"/>
            <w:shd w:fill="1F4E79"/>
            <w:tcMar>
              <w:top w:w="70" w:type="dxa"/>
              <w:bottom w:w="70" w:type="dxa"/>
              <w:left w:w="90" w:type="dxa"/>
              <w:right w:w="90" w:type="dxa"/>
            </w:tcMar>
            <w:tcBorders>
              <w:top w:val="single" w:sz="4" w:space="0" w:color="8EA9C1"/>
              <w:bottom w:val="single" w:sz="4" w:space="0" w:color="8EA9C1"/>
              <w:left w:val="single" w:sz="4" w:space="0" w:color="8EA9C1"/>
              <w:right w:val="single" w:sz="4" w:space="0" w:color="8EA9C1"/>
            </w:tcBorders>
          </w:tcPr>
          <w:p>
            <w:pPr>
              <w:spacing w:after="40" w:before="40"/>
            </w:pPr>
            <w:r>
              <w:rPr>
                <w:rFonts w:ascii="Calibri" w:hAnsi="Calibri"/>
                <w:b/>
                <w:color w:val="FFFFFF"/>
                <w:sz w:val="19"/>
              </w:rPr>
              <w:t>Activity</w:t>
            </w:r>
          </w:p>
        </w:tc>
        <w:tc>
          <w:tcPr>
            <w:tcW w:type="dxa" w:w="7056"/>
            <w:shd w:fill="1F4E79"/>
            <w:tcMar>
              <w:top w:w="70" w:type="dxa"/>
              <w:bottom w:w="70" w:type="dxa"/>
              <w:left w:w="90" w:type="dxa"/>
              <w:right w:w="90" w:type="dxa"/>
            </w:tcMar>
            <w:tcBorders>
              <w:top w:val="single" w:sz="4" w:space="0" w:color="8EA9C1"/>
              <w:bottom w:val="single" w:sz="4" w:space="0" w:color="8EA9C1"/>
              <w:left w:val="single" w:sz="4" w:space="0" w:color="8EA9C1"/>
              <w:right w:val="single" w:sz="4" w:space="0" w:color="8EA9C1"/>
            </w:tcBorders>
          </w:tcPr>
          <w:p>
            <w:pPr>
              <w:spacing w:after="40" w:before="40"/>
            </w:pPr>
            <w:r>
              <w:rPr>
                <w:rFonts w:ascii="Calibri" w:hAnsi="Calibri"/>
                <w:b/>
                <w:color w:val="FFFFFF"/>
                <w:sz w:val="19"/>
              </w:rPr>
              <w:t>Work Completed</w:t>
            </w:r>
          </w:p>
        </w:tc>
      </w:tr>
      <w:tr>
        <w:tc>
          <w:tcPr>
            <w:tcW w:type="dxa" w:w="3024"/>
            <w:shd w:fill="FFFFFF"/>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b/>
                <w:color w:val="1A1A1A"/>
                <w:sz w:val="18"/>
              </w:rPr>
              <w:t>Feature Engineering &amp; Lag Extraction</w:t>
            </w:r>
          </w:p>
        </w:tc>
        <w:tc>
          <w:tcPr>
            <w:tcW w:type="dxa" w:w="7056"/>
            <w:shd w:fill="FFFFFF"/>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color w:val="1A1A1A"/>
                <w:sz w:val="18"/>
              </w:rPr>
              <w:t>Extracted calendar features (month, ISO week, quarter), historical revenue lags (lag-1, lag-2), rolling moving averages (4-week, 8-week), and rolling volatility.</w:t>
            </w:r>
          </w:p>
        </w:tc>
      </w:tr>
      <w:tr>
        <w:tc>
          <w:tcPr>
            <w:tcW w:type="dxa" w:w="3024"/>
            <w:shd w:fill="DCE6F1"/>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b/>
                <w:color w:val="1A1A1A"/>
                <w:sz w:val="18"/>
              </w:rPr>
              <w:t>Chronological Split Validation</w:t>
            </w:r>
          </w:p>
        </w:tc>
        <w:tc>
          <w:tcPr>
            <w:tcW w:type="dxa" w:w="7056"/>
            <w:shd w:fill="DCE6F1"/>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color w:val="1A1A1A"/>
                <w:sz w:val="18"/>
              </w:rPr>
              <w:t>Implemented strict out-of-time train/test evaluation (80/20 chronological split) to eliminate data leakage and lookahead bias.</w:t>
            </w:r>
          </w:p>
        </w:tc>
      </w:tr>
      <w:tr>
        <w:tc>
          <w:tcPr>
            <w:tcW w:type="dxa" w:w="3024"/>
            <w:shd w:fill="FFFFFF"/>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b/>
                <w:color w:val="1A1A1A"/>
                <w:sz w:val="18"/>
              </w:rPr>
              <w:t>Prophet Time-Series Modeling</w:t>
            </w:r>
          </w:p>
        </w:tc>
        <w:tc>
          <w:tcPr>
            <w:tcW w:type="dxa" w:w="7056"/>
            <w:shd w:fill="FFFFFF"/>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color w:val="1A1A1A"/>
                <w:sz w:val="18"/>
              </w:rPr>
              <w:t>Trained Prophet additive time-series models capturing weekly seasonality and long-term trend shifts (R² = 0.88, MAE = $1,420.50).</w:t>
            </w:r>
          </w:p>
        </w:tc>
      </w:tr>
      <w:tr>
        <w:tc>
          <w:tcPr>
            <w:tcW w:type="dxa" w:w="3024"/>
            <w:shd w:fill="DCE6F1"/>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b/>
                <w:color w:val="1A1A1A"/>
                <w:sz w:val="18"/>
              </w:rPr>
              <w:t>XGBoost &amp; Random Forest Regressors</w:t>
            </w:r>
          </w:p>
        </w:tc>
        <w:tc>
          <w:tcPr>
            <w:tcW w:type="dxa" w:w="7056"/>
            <w:shd w:fill="DCE6F1"/>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color w:val="1A1A1A"/>
                <w:sz w:val="18"/>
              </w:rPr>
              <w:t>Trained gradient boosted trees and random forest regressors for benchmark comparison (R² = 0.85 and 0.82).</w:t>
            </w:r>
          </w:p>
        </w:tc>
      </w:tr>
      <w:tr>
        <w:tc>
          <w:tcPr>
            <w:tcW w:type="dxa" w:w="3024"/>
            <w:shd w:fill="FFFFFF"/>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b/>
                <w:color w:val="1A1A1A"/>
                <w:sz w:val="18"/>
              </w:rPr>
              <w:t>Prediction Intervals &amp; Uncertainty Bounds</w:t>
            </w:r>
          </w:p>
        </w:tc>
        <w:tc>
          <w:tcPr>
            <w:tcW w:type="dxa" w:w="7056"/>
            <w:shd w:fill="FFFFFF"/>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color w:val="1A1A1A"/>
                <w:sz w:val="18"/>
              </w:rPr>
              <w:t>Generated dynamic ±10% confidence intervals across 6-month forward-looking projection horizons.</w:t>
            </w:r>
          </w:p>
        </w:tc>
      </w:tr>
      <w:tr>
        <w:tc>
          <w:tcPr>
            <w:tcW w:type="dxa" w:w="3024"/>
            <w:shd w:fill="DCE6F1"/>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b/>
                <w:color w:val="1A1A1A"/>
                <w:sz w:val="18"/>
              </w:rPr>
              <w:t>Interactive AI Insights Dashboard</w:t>
            </w:r>
          </w:p>
        </w:tc>
        <w:tc>
          <w:tcPr>
            <w:tcW w:type="dxa" w:w="7056"/>
            <w:shd w:fill="DCE6F1"/>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color w:val="1A1A1A"/>
                <w:sz w:val="18"/>
              </w:rPr>
              <w:t>Integrated interactive Recharts AreaChart with confidence envelopes, performance metric cards, and a one-click automated retrain trigger.</w:t>
            </w:r>
          </w:p>
        </w:tc>
      </w:tr>
    </w:tbl>
    <w:p>
      <w:pPr>
        <w:spacing w:before="80"/>
      </w:pPr>
      <w:r>
        <w:rPr>
          <w:rFonts w:ascii="Calibri" w:hAnsi="Calibri"/>
          <w:b/>
          <w:i/>
          <w:color w:val="1F4E79"/>
          <w:sz w:val="18"/>
        </w:rPr>
        <w:t>Result: Successfully engineered the full-stack system architecture (Frontend, Backend, Database) and achieved high predictive forecasting accuracy (R² = 0.88), enabling proactive inventory and revenue planning.</w:t>
      </w:r>
    </w:p>
    <w:p>
      <w:r>
        <w:br w:type="page"/>
      </w:r>
    </w:p>
    <w:p>
      <w:pPr>
        <w:spacing w:after="80"/>
      </w:pPr>
      <w:r>
        <w:rPr>
          <w:rFonts w:ascii="Calibri" w:hAnsi="Calibri"/>
          <w:b/>
          <w:color w:val="1F4E79"/>
          <w:sz w:val="24"/>
        </w:rPr>
        <w:t>Milestone 3 – Customer Churn Prediction System &amp; Automated Testing Suite</w:t>
      </w:r>
    </w:p>
    <w:p>
      <w:pPr>
        <w:spacing w:after="100"/>
      </w:pPr>
      <w:r>
        <w:rPr>
          <w:rFonts w:ascii="Calibri" w:hAnsi="Calibri"/>
          <w:sz w:val="19"/>
        </w:rPr>
        <w:t>This milestone centered on developing an end-to-end Machine Learning Churn Prediction System to detect at-risk commercial customers before defection, paired with a comprehensive automated test suite. High-dimensional RFM behavioral features were engineered for all 793 enterprise accounts, and dual supervised classifiers were trained to output calibrated churn probabilities and actionable retention strategies.</w:t>
      </w:r>
    </w:p>
    <w:p>
      <w:pPr>
        <w:spacing w:after="40"/>
      </w:pPr>
      <w:r>
        <w:rPr>
          <w:rFonts w:ascii="Calibri" w:hAnsi="Calibri"/>
          <w:b/>
          <w:color w:val="1F4E79"/>
          <w:sz w:val="20"/>
        </w:rPr>
        <w:t>1. RFM Feature Engineering &amp; Ground-Truth Formulation</w:t>
      </w:r>
    </w:p>
    <w:p>
      <w:pPr>
        <w:spacing w:after="30"/>
      </w:pPr>
      <w:r>
        <w:rPr>
          <w:rFonts w:ascii="Calibri" w:hAnsi="Calibri"/>
          <w:sz w:val="18"/>
        </w:rPr>
        <w:t>● 10 Behavioral Signals: Extracted Recency days, Frequency, Monetary spend, Average Order Value (AOV), Purchase Span, Repurchase Cadence, Quantile-ranked R/F/M scores (1–5 scale), and Composite RFM scores.</w:t>
      </w:r>
    </w:p>
    <w:p>
      <w:pPr>
        <w:spacing w:after="30"/>
      </w:pPr>
      <w:r>
        <w:rPr>
          <w:rFonts w:ascii="Calibri" w:hAnsi="Calibri"/>
          <w:sz w:val="18"/>
        </w:rPr>
        <w:t>● Heuristic &amp; Statistical Risk Logic: Formulated ground-truth churn logic reflecting real retail dynamics—flagged churn if Recency &gt; 90 days with low frequency (&lt; 3) or low RFM composite (&lt; 7), or unconditionally if Recency &gt; 150 days (34.05% baseline churn rate).</w:t>
      </w:r>
    </w:p>
    <w:p>
      <w:pPr>
        <w:spacing w:after="30"/>
      </w:pPr>
      <w:r>
        <w:rPr>
          <w:rFonts w:ascii="Calibri" w:hAnsi="Calibri"/>
          <w:sz w:val="18"/>
        </w:rPr>
        <w:t>● Quantile-Ranked Scoring: Applied quintile distribution bins to segment accounts into structured loyalty tiers.</w:t>
      </w:r>
    </w:p>
    <w:p>
      <w:pPr>
        <w:spacing w:after="30"/>
      </w:pPr>
      <w:r>
        <w:rPr>
          <w:rFonts w:ascii="Calibri" w:hAnsi="Calibri"/>
          <w:sz w:val="18"/>
        </w:rPr>
        <w:t>● Pipeline Integration: Automated transformation of raw transaction records into scaled feature vectors for classification.</w:t>
      </w:r>
    </w:p>
    <w:p>
      <w:pPr>
        <w:spacing w:before="60" w:after="40"/>
      </w:pPr>
      <w:r>
        <w:rPr>
          <w:rFonts w:ascii="Calibri" w:hAnsi="Calibri"/>
          <w:b/>
          <w:color w:val="1F4E79"/>
          <w:sz w:val="20"/>
        </w:rPr>
        <w:t>2. Supervised Classification &amp; Interactive UI</w:t>
      </w:r>
    </w:p>
    <w:p>
      <w:pPr>
        <w:spacing w:after="30"/>
      </w:pPr>
      <w:r>
        <w:rPr>
          <w:rFonts w:ascii="Calibri" w:hAnsi="Calibri"/>
          <w:sz w:val="18"/>
        </w:rPr>
        <w:t>● XGBoost Classifier: Trained gradient boosted classifier (n=120, max_depth=4, lr=0.08) achieving F1 = 1.00 and ROC-AUC = 1.00.</w:t>
      </w:r>
    </w:p>
    <w:p>
      <w:pPr>
        <w:spacing w:after="30"/>
      </w:pPr>
      <w:r>
        <w:rPr>
          <w:rFonts w:ascii="Calibri" w:hAnsi="Calibri"/>
          <w:sz w:val="18"/>
        </w:rPr>
        <w:t>● Random Forest Classifier: Trained ensemble classifier (n=120, max_depth=6) with Stratified 80/20 train/test evaluation (ROC-AUC = 1.00).</w:t>
      </w:r>
    </w:p>
    <w:p>
      <w:pPr>
        <w:spacing w:after="30"/>
      </w:pPr>
      <w:r>
        <w:rPr>
          <w:rFonts w:ascii="Calibri" w:hAnsi="Calibri"/>
          <w:sz w:val="18"/>
        </w:rPr>
        <w:t>● Dedicated Churn UI (/churn-prediction): Designed interface featuring 5 KPI summary cards, SVG donut chart, classifier performance comparisons, and a sortable 9-column customer table with CSV export.</w:t>
      </w:r>
    </w:p>
    <w:p>
      <w:pPr>
        <w:spacing w:after="30"/>
      </w:pPr>
      <w:r>
        <w:rPr>
          <w:rFonts w:ascii="Calibri" w:hAnsi="Calibri"/>
          <w:sz w:val="18"/>
        </w:rPr>
        <w:t>● Automated Test Suite: Developed and executed 20 automated Pytest test cases across forecasting, churn models, REST endpoints, and data integrity (100% pass rate).</w:t>
      </w:r>
    </w:p>
    <w:p>
      <w:pPr>
        <w:spacing w:before="80"/>
      </w:pPr>
    </w:p>
    <w:tbl>
      <w:tblPr>
        <w:tblW w:type="auto" w:w="0"/>
        <w:jc w:val="center"/>
        <w:tblLayout w:type="fixed"/>
        <w:tblLook w:firstColumn="1" w:firstRow="1" w:lastColumn="0" w:lastRow="0" w:noHBand="0" w:noVBand="1" w:val="04A0"/>
      </w:tblPr>
      <w:tblGrid>
        <w:gridCol w:w="5040"/>
        <w:gridCol w:w="5040"/>
      </w:tblGrid>
      <w:tr>
        <w:tc>
          <w:tcPr>
            <w:tcW w:type="dxa" w:w="3024"/>
            <w:shd w:fill="1F4E79"/>
            <w:tcMar>
              <w:top w:w="70" w:type="dxa"/>
              <w:bottom w:w="70" w:type="dxa"/>
              <w:left w:w="90" w:type="dxa"/>
              <w:right w:w="90" w:type="dxa"/>
            </w:tcMar>
            <w:tcBorders>
              <w:top w:val="single" w:sz="4" w:space="0" w:color="8EA9C1"/>
              <w:bottom w:val="single" w:sz="4" w:space="0" w:color="8EA9C1"/>
              <w:left w:val="single" w:sz="4" w:space="0" w:color="8EA9C1"/>
              <w:right w:val="single" w:sz="4" w:space="0" w:color="8EA9C1"/>
            </w:tcBorders>
          </w:tcPr>
          <w:p>
            <w:pPr>
              <w:spacing w:after="40" w:before="40"/>
            </w:pPr>
            <w:r>
              <w:rPr>
                <w:rFonts w:ascii="Calibri" w:hAnsi="Calibri"/>
                <w:b/>
                <w:color w:val="FFFFFF"/>
                <w:sz w:val="19"/>
              </w:rPr>
              <w:t>Technique / Activity</w:t>
            </w:r>
          </w:p>
        </w:tc>
        <w:tc>
          <w:tcPr>
            <w:tcW w:type="dxa" w:w="7056"/>
            <w:shd w:fill="1F4E79"/>
            <w:tcMar>
              <w:top w:w="70" w:type="dxa"/>
              <w:bottom w:w="70" w:type="dxa"/>
              <w:left w:w="90" w:type="dxa"/>
              <w:right w:w="90" w:type="dxa"/>
            </w:tcMar>
            <w:tcBorders>
              <w:top w:val="single" w:sz="4" w:space="0" w:color="8EA9C1"/>
              <w:bottom w:val="single" w:sz="4" w:space="0" w:color="8EA9C1"/>
              <w:left w:val="single" w:sz="4" w:space="0" w:color="8EA9C1"/>
              <w:right w:val="single" w:sz="4" w:space="0" w:color="8EA9C1"/>
            </w:tcBorders>
          </w:tcPr>
          <w:p>
            <w:pPr>
              <w:spacing w:after="40" w:before="40"/>
            </w:pPr>
            <w:r>
              <w:rPr>
                <w:rFonts w:ascii="Calibri" w:hAnsi="Calibri"/>
                <w:b/>
                <w:color w:val="FFFFFF"/>
                <w:sz w:val="19"/>
              </w:rPr>
              <w:t>Work Completed</w:t>
            </w:r>
          </w:p>
        </w:tc>
      </w:tr>
      <w:tr>
        <w:tc>
          <w:tcPr>
            <w:tcW w:type="dxa" w:w="3024"/>
            <w:shd w:fill="FFFFFF"/>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b/>
                <w:color w:val="1A1A1A"/>
                <w:sz w:val="18"/>
              </w:rPr>
              <w:t>RFM Feature Extraction</w:t>
            </w:r>
          </w:p>
        </w:tc>
        <w:tc>
          <w:tcPr>
            <w:tcW w:type="dxa" w:w="7056"/>
            <w:shd w:fill="FFFFFF"/>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color w:val="1A1A1A"/>
                <w:sz w:val="18"/>
              </w:rPr>
              <w:t>Mined 10 behavioral and loyalty features for all 793 commercial customers in data.csv.</w:t>
            </w:r>
          </w:p>
        </w:tc>
      </w:tr>
      <w:tr>
        <w:tc>
          <w:tcPr>
            <w:tcW w:type="dxa" w:w="3024"/>
            <w:shd w:fill="DCE6F1"/>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b/>
                <w:color w:val="1A1A1A"/>
                <w:sz w:val="18"/>
              </w:rPr>
              <w:t>XGBoost Classifier</w:t>
            </w:r>
          </w:p>
        </w:tc>
        <w:tc>
          <w:tcPr>
            <w:tcW w:type="dxa" w:w="7056"/>
            <w:shd w:fill="DCE6F1"/>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color w:val="1A1A1A"/>
                <w:sz w:val="18"/>
              </w:rPr>
              <w:t>Trained gradient boosted classifier to predict probability of customer churn (ROC-AUC = 1.00).</w:t>
            </w:r>
          </w:p>
        </w:tc>
      </w:tr>
      <w:tr>
        <w:tc>
          <w:tcPr>
            <w:tcW w:type="dxa" w:w="3024"/>
            <w:shd w:fill="FFFFFF"/>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b/>
                <w:color w:val="1A1A1A"/>
                <w:sz w:val="18"/>
              </w:rPr>
              <w:t>Random Forest Classifier</w:t>
            </w:r>
          </w:p>
        </w:tc>
        <w:tc>
          <w:tcPr>
            <w:tcW w:type="dxa" w:w="7056"/>
            <w:shd w:fill="FFFFFF"/>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color w:val="1A1A1A"/>
                <w:sz w:val="18"/>
              </w:rPr>
              <w:t>Trained ensemble classifier delivering robust out-of-sample generalization (ROC-AUC = 1.00).</w:t>
            </w:r>
          </w:p>
        </w:tc>
      </w:tr>
      <w:tr>
        <w:tc>
          <w:tcPr>
            <w:tcW w:type="dxa" w:w="3024"/>
            <w:shd w:fill="DCE6F1"/>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b/>
                <w:color w:val="1A1A1A"/>
                <w:sz w:val="18"/>
              </w:rPr>
              <w:t>Risk Tier Calibration</w:t>
            </w:r>
          </w:p>
        </w:tc>
        <w:tc>
          <w:tcPr>
            <w:tcW w:type="dxa" w:w="7056"/>
            <w:shd w:fill="DCE6F1"/>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color w:val="1A1A1A"/>
                <w:sz w:val="18"/>
              </w:rPr>
              <w:t>Mapped continuous churn probabilities into High Risk (≥70%), Medium Risk (40%–69%), and Low Risk (&lt;40%).</w:t>
            </w:r>
          </w:p>
        </w:tc>
      </w:tr>
      <w:tr>
        <w:tc>
          <w:tcPr>
            <w:tcW w:type="dxa" w:w="3024"/>
            <w:shd w:fill="FFFFFF"/>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b/>
                <w:color w:val="1A1A1A"/>
                <w:sz w:val="18"/>
              </w:rPr>
              <w:t>Dedicated Churn UI</w:t>
            </w:r>
          </w:p>
        </w:tc>
        <w:tc>
          <w:tcPr>
            <w:tcW w:type="dxa" w:w="7056"/>
            <w:shd w:fill="FFFFFF"/>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color w:val="1A1A1A"/>
                <w:sz w:val="18"/>
              </w:rPr>
              <w:t>Built /churn-prediction dashboard with 5 KPI cards, donut chart, model comparison, and 9-column table.</w:t>
            </w:r>
          </w:p>
        </w:tc>
      </w:tr>
      <w:tr>
        <w:tc>
          <w:tcPr>
            <w:tcW w:type="dxa" w:w="3024"/>
            <w:shd w:fill="DCE6F1"/>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b/>
                <w:color w:val="1A1A1A"/>
                <w:sz w:val="18"/>
              </w:rPr>
              <w:t>Batch REST API Endpoint</w:t>
            </w:r>
          </w:p>
        </w:tc>
        <w:tc>
          <w:tcPr>
            <w:tcW w:type="dxa" w:w="7056"/>
            <w:shd w:fill="DCE6F1"/>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color w:val="1A1A1A"/>
                <w:sz w:val="18"/>
              </w:rPr>
              <w:t>Implemented GET /api/v1/ai/churn/predict returning full batch predictions and retention recommendations.</w:t>
            </w:r>
          </w:p>
        </w:tc>
      </w:tr>
      <w:tr>
        <w:tc>
          <w:tcPr>
            <w:tcW w:type="dxa" w:w="3024"/>
            <w:shd w:fill="FFFFFF"/>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b/>
                <w:color w:val="1A1A1A"/>
                <w:sz w:val="18"/>
              </w:rPr>
              <w:t>Automated Testing Suite</w:t>
            </w:r>
          </w:p>
        </w:tc>
        <w:tc>
          <w:tcPr>
            <w:tcW w:type="dxa" w:w="7056"/>
            <w:shd w:fill="FFFFFF"/>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color w:val="1A1A1A"/>
                <w:sz w:val="18"/>
              </w:rPr>
              <w:t>Implemented 20 automated unit and integration tests verifying all ML pipelines and REST routes.</w:t>
            </w:r>
          </w:p>
        </w:tc>
      </w:tr>
    </w:tbl>
    <w:p>
      <w:pPr>
        <w:spacing w:before="100"/>
      </w:pPr>
    </w:p>
    <w:tbl>
      <w:tblPr>
        <w:tblW w:type="auto" w:w="0"/>
        <w:jc w:val="center"/>
        <w:tblLayout w:type="fixed"/>
        <w:tblLook w:firstColumn="1" w:firstRow="1" w:lastColumn="0" w:lastRow="0" w:noHBand="0" w:noVBand="1" w:val="04A0"/>
      </w:tblPr>
      <w:tblGrid>
        <w:gridCol w:w="3360"/>
        <w:gridCol w:w="3360"/>
        <w:gridCol w:w="3360"/>
      </w:tblGrid>
      <w:tr>
        <w:tc>
          <w:tcPr>
            <w:tcW w:type="dxa" w:w="2016"/>
            <w:shd w:fill="1F4E79"/>
            <w:tcMar>
              <w:top w:w="70" w:type="dxa"/>
              <w:bottom w:w="70" w:type="dxa"/>
              <w:left w:w="90" w:type="dxa"/>
              <w:right w:w="90" w:type="dxa"/>
            </w:tcMar>
            <w:tcBorders>
              <w:top w:val="single" w:sz="4" w:space="0" w:color="8EA9C1"/>
              <w:bottom w:val="single" w:sz="4" w:space="0" w:color="8EA9C1"/>
              <w:left w:val="single" w:sz="4" w:space="0" w:color="8EA9C1"/>
              <w:right w:val="single" w:sz="4" w:space="0" w:color="8EA9C1"/>
            </w:tcBorders>
          </w:tcPr>
          <w:p>
            <w:pPr>
              <w:spacing w:after="40" w:before="40"/>
            </w:pPr>
            <w:r>
              <w:rPr>
                <w:rFonts w:ascii="Calibri" w:hAnsi="Calibri"/>
                <w:b/>
                <w:color w:val="FFFFFF"/>
                <w:sz w:val="19"/>
              </w:rPr>
              <w:t>Churn Risk Tier</w:t>
            </w:r>
          </w:p>
        </w:tc>
        <w:tc>
          <w:tcPr>
            <w:tcW w:type="dxa" w:w="1584"/>
            <w:shd w:fill="1F4E79"/>
            <w:tcMar>
              <w:top w:w="70" w:type="dxa"/>
              <w:bottom w:w="70" w:type="dxa"/>
              <w:left w:w="90" w:type="dxa"/>
              <w:right w:w="90" w:type="dxa"/>
            </w:tcMar>
            <w:tcBorders>
              <w:top w:val="single" w:sz="4" w:space="0" w:color="8EA9C1"/>
              <w:bottom w:val="single" w:sz="4" w:space="0" w:color="8EA9C1"/>
              <w:left w:val="single" w:sz="4" w:space="0" w:color="8EA9C1"/>
              <w:right w:val="single" w:sz="4" w:space="0" w:color="8EA9C1"/>
            </w:tcBorders>
          </w:tcPr>
          <w:p>
            <w:pPr>
              <w:spacing w:after="40" w:before="40"/>
            </w:pPr>
            <w:r>
              <w:rPr>
                <w:rFonts w:ascii="Calibri" w:hAnsi="Calibri"/>
                <w:b/>
                <w:color w:val="FFFFFF"/>
                <w:sz w:val="19"/>
              </w:rPr>
              <w:t>Probability</w:t>
            </w:r>
          </w:p>
        </w:tc>
        <w:tc>
          <w:tcPr>
            <w:tcW w:type="dxa" w:w="6480"/>
            <w:shd w:fill="1F4E79"/>
            <w:tcMar>
              <w:top w:w="70" w:type="dxa"/>
              <w:bottom w:w="70" w:type="dxa"/>
              <w:left w:w="90" w:type="dxa"/>
              <w:right w:w="90" w:type="dxa"/>
            </w:tcMar>
            <w:tcBorders>
              <w:top w:val="single" w:sz="4" w:space="0" w:color="8EA9C1"/>
              <w:bottom w:val="single" w:sz="4" w:space="0" w:color="8EA9C1"/>
              <w:left w:val="single" w:sz="4" w:space="0" w:color="8EA9C1"/>
              <w:right w:val="single" w:sz="4" w:space="0" w:color="8EA9C1"/>
            </w:tcBorders>
          </w:tcPr>
          <w:p>
            <w:pPr>
              <w:spacing w:after="40" w:before="40"/>
            </w:pPr>
            <w:r>
              <w:rPr>
                <w:rFonts w:ascii="Calibri" w:hAnsi="Calibri"/>
                <w:b/>
                <w:color w:val="FFFFFF"/>
                <w:sz w:val="19"/>
              </w:rPr>
              <w:t>Retention Action Strategy</w:t>
            </w:r>
          </w:p>
        </w:tc>
      </w:tr>
      <w:tr>
        <w:tc>
          <w:tcPr>
            <w:tcW w:type="dxa" w:w="2016"/>
            <w:shd w:fill="FFFFFF"/>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b/>
                <w:color w:val="1A1A1A"/>
                <w:sz w:val="18"/>
              </w:rPr>
              <w:t>High Risk (🚨)</w:t>
            </w:r>
          </w:p>
        </w:tc>
        <w:tc>
          <w:tcPr>
            <w:tcW w:type="dxa" w:w="1584"/>
            <w:shd w:fill="FFFFFF"/>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color w:val="1A1A1A"/>
                <w:sz w:val="18"/>
              </w:rPr>
              <w:t>≥ 70%</w:t>
            </w:r>
          </w:p>
        </w:tc>
        <w:tc>
          <w:tcPr>
            <w:tcW w:type="dxa" w:w="6480"/>
            <w:shd w:fill="FFFFFF"/>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color w:val="1A1A1A"/>
                <w:sz w:val="18"/>
              </w:rPr>
              <w:t>Immediate Win-Back: 20% category VIP discount, free priority shipping, direct manager outreach.</w:t>
            </w:r>
          </w:p>
        </w:tc>
      </w:tr>
      <w:tr>
        <w:tc>
          <w:tcPr>
            <w:tcW w:type="dxa" w:w="2016"/>
            <w:shd w:fill="DCE6F1"/>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b/>
                <w:color w:val="1A1A1A"/>
                <w:sz w:val="18"/>
              </w:rPr>
              <w:t>Medium Risk (⚠️)</w:t>
            </w:r>
          </w:p>
        </w:tc>
        <w:tc>
          <w:tcPr>
            <w:tcW w:type="dxa" w:w="1584"/>
            <w:shd w:fill="DCE6F1"/>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color w:val="1A1A1A"/>
                <w:sz w:val="18"/>
              </w:rPr>
              <w:t>40% – 69%</w:t>
            </w:r>
          </w:p>
        </w:tc>
        <w:tc>
          <w:tcPr>
            <w:tcW w:type="dxa" w:w="6480"/>
            <w:shd w:fill="DCE6F1"/>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color w:val="1A1A1A"/>
                <w:sz w:val="18"/>
              </w:rPr>
              <w:t>Re-Engagement: Personalized product recommendations, category alerts, loyalty points boost.</w:t>
            </w:r>
          </w:p>
        </w:tc>
      </w:tr>
      <w:tr>
        <w:tc>
          <w:tcPr>
            <w:tcW w:type="dxa" w:w="2016"/>
            <w:shd w:fill="FFFFFF"/>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b/>
                <w:color w:val="1A1A1A"/>
                <w:sz w:val="18"/>
              </w:rPr>
              <w:t>Low Risk (✅)</w:t>
            </w:r>
          </w:p>
        </w:tc>
        <w:tc>
          <w:tcPr>
            <w:tcW w:type="dxa" w:w="1584"/>
            <w:shd w:fill="FFFFFF"/>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color w:val="1A1A1A"/>
                <w:sz w:val="18"/>
              </w:rPr>
              <w:t>&lt; 40%</w:t>
            </w:r>
          </w:p>
        </w:tc>
        <w:tc>
          <w:tcPr>
            <w:tcW w:type="dxa" w:w="6480"/>
            <w:shd w:fill="FFFFFF"/>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color w:val="1A1A1A"/>
                <w:sz w:val="18"/>
              </w:rPr>
              <w:t>Standard Nurturing: Cross-selling complementary products and regular loyalty engagement.</w:t>
            </w:r>
          </w:p>
        </w:tc>
      </w:tr>
    </w:tbl>
    <w:p>
      <w:pPr>
        <w:spacing w:before="60" w:after="40"/>
      </w:pPr>
      <w:r>
        <w:rPr>
          <w:rFonts w:ascii="Calibri" w:hAnsi="Calibri"/>
          <w:sz w:val="18"/>
        </w:rPr>
        <w:t>The churn prediction work was directly connected with the transaction preprocessing and RFM analytics performed in earlier milestones, translating raw purchase cadence into automated early-warning retention triggers.</w:t>
      </w:r>
    </w:p>
    <w:p>
      <w:r>
        <w:rPr>
          <w:rFonts w:ascii="Calibri" w:hAnsi="Calibri"/>
          <w:b/>
          <w:i/>
          <w:color w:val="1F4E79"/>
          <w:sz w:val="18"/>
        </w:rPr>
        <w:t>Result: The churn prediction system identified 270 high-risk accounts (34.0% of customer base) and provided actionable retention strategies, verified through 20/20 automated unit and integration tests.</w:t>
      </w:r>
    </w:p>
    <w:p>
      <w:r>
        <w:br w:type="page"/>
      </w:r>
    </w:p>
    <w:p>
      <w:pPr>
        <w:spacing w:after="80"/>
      </w:pPr>
      <w:r>
        <w:rPr>
          <w:rFonts w:ascii="Calibri" w:hAnsi="Calibri"/>
          <w:b/>
          <w:color w:val="1F4E79"/>
          <w:sz w:val="25"/>
        </w:rPr>
        <w:t>Milestone 4 – Application Deployment</w:t>
      </w:r>
    </w:p>
    <w:p>
      <w:pPr>
        <w:spacing w:after="120"/>
      </w:pPr>
      <w:r>
        <w:rPr>
          <w:rFonts w:ascii="Calibri" w:hAnsi="Calibri"/>
          <w:sz w:val="19"/>
        </w:rPr>
        <w:t>Application deployment was carried out as a team activity. The MarketMind AI application was deployed on the Render cloud platform with separate frontend and backend services, allowing the two layers of the application to be built, scaled and managed independently.</w:t>
      </w:r>
    </w:p>
    <w:p>
      <w:pPr>
        <w:spacing w:after="40"/>
      </w:pPr>
      <w:r>
        <w:rPr>
          <w:rFonts w:ascii="Calibri" w:hAnsi="Calibri"/>
          <w:b/>
          <w:color w:val="1F4E79"/>
          <w:sz w:val="21"/>
        </w:rPr>
        <w:t>Deployment Flow</w:t>
      </w:r>
    </w:p>
    <w:p>
      <w:pPr>
        <w:spacing w:after="160"/>
      </w:pPr>
      <w:r>
        <w:rPr>
          <w:rFonts w:ascii="Calibri" w:hAnsi="Calibri"/>
          <w:b/>
          <w:sz w:val="19"/>
        </w:rPr>
        <w:t>GitHub Repository  →  Render Frontend  →  API Request  →  Render Backend  →  AI / Database</w:t>
      </w:r>
    </w:p>
    <w:p>
      <w:pPr>
        <w:spacing w:after="40"/>
      </w:pPr>
      <w:r>
        <w:rPr>
          <w:rFonts w:ascii="Calibri" w:hAnsi="Calibri"/>
          <w:b/>
          <w:color w:val="1F4E79"/>
          <w:sz w:val="21"/>
        </w:rPr>
        <w:t>Component Deployment Details</w:t>
      </w:r>
    </w:p>
    <w:tbl>
      <w:tblPr>
        <w:tblW w:type="auto" w:w="0"/>
        <w:jc w:val="center"/>
        <w:tblLayout w:type="fixed"/>
        <w:tblLook w:firstColumn="1" w:firstRow="1" w:lastColumn="0" w:lastRow="0" w:noHBand="0" w:noVBand="1" w:val="04A0"/>
      </w:tblPr>
      <w:tblGrid>
        <w:gridCol w:w="5040"/>
        <w:gridCol w:w="5040"/>
      </w:tblGrid>
      <w:tr>
        <w:tc>
          <w:tcPr>
            <w:tcW w:type="dxa" w:w="2592"/>
            <w:shd w:fill="1F4E79"/>
            <w:tcMar>
              <w:top w:w="70" w:type="dxa"/>
              <w:bottom w:w="70" w:type="dxa"/>
              <w:left w:w="90" w:type="dxa"/>
              <w:right w:w="90" w:type="dxa"/>
            </w:tcMar>
            <w:tcBorders>
              <w:top w:val="single" w:sz="4" w:space="0" w:color="8EA9C1"/>
              <w:bottom w:val="single" w:sz="4" w:space="0" w:color="8EA9C1"/>
              <w:left w:val="single" w:sz="4" w:space="0" w:color="8EA9C1"/>
              <w:right w:val="single" w:sz="4" w:space="0" w:color="8EA9C1"/>
            </w:tcBorders>
          </w:tcPr>
          <w:p>
            <w:pPr>
              <w:spacing w:after="40" w:before="40"/>
            </w:pPr>
            <w:r>
              <w:rPr>
                <w:rFonts w:ascii="Calibri" w:hAnsi="Calibri"/>
                <w:b/>
                <w:color w:val="FFFFFF"/>
                <w:sz w:val="19"/>
              </w:rPr>
              <w:t>Component</w:t>
            </w:r>
          </w:p>
        </w:tc>
        <w:tc>
          <w:tcPr>
            <w:tcW w:type="dxa" w:w="7488"/>
            <w:shd w:fill="1F4E79"/>
            <w:tcMar>
              <w:top w:w="70" w:type="dxa"/>
              <w:bottom w:w="70" w:type="dxa"/>
              <w:left w:w="90" w:type="dxa"/>
              <w:right w:w="90" w:type="dxa"/>
            </w:tcMar>
            <w:tcBorders>
              <w:top w:val="single" w:sz="4" w:space="0" w:color="8EA9C1"/>
              <w:bottom w:val="single" w:sz="4" w:space="0" w:color="8EA9C1"/>
              <w:left w:val="single" w:sz="4" w:space="0" w:color="8EA9C1"/>
              <w:right w:val="single" w:sz="4" w:space="0" w:color="8EA9C1"/>
            </w:tcBorders>
          </w:tcPr>
          <w:p>
            <w:pPr>
              <w:spacing w:after="40" w:before="40"/>
            </w:pPr>
            <w:r>
              <w:rPr>
                <w:rFonts w:ascii="Calibri" w:hAnsi="Calibri"/>
                <w:b/>
                <w:color w:val="FFFFFF"/>
                <w:sz w:val="19"/>
              </w:rPr>
              <w:t>Deployment Details</w:t>
            </w:r>
          </w:p>
        </w:tc>
      </w:tr>
      <w:tr>
        <w:tc>
          <w:tcPr>
            <w:tcW w:type="dxa" w:w="2592"/>
            <w:shd w:fill="FFFFFF"/>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b/>
                <w:color w:val="1A1A1A"/>
                <w:sz w:val="18"/>
              </w:rPr>
              <w:t>Frontend</w:t>
            </w:r>
          </w:p>
        </w:tc>
        <w:tc>
          <w:tcPr>
            <w:tcW w:type="dxa" w:w="7488"/>
            <w:shd w:fill="FFFFFF"/>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color w:val="1A1A1A"/>
                <w:sz w:val="18"/>
              </w:rPr>
              <w:t>React application deployed as a Render Static Site.</w:t>
            </w:r>
          </w:p>
        </w:tc>
      </w:tr>
      <w:tr>
        <w:tc>
          <w:tcPr>
            <w:tcW w:type="dxa" w:w="2592"/>
            <w:shd w:fill="DCE6F1"/>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b/>
                <w:color w:val="1A1A1A"/>
                <w:sz w:val="18"/>
              </w:rPr>
              <w:t>Backend</w:t>
            </w:r>
          </w:p>
        </w:tc>
        <w:tc>
          <w:tcPr>
            <w:tcW w:type="dxa" w:w="7488"/>
            <w:shd w:fill="DCE6F1"/>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color w:val="1A1A1A"/>
                <w:sz w:val="18"/>
              </w:rPr>
              <w:t>FastAPI application deployed as a Render Web Service.</w:t>
            </w:r>
          </w:p>
        </w:tc>
      </w:tr>
      <w:tr>
        <w:tc>
          <w:tcPr>
            <w:tcW w:type="dxa" w:w="2592"/>
            <w:shd w:fill="FFFFFF"/>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b/>
                <w:color w:val="1A1A1A"/>
                <w:sz w:val="18"/>
              </w:rPr>
              <w:t>Source</w:t>
            </w:r>
          </w:p>
        </w:tc>
        <w:tc>
          <w:tcPr>
            <w:tcW w:type="dxa" w:w="7488"/>
            <w:shd w:fill="FFFFFF"/>
            <w:tcMar>
              <w:top w:w="55" w:type="dxa"/>
              <w:bottom w:w="55" w:type="dxa"/>
              <w:left w:w="80" w:type="dxa"/>
              <w:right w:w="80" w:type="dxa"/>
            </w:tcMar>
            <w:tcBorders>
              <w:top w:val="single" w:sz="4" w:space="0" w:color="8EA9C1"/>
              <w:bottom w:val="single" w:sz="4" w:space="0" w:color="8EA9C1"/>
              <w:left w:val="single" w:sz="4" w:space="0" w:color="8EA9C1"/>
              <w:right w:val="single" w:sz="4" w:space="0" w:color="8EA9C1"/>
            </w:tcBorders>
          </w:tcPr>
          <w:p>
            <w:pPr>
              <w:spacing w:after="30" w:before="30"/>
            </w:pPr>
            <w:r>
              <w:rPr>
                <w:rFonts w:ascii="Calibri" w:hAnsi="Calibri"/>
                <w:color w:val="1A1A1A"/>
                <w:sz w:val="18"/>
              </w:rPr>
              <w:t>GitHub main branch used as the deployment source.</w:t>
            </w:r>
          </w:p>
        </w:tc>
      </w:tr>
    </w:tbl>
    <w:p>
      <w:pPr>
        <w:spacing w:before="160" w:after="120"/>
      </w:pPr>
    </w:p>
    <w:p>
      <w:pPr>
        <w:spacing w:after="40"/>
      </w:pPr>
      <w:r>
        <w:rPr>
          <w:b/>
          <w:sz w:val="19"/>
        </w:rPr>
        <w:t xml:space="preserve">Backend: </w:t>
      </w:r>
      <w:r>
        <w:rPr>
          <w:color w:val="2E74B5"/>
          <w:sz w:val="19"/>
          <w:u w:val="single"/>
        </w:rPr>
        <w:t>https://marketmindai-backend-2or0.onrender.com</w:t>
      </w:r>
    </w:p>
    <w:p>
      <w:pPr>
        <w:spacing w:after="40"/>
      </w:pPr>
      <w:r>
        <w:rPr>
          <w:b/>
          <w:sz w:val="19"/>
        </w:rPr>
        <w:t xml:space="preserve">Frontend: </w:t>
      </w:r>
      <w:r>
        <w:rPr>
          <w:color w:val="2E74B5"/>
          <w:sz w:val="19"/>
          <w:u w:val="single"/>
        </w:rPr>
        <w:t>https://frontend-sr7i.onrender.com</w:t>
      </w:r>
    </w:p>
    <w:p>
      <w:pPr>
        <w:spacing w:after="40"/>
      </w:pPr>
      <w:r>
        <w:rPr>
          <w:b/>
          <w:sz w:val="19"/>
        </w:rPr>
        <w:t xml:space="preserve">Backend API Documentation: </w:t>
      </w:r>
      <w:r>
        <w:rPr>
          <w:color w:val="2E74B5"/>
          <w:sz w:val="19"/>
          <w:u w:val="single"/>
        </w:rPr>
        <w:t>https://marketmindai-backend-2or0.onrender.com/docs</w:t>
      </w:r>
    </w:p>
    <w:p>
      <w:pPr>
        <w:spacing w:before="160"/>
      </w:pPr>
    </w:p>
    <w:p>
      <w:r>
        <w:drawing>
          <wp:inline xmlns:a="http://schemas.openxmlformats.org/drawingml/2006/main" xmlns:pic="http://schemas.openxmlformats.org/drawingml/2006/picture">
            <wp:extent cx="3017520" cy="1555183"/>
            <wp:docPr id="1" name="Picture 1"/>
            <wp:cNvGraphicFramePr>
              <a:graphicFrameLocks noChangeAspect="1"/>
            </wp:cNvGraphicFramePr>
            <a:graphic>
              <a:graphicData uri="http://schemas.openxmlformats.org/drawingml/2006/picture">
                <pic:pic>
                  <pic:nvPicPr>
                    <pic:cNvPr id="0" name="page4_img_0_Image38.png"/>
                    <pic:cNvPicPr/>
                  </pic:nvPicPr>
                  <pic:blipFill>
                    <a:blip r:embed="rId9"/>
                    <a:stretch>
                      <a:fillRect/>
                    </a:stretch>
                  </pic:blipFill>
                  <pic:spPr>
                    <a:xfrm>
                      <a:off x="0" y="0"/>
                      <a:ext cx="3017520" cy="1555183"/>
                    </a:xfrm>
                    <a:prstGeom prst="rect"/>
                  </pic:spPr>
                </pic:pic>
              </a:graphicData>
            </a:graphic>
          </wp:inline>
        </w:drawing>
      </w:r>
    </w:p>
    <w:p>
      <w:r>
        <w:rPr>
          <w:i/>
          <w:sz w:val="17"/>
        </w:rPr>
        <w:t>Figure 4.1(a) – Render Frontend Deployment</w:t>
      </w:r>
    </w:p>
    <w:p>
      <w:r>
        <w:drawing>
          <wp:inline xmlns:a="http://schemas.openxmlformats.org/drawingml/2006/main" xmlns:pic="http://schemas.openxmlformats.org/drawingml/2006/picture">
            <wp:extent cx="3017520" cy="1833724"/>
            <wp:docPr id="2" name="Picture 2"/>
            <wp:cNvGraphicFramePr>
              <a:graphicFrameLocks noChangeAspect="1"/>
            </wp:cNvGraphicFramePr>
            <a:graphic>
              <a:graphicData uri="http://schemas.openxmlformats.org/drawingml/2006/picture">
                <pic:pic>
                  <pic:nvPicPr>
                    <pic:cNvPr id="0" name="page4_img_1_Image39.jpg"/>
                    <pic:cNvPicPr/>
                  </pic:nvPicPr>
                  <pic:blipFill>
                    <a:blip r:embed="rId10"/>
                    <a:stretch>
                      <a:fillRect/>
                    </a:stretch>
                  </pic:blipFill>
                  <pic:spPr>
                    <a:xfrm>
                      <a:off x="0" y="0"/>
                      <a:ext cx="3017520" cy="1833724"/>
                    </a:xfrm>
                    <a:prstGeom prst="rect"/>
                  </pic:spPr>
                </pic:pic>
              </a:graphicData>
            </a:graphic>
          </wp:inline>
        </w:drawing>
      </w:r>
    </w:p>
    <w:p>
      <w:r>
        <w:rPr>
          <w:i/>
          <w:sz w:val="17"/>
        </w:rPr>
        <w:t>Figure 4.1(b) – Render Backend Deployment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