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25294" w14:textId="77777777" w:rsidR="003A621F" w:rsidRDefault="00000000">
      <w:pPr>
        <w:pStyle w:val="Heading1"/>
        <w:jc w:val="center"/>
      </w:pPr>
      <w:r>
        <w:t>Indian Kids Screen Time Analysis Dashboard – Insights Report</w:t>
      </w:r>
    </w:p>
    <w:p w14:paraId="6616C3D1" w14:textId="77777777" w:rsidR="003A621F" w:rsidRDefault="00000000">
      <w:pPr>
        <w:pStyle w:val="Heading2"/>
      </w:pPr>
      <w:r>
        <w:t>1. Overview</w:t>
      </w:r>
    </w:p>
    <w:p w14:paraId="126310C8" w14:textId="77777777" w:rsidR="003A621F" w:rsidRDefault="00000000">
      <w:pPr>
        <w:spacing w:after="160"/>
      </w:pPr>
      <w:r>
        <w:t>This dashboard analyzes screen time behavior among 9,712 Indian children, exploring age, gender, region, device type, and health impacts. It provides behavioral insights and identifies risk patterns that can guide digital health awareness and educational interventions.</w:t>
      </w:r>
    </w:p>
    <w:p w14:paraId="7D8772B0" w14:textId="77777777" w:rsidR="003A621F" w:rsidRDefault="00000000">
      <w:pPr>
        <w:pStyle w:val="Heading2"/>
      </w:pPr>
      <w:r>
        <w:t>2. General Usage Overview</w:t>
      </w:r>
    </w:p>
    <w:p w14:paraId="5047C651" w14:textId="77777777" w:rsidR="003A621F" w:rsidRDefault="00000000">
      <w:pPr>
        <w:spacing w:after="160"/>
      </w:pPr>
      <w:r>
        <w:t>• Average Daily Screen Time: 4.35 hours/day</w:t>
      </w:r>
      <w:r>
        <w:br/>
        <w:t>• Educational to Recreational Ratio: 0.427</w:t>
      </w:r>
      <w:r>
        <w:br/>
        <w:t>• Total Respondents: 9,712</w:t>
      </w:r>
      <w:r>
        <w:br/>
        <w:t>This reveals an imbalance between educational and recreational screen usage, indicating excessive entertainment-based exposure.</w:t>
      </w:r>
    </w:p>
    <w:p w14:paraId="6C8FFF58" w14:textId="77777777" w:rsidR="003A621F" w:rsidRDefault="00000000">
      <w:pPr>
        <w:pStyle w:val="Heading2"/>
      </w:pPr>
      <w:r>
        <w:t>3. Age-Based Insights</w:t>
      </w:r>
    </w:p>
    <w:p w14:paraId="6B43BEB7" w14:textId="77777777" w:rsidR="003A621F" w:rsidRDefault="00000000">
      <w:pPr>
        <w:spacing w:after="160"/>
      </w:pPr>
      <w:r>
        <w:t>Screen time increases steadily with age, peaking during late teens (16–18 years) at approximately 4.56 hrs/day. Pre-teens (8–12 years) show lower averages (~4.0 hrs) but still exceed WHO recommendations. The sharpest rise occurs between 12–16 years, reflecting the shift toward unsupervised device use.</w:t>
      </w:r>
    </w:p>
    <w:p w14:paraId="20F8541D" w14:textId="77777777" w:rsidR="003A621F" w:rsidRDefault="00000000">
      <w:pPr>
        <w:pStyle w:val="Heading2"/>
      </w:pPr>
      <w:r>
        <w:t>4. Gender-Based Analysis</w:t>
      </w:r>
    </w:p>
    <w:p w14:paraId="71BFAA15" w14:textId="77777777" w:rsidR="003A621F" w:rsidRDefault="00000000">
      <w:pPr>
        <w:spacing w:after="160"/>
      </w:pPr>
      <w:r>
        <w:t>Males average 4.38 hrs/day, while females average 4.31 hrs/day. This small difference suggests gender-neutral digital exposure. However, males are more engaged in gaming and social media, while females focus on communication and learning activities.</w:t>
      </w:r>
    </w:p>
    <w:p w14:paraId="60ECE7C1" w14:textId="77777777" w:rsidR="003A621F" w:rsidRDefault="00000000">
      <w:pPr>
        <w:pStyle w:val="Heading2"/>
      </w:pPr>
      <w:r>
        <w:t>5. Urban vs Rural Behavior</w:t>
      </w:r>
    </w:p>
    <w:p w14:paraId="7B83C854" w14:textId="77777777" w:rsidR="003A621F" w:rsidRDefault="00000000">
      <w:pPr>
        <w:spacing w:after="160"/>
      </w:pPr>
      <w:r>
        <w:t>Urban users average 4.37 hrs/day and rural users 4.38 hrs/day, showing near parity in screen time. Urban children access multiple devices, while rural users rely mainly on smartphones. Connectivity and device variety define the primary regional differences.</w:t>
      </w:r>
    </w:p>
    <w:p w14:paraId="09A929F7" w14:textId="77777777" w:rsidR="003A621F" w:rsidRDefault="00000000">
      <w:pPr>
        <w:pStyle w:val="Heading2"/>
      </w:pPr>
      <w:r>
        <w:t>6. Device-Based Insights</w:t>
      </w:r>
    </w:p>
    <w:p w14:paraId="39BBAE7D" w14:textId="77777777" w:rsidR="003A621F" w:rsidRDefault="00000000">
      <w:pPr>
        <w:spacing w:after="160"/>
      </w:pPr>
      <w:r>
        <w:t>• Most Used Device: Smartphone</w:t>
      </w:r>
      <w:r>
        <w:br/>
        <w:t>• Average Usage by Device:</w:t>
      </w:r>
      <w:r>
        <w:br/>
        <w:t xml:space="preserve">  – Smartphone: ~4.4 hrs/day</w:t>
      </w:r>
      <w:r>
        <w:br/>
        <w:t xml:space="preserve">  – Laptop: ~4.3 hrs/day</w:t>
      </w:r>
      <w:r>
        <w:br/>
        <w:t xml:space="preserve">  – TV: ~4.2 hrs/day</w:t>
      </w:r>
      <w:r>
        <w:br/>
        <w:t xml:space="preserve">  – Tablet: ~4.1 hrs/day</w:t>
      </w:r>
      <w:r>
        <w:br/>
        <w:t>Portable devices dominate (~78% usage), showing a shift from shared to personal screen time.</w:t>
      </w:r>
    </w:p>
    <w:p w14:paraId="3373EB43" w14:textId="77777777" w:rsidR="00D43A33" w:rsidRDefault="00D43A33">
      <w:pPr>
        <w:spacing w:after="160"/>
      </w:pPr>
    </w:p>
    <w:p w14:paraId="2612C0A7" w14:textId="77777777" w:rsidR="00D43A33" w:rsidRDefault="00D43A33">
      <w:pPr>
        <w:spacing w:after="160"/>
      </w:pPr>
    </w:p>
    <w:p w14:paraId="7021CF5E" w14:textId="77777777" w:rsidR="003A621F" w:rsidRDefault="00000000">
      <w:pPr>
        <w:pStyle w:val="Heading2"/>
      </w:pPr>
      <w:r>
        <w:lastRenderedPageBreak/>
        <w:t>7. Health Impact Analysis</w:t>
      </w:r>
    </w:p>
    <w:p w14:paraId="5C1D40CF" w14:textId="77777777" w:rsidR="003A621F" w:rsidRDefault="00000000">
      <w:pPr>
        <w:spacing w:after="160"/>
      </w:pPr>
      <w:r>
        <w:t>• Mental Health Impact: ~1,320 cases</w:t>
      </w:r>
      <w:r>
        <w:br/>
        <w:t>• Physical Health Impact: ~892 cases</w:t>
      </w:r>
      <w:r>
        <w:br/>
        <w:t>• Both Mental + Physical: ~400 cases</w:t>
      </w:r>
      <w:r>
        <w:br/>
        <w:t>Mental impacts (anxiety, eye strain, poor sleep) are more common. Kids with &gt;4.5 hrs/day screen time show stronger correlations with mental health issues.</w:t>
      </w:r>
    </w:p>
    <w:p w14:paraId="694C222F" w14:textId="77777777" w:rsidR="003A621F" w:rsidRDefault="00000000">
      <w:pPr>
        <w:pStyle w:val="Heading2"/>
      </w:pPr>
      <w:r>
        <w:t>8. Educational vs Recreational Patterns</w:t>
      </w:r>
    </w:p>
    <w:p w14:paraId="28C84EE0" w14:textId="77777777" w:rsidR="003A621F" w:rsidRDefault="00000000">
      <w:pPr>
        <w:spacing w:after="160"/>
      </w:pPr>
      <w:r>
        <w:t>Only 43% of total screen time is educational. The rest (~57%) is recreational, mainly entertainment and gaming. This calls for promoting structured screen routines and parental monitoring to ensure balanced use.</w:t>
      </w:r>
    </w:p>
    <w:p w14:paraId="2786AD23" w14:textId="77777777" w:rsidR="003A621F" w:rsidRDefault="00000000">
      <w:pPr>
        <w:pStyle w:val="Heading2"/>
      </w:pPr>
      <w:r>
        <w:t>9. Risk Segments &amp; Outliers</w:t>
      </w:r>
    </w:p>
    <w:p w14:paraId="74ACCF4F" w14:textId="77777777" w:rsidR="003A621F" w:rsidRDefault="00000000">
      <w:pPr>
        <w:spacing w:after="160"/>
      </w:pPr>
      <w:r>
        <w:t>High-risk users include teens spending &gt;4.5 hrs/day on TVs or tablets and late teens with prolonged smartphone use. Outliers (11+ hrs/day) reflect possible addictive behavior. Focused intervention and monitoring are recommended.</w:t>
      </w:r>
    </w:p>
    <w:p w14:paraId="249A015D" w14:textId="77777777" w:rsidR="003A621F" w:rsidRDefault="00000000">
      <w:pPr>
        <w:pStyle w:val="Heading2"/>
      </w:pPr>
      <w:r>
        <w:t>10. Research &amp; Policy Insights</w:t>
      </w:r>
    </w:p>
    <w:p w14:paraId="43330368" w14:textId="77777777" w:rsidR="003A621F" w:rsidRDefault="00000000">
      <w:pPr>
        <w:spacing w:after="160"/>
      </w:pPr>
      <w:r>
        <w:t>• Adolescents exhibit strong recreational dependency.</w:t>
      </w:r>
      <w:r>
        <w:br/>
        <w:t>• High screen exposure correlates with increased mental fatigue and decreased academic focus.</w:t>
      </w:r>
      <w:r>
        <w:br/>
        <w:t>• Recommend nationwide awareness programs for healthy digital habits.</w:t>
      </w:r>
      <w:r>
        <w:br/>
        <w:t>• Encourage digital literacy in schools for safe and balanced tech use.</w:t>
      </w:r>
    </w:p>
    <w:p w14:paraId="17169695" w14:textId="77777777" w:rsidR="003A621F" w:rsidRDefault="00000000">
      <w:pPr>
        <w:pStyle w:val="Heading2"/>
      </w:pPr>
      <w:r>
        <w:t>11. Summary &amp; Recommendations</w:t>
      </w:r>
    </w:p>
    <w:p w14:paraId="061F234E" w14:textId="77777777" w:rsidR="00D43A33" w:rsidRPr="00D43A33" w:rsidRDefault="00D43A33" w:rsidP="00D43A33"/>
    <w:tbl>
      <w:tblPr>
        <w:tblStyle w:val="GridTable4"/>
        <w:tblW w:w="9180" w:type="dxa"/>
        <w:tblLook w:val="04A0" w:firstRow="1" w:lastRow="0" w:firstColumn="1" w:lastColumn="0" w:noHBand="0" w:noVBand="1"/>
      </w:tblPr>
      <w:tblGrid>
        <w:gridCol w:w="2880"/>
        <w:gridCol w:w="2880"/>
        <w:gridCol w:w="3420"/>
      </w:tblGrid>
      <w:tr w:rsidR="003A621F" w14:paraId="1915611B" w14:textId="77777777" w:rsidTr="00D43A3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89B97E3" w14:textId="77777777" w:rsidR="003A621F" w:rsidRDefault="00000000">
            <w:r>
              <w:t>Focus Area</w:t>
            </w:r>
          </w:p>
        </w:tc>
        <w:tc>
          <w:tcPr>
            <w:tcW w:w="2880" w:type="dxa"/>
          </w:tcPr>
          <w:p w14:paraId="641EBD6C" w14:textId="77777777" w:rsidR="003A621F" w:rsidRDefault="00000000">
            <w:pPr>
              <w:cnfStyle w:val="100000000000" w:firstRow="1" w:lastRow="0" w:firstColumn="0" w:lastColumn="0" w:oddVBand="0" w:evenVBand="0" w:oddHBand="0" w:evenHBand="0" w:firstRowFirstColumn="0" w:firstRowLastColumn="0" w:lastRowFirstColumn="0" w:lastRowLastColumn="0"/>
            </w:pPr>
            <w:r>
              <w:t>Observation</w:t>
            </w:r>
          </w:p>
        </w:tc>
        <w:tc>
          <w:tcPr>
            <w:tcW w:w="3420" w:type="dxa"/>
          </w:tcPr>
          <w:p w14:paraId="0A55CFE6" w14:textId="77777777" w:rsidR="003A621F" w:rsidRDefault="00000000">
            <w:pPr>
              <w:cnfStyle w:val="100000000000" w:firstRow="1" w:lastRow="0" w:firstColumn="0" w:lastColumn="0" w:oddVBand="0" w:evenVBand="0" w:oddHBand="0" w:evenHBand="0" w:firstRowFirstColumn="0" w:firstRowLastColumn="0" w:lastRowFirstColumn="0" w:lastRowLastColumn="0"/>
            </w:pPr>
            <w:r>
              <w:t>Recommendation</w:t>
            </w:r>
          </w:p>
        </w:tc>
      </w:tr>
      <w:tr w:rsidR="003A621F" w14:paraId="485DC95C" w14:textId="77777777" w:rsidTr="00D43A3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43B0546" w14:textId="77777777" w:rsidR="003A621F" w:rsidRDefault="00000000">
            <w:r>
              <w:t>Screen Duration</w:t>
            </w:r>
          </w:p>
        </w:tc>
        <w:tc>
          <w:tcPr>
            <w:tcW w:w="2880" w:type="dxa"/>
          </w:tcPr>
          <w:p w14:paraId="47463EAC" w14:textId="77777777" w:rsidR="003A621F" w:rsidRDefault="00000000">
            <w:pPr>
              <w:cnfStyle w:val="000000100000" w:firstRow="0" w:lastRow="0" w:firstColumn="0" w:lastColumn="0" w:oddVBand="0" w:evenVBand="0" w:oddHBand="1" w:evenHBand="0" w:firstRowFirstColumn="0" w:firstRowLastColumn="0" w:lastRowFirstColumn="0" w:lastRowLastColumn="0"/>
            </w:pPr>
            <w:r>
              <w:t>Average 4.35 hrs/day</w:t>
            </w:r>
          </w:p>
        </w:tc>
        <w:tc>
          <w:tcPr>
            <w:tcW w:w="3420" w:type="dxa"/>
          </w:tcPr>
          <w:p w14:paraId="6CDF2A11" w14:textId="77777777" w:rsidR="003A621F" w:rsidRDefault="00000000">
            <w:pPr>
              <w:cnfStyle w:val="000000100000" w:firstRow="0" w:lastRow="0" w:firstColumn="0" w:lastColumn="0" w:oddVBand="0" w:evenVBand="0" w:oddHBand="1" w:evenHBand="0" w:firstRowFirstColumn="0" w:firstRowLastColumn="0" w:lastRowFirstColumn="0" w:lastRowLastColumn="0"/>
            </w:pPr>
            <w:r>
              <w:t>Encourage balanced use ≤2 hrs/day</w:t>
            </w:r>
          </w:p>
        </w:tc>
      </w:tr>
      <w:tr w:rsidR="003A621F" w14:paraId="4B7A753E" w14:textId="77777777" w:rsidTr="00D43A33">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1029993" w14:textId="77777777" w:rsidR="003A621F" w:rsidRDefault="00000000">
            <w:r>
              <w:t>Educational Ratio</w:t>
            </w:r>
          </w:p>
        </w:tc>
        <w:tc>
          <w:tcPr>
            <w:tcW w:w="2880" w:type="dxa"/>
          </w:tcPr>
          <w:p w14:paraId="6BCA7D5B" w14:textId="77777777" w:rsidR="003A621F" w:rsidRDefault="00000000">
            <w:pPr>
              <w:cnfStyle w:val="000000000000" w:firstRow="0" w:lastRow="0" w:firstColumn="0" w:lastColumn="0" w:oddVBand="0" w:evenVBand="0" w:oddHBand="0" w:evenHBand="0" w:firstRowFirstColumn="0" w:firstRowLastColumn="0" w:lastRowFirstColumn="0" w:lastRowLastColumn="0"/>
            </w:pPr>
            <w:r>
              <w:t>0.427 (low learning time)</w:t>
            </w:r>
          </w:p>
        </w:tc>
        <w:tc>
          <w:tcPr>
            <w:tcW w:w="3420" w:type="dxa"/>
          </w:tcPr>
          <w:p w14:paraId="52380DE9" w14:textId="77777777" w:rsidR="003A621F" w:rsidRDefault="00000000">
            <w:pPr>
              <w:cnfStyle w:val="000000000000" w:firstRow="0" w:lastRow="0" w:firstColumn="0" w:lastColumn="0" w:oddVBand="0" w:evenVBand="0" w:oddHBand="0" w:evenHBand="0" w:firstRowFirstColumn="0" w:firstRowLastColumn="0" w:lastRowFirstColumn="0" w:lastRowLastColumn="0"/>
            </w:pPr>
            <w:r>
              <w:t>Promote academic/skill-based screen use</w:t>
            </w:r>
          </w:p>
        </w:tc>
      </w:tr>
      <w:tr w:rsidR="003A621F" w14:paraId="3C351A58" w14:textId="77777777" w:rsidTr="00D43A3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3F09DF2" w14:textId="77777777" w:rsidR="003A621F" w:rsidRDefault="00000000">
            <w:r>
              <w:t>High-Risk Age</w:t>
            </w:r>
          </w:p>
        </w:tc>
        <w:tc>
          <w:tcPr>
            <w:tcW w:w="2880" w:type="dxa"/>
          </w:tcPr>
          <w:p w14:paraId="30E81F43" w14:textId="77777777" w:rsidR="003A621F" w:rsidRDefault="00000000">
            <w:pPr>
              <w:cnfStyle w:val="000000100000" w:firstRow="0" w:lastRow="0" w:firstColumn="0" w:lastColumn="0" w:oddVBand="0" w:evenVBand="0" w:oddHBand="1" w:evenHBand="0" w:firstRowFirstColumn="0" w:firstRowLastColumn="0" w:lastRowFirstColumn="0" w:lastRowLastColumn="0"/>
            </w:pPr>
            <w:r>
              <w:t>Teens (13–18 yrs)</w:t>
            </w:r>
          </w:p>
        </w:tc>
        <w:tc>
          <w:tcPr>
            <w:tcW w:w="3420" w:type="dxa"/>
          </w:tcPr>
          <w:p w14:paraId="540418B8" w14:textId="77777777" w:rsidR="003A621F" w:rsidRDefault="00000000">
            <w:pPr>
              <w:cnfStyle w:val="000000100000" w:firstRow="0" w:lastRow="0" w:firstColumn="0" w:lastColumn="0" w:oddVBand="0" w:evenVBand="0" w:oddHBand="1" w:evenHBand="0" w:firstRowFirstColumn="0" w:firstRowLastColumn="0" w:lastRowFirstColumn="0" w:lastRowLastColumn="0"/>
            </w:pPr>
            <w:r>
              <w:t>Target awareness and parental guidance programs</w:t>
            </w:r>
          </w:p>
        </w:tc>
      </w:tr>
      <w:tr w:rsidR="003A621F" w14:paraId="6C2591A5" w14:textId="77777777" w:rsidTr="00D43A33">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C407117" w14:textId="77777777" w:rsidR="003A621F" w:rsidRDefault="00000000">
            <w:r>
              <w:t>Device Usage</w:t>
            </w:r>
          </w:p>
        </w:tc>
        <w:tc>
          <w:tcPr>
            <w:tcW w:w="2880" w:type="dxa"/>
          </w:tcPr>
          <w:p w14:paraId="2F3F785E" w14:textId="77777777" w:rsidR="003A621F" w:rsidRDefault="00000000">
            <w:pPr>
              <w:cnfStyle w:val="000000000000" w:firstRow="0" w:lastRow="0" w:firstColumn="0" w:lastColumn="0" w:oddVBand="0" w:evenVBand="0" w:oddHBand="0" w:evenHBand="0" w:firstRowFirstColumn="0" w:firstRowLastColumn="0" w:lastRowFirstColumn="0" w:lastRowLastColumn="0"/>
            </w:pPr>
            <w:r>
              <w:t>78% portable devices</w:t>
            </w:r>
          </w:p>
        </w:tc>
        <w:tc>
          <w:tcPr>
            <w:tcW w:w="3420" w:type="dxa"/>
          </w:tcPr>
          <w:p w14:paraId="30F96F0A" w14:textId="77777777" w:rsidR="003A621F" w:rsidRDefault="00000000">
            <w:pPr>
              <w:cnfStyle w:val="000000000000" w:firstRow="0" w:lastRow="0" w:firstColumn="0" w:lastColumn="0" w:oddVBand="0" w:evenVBand="0" w:oddHBand="0" w:evenHBand="0" w:firstRowFirstColumn="0" w:firstRowLastColumn="0" w:lastRowFirstColumn="0" w:lastRowLastColumn="0"/>
            </w:pPr>
            <w:r>
              <w:t>Promote eye-care, break reminders, ergonomic posture</w:t>
            </w:r>
          </w:p>
        </w:tc>
      </w:tr>
      <w:tr w:rsidR="003A621F" w14:paraId="72307E40" w14:textId="77777777" w:rsidTr="00D43A3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8515DED" w14:textId="77777777" w:rsidR="003A621F" w:rsidRDefault="00000000">
            <w:r>
              <w:t>Health Impact</w:t>
            </w:r>
          </w:p>
        </w:tc>
        <w:tc>
          <w:tcPr>
            <w:tcW w:w="2880" w:type="dxa"/>
          </w:tcPr>
          <w:p w14:paraId="648D3805" w14:textId="77777777" w:rsidR="003A621F" w:rsidRDefault="00000000">
            <w:pPr>
              <w:cnfStyle w:val="000000100000" w:firstRow="0" w:lastRow="0" w:firstColumn="0" w:lastColumn="0" w:oddVBand="0" w:evenVBand="0" w:oddHBand="1" w:evenHBand="0" w:firstRowFirstColumn="0" w:firstRowLastColumn="0" w:lastRowFirstColumn="0" w:lastRowLastColumn="0"/>
            </w:pPr>
            <w:r>
              <w:t>Mental &gt; Physical</w:t>
            </w:r>
          </w:p>
        </w:tc>
        <w:tc>
          <w:tcPr>
            <w:tcW w:w="3420" w:type="dxa"/>
          </w:tcPr>
          <w:p w14:paraId="18AAF973" w14:textId="77777777" w:rsidR="003A621F" w:rsidRDefault="00000000">
            <w:pPr>
              <w:cnfStyle w:val="000000100000" w:firstRow="0" w:lastRow="0" w:firstColumn="0" w:lastColumn="0" w:oddVBand="0" w:evenVBand="0" w:oddHBand="1" w:evenHBand="0" w:firstRowFirstColumn="0" w:firstRowLastColumn="0" w:lastRowFirstColumn="0" w:lastRowLastColumn="0"/>
            </w:pPr>
            <w:r>
              <w:t>Add mental wellness sessions to digital literacy programs</w:t>
            </w:r>
          </w:p>
        </w:tc>
      </w:tr>
      <w:tr w:rsidR="003A621F" w14:paraId="7D16A5B1" w14:textId="77777777" w:rsidTr="00D43A33">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9685669" w14:textId="77777777" w:rsidR="003A621F" w:rsidRDefault="00000000">
            <w:r>
              <w:t>Region</w:t>
            </w:r>
          </w:p>
        </w:tc>
        <w:tc>
          <w:tcPr>
            <w:tcW w:w="2880" w:type="dxa"/>
          </w:tcPr>
          <w:p w14:paraId="42C7C90B" w14:textId="77777777" w:rsidR="003A621F" w:rsidRDefault="00000000">
            <w:pPr>
              <w:cnfStyle w:val="000000000000" w:firstRow="0" w:lastRow="0" w:firstColumn="0" w:lastColumn="0" w:oddVBand="0" w:evenVBand="0" w:oddHBand="0" w:evenHBand="0" w:firstRowFirstColumn="0" w:firstRowLastColumn="0" w:lastRowFirstColumn="0" w:lastRowLastColumn="0"/>
            </w:pPr>
            <w:r>
              <w:t>Urban ≈ Rural usage</w:t>
            </w:r>
          </w:p>
        </w:tc>
        <w:tc>
          <w:tcPr>
            <w:tcW w:w="3420" w:type="dxa"/>
          </w:tcPr>
          <w:p w14:paraId="05788F1B" w14:textId="77777777" w:rsidR="003A621F" w:rsidRDefault="00000000">
            <w:pPr>
              <w:cnfStyle w:val="000000000000" w:firstRow="0" w:lastRow="0" w:firstColumn="0" w:lastColumn="0" w:oddVBand="0" w:evenVBand="0" w:oddHBand="0" w:evenHBand="0" w:firstRowFirstColumn="0" w:firstRowLastColumn="0" w:lastRowFirstColumn="0" w:lastRowLastColumn="0"/>
            </w:pPr>
            <w:r>
              <w:t>Uniform awareness campaigns across demographics</w:t>
            </w:r>
          </w:p>
        </w:tc>
      </w:tr>
    </w:tbl>
    <w:p w14:paraId="68DF81EA" w14:textId="77777777" w:rsidR="003A621F" w:rsidRDefault="00000000">
      <w:pPr>
        <w:pStyle w:val="Heading2"/>
      </w:pPr>
      <w:r>
        <w:t>12. Conclusion</w:t>
      </w:r>
    </w:p>
    <w:p w14:paraId="6187EFB5" w14:textId="77777777" w:rsidR="003A621F" w:rsidRDefault="00000000">
      <w:pPr>
        <w:spacing w:after="160"/>
      </w:pPr>
      <w:r>
        <w:t>The Indian Kids Screen Time Analysis highlights excessive recreational usage, especially among teens using portable devices. While access equality is improving, digital well-being awareness remains low. This report underscores the urgent need for digital hygiene education, screen-time balance, and health-conscious technology engagement among youth.</w:t>
      </w:r>
    </w:p>
    <w:sectPr w:rsidR="003A621F" w:rsidSect="00D43A33">
      <w:pgSz w:w="12240" w:h="15840"/>
      <w:pgMar w:top="851" w:right="1800" w:bottom="993"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2126564">
    <w:abstractNumId w:val="8"/>
  </w:num>
  <w:num w:numId="2" w16cid:durableId="431781214">
    <w:abstractNumId w:val="6"/>
  </w:num>
  <w:num w:numId="3" w16cid:durableId="244923079">
    <w:abstractNumId w:val="5"/>
  </w:num>
  <w:num w:numId="4" w16cid:durableId="2046983895">
    <w:abstractNumId w:val="4"/>
  </w:num>
  <w:num w:numId="5" w16cid:durableId="982582744">
    <w:abstractNumId w:val="7"/>
  </w:num>
  <w:num w:numId="6" w16cid:durableId="1284268879">
    <w:abstractNumId w:val="3"/>
  </w:num>
  <w:num w:numId="7" w16cid:durableId="392896325">
    <w:abstractNumId w:val="2"/>
  </w:num>
  <w:num w:numId="8" w16cid:durableId="978731725">
    <w:abstractNumId w:val="1"/>
  </w:num>
  <w:num w:numId="9" w16cid:durableId="175335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48A6"/>
    <w:rsid w:val="003A621F"/>
    <w:rsid w:val="009E0492"/>
    <w:rsid w:val="00AA1D8D"/>
    <w:rsid w:val="00B47730"/>
    <w:rsid w:val="00CB0664"/>
    <w:rsid w:val="00D43A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765629"/>
  <w14:defaultImageDpi w14:val="300"/>
  <w15:docId w15:val="{9A7FA75A-EF6A-4EC6-B271-99FF0E2D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
    <w:name w:val="Grid Table 4"/>
    <w:basedOn w:val="TableNormal"/>
    <w:uiPriority w:val="49"/>
    <w:rsid w:val="00D43A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3302</Characters>
  <Application>Microsoft Office Word</Application>
  <DocSecurity>0</DocSecurity>
  <Lines>89</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DHANA SRINIVASAN</cp:lastModifiedBy>
  <cp:revision>2</cp:revision>
  <dcterms:created xsi:type="dcterms:W3CDTF">2025-10-27T14:58:00Z</dcterms:created>
  <dcterms:modified xsi:type="dcterms:W3CDTF">2025-10-27T14:58:00Z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97e73002-e690-45c0-8e56-19c693d38048</vt:lpwstr>
  </property>
</Properties>
</file>