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Textile Waste Intelligence Platform</w:t>
      </w:r>
    </w:p>
    <w:p>
      <w:pPr>
        <w:spacing w:after="100"/>
        <w:jc w:val="center"/>
      </w:pPr>
      <w:r>
        <w:rPr>
          <w:b/>
          <w:bCs/>
          <w:color w:val="1F3A5F"/>
          <w:sz w:val="30"/>
          <w:szCs w:val="30"/>
        </w:rPr>
        <w:t xml:space="preserve">Milestone 2 — Cloth Analysis Report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Material Recognition &amp; Waste Classification Engine Output</w:t>
      </w:r>
    </w:p>
    <w:p>
      <w:pPr>
        <w:spacing w:after="1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Fig. 1 — Sample garment submitted for analysis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Report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Report Type</w:t>
            </w:r>
          </w:p>
        </w:tc>
        <w:tc>
          <w:tcPr>
            <w:tcW w:type="dxa" w:w="58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Automated Textile Waste Classification Report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Generated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2026-07-24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Sample Item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Woven garment sample (sample_denim_garment.jpg)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Pipeline Stage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Milestone 2 — Weeks 3 &amp; 4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Predicted Material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Nylon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Waste Category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Reusable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Recyclability Score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84.3 / 100</w:t>
            </w:r>
          </w:p>
        </w:tc>
      </w:tr>
    </w:tbl>
    <w:p>
      <w:pPr>
        <w:pStyle w:val="Heading1"/>
        <w:spacing w:after="150" w:before="300"/>
      </w:pPr>
      <w:r>
        <w:t xml:space="preserve">2. Textile Image Analysis Engine — Visual Features</w:t>
      </w:r>
    </w:p>
    <w:p>
      <w:pPr>
        <w:spacing w:after="120"/>
      </w:pPr>
      <w:r>
        <w:t xml:space="preserve">The image is resized and passed through the color, texture, pattern, damage, and contamination analysis stages. Results below are the raw numeric outputs (0–1 normalized unless noted).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8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Mean Color (RGB)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55.2, 69.8, 109.6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Brightness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0.2745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Saturation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0.4969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Color Spread (std)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0.033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Texture Roughness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0.0365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Texture Uniformity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0.7282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Edge Density (pattern)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0.0182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Pattern Regularity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0.9947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Damage Score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0.0938</w:t>
            </w:r>
          </w:p>
        </w:tc>
      </w:tr>
      <w:tr>
        <w:tc>
          <w:tcPr>
            <w:tcW w:type="dxa" w:w="4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Contamination Score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0.0174</w:t>
            </w:r>
          </w:p>
        </w:tc>
      </w:tr>
    </w:tbl>
    <w:p>
      <w:pPr>
        <w:pStyle w:val="Heading1"/>
        <w:spacing w:after="150" w:before="300"/>
      </w:pPr>
      <w:r>
        <w:t xml:space="preserve">3. Visual Analysis Outputs</w:t>
      </w:r>
    </w:p>
    <w:p>
      <w:pPr>
        <w:spacing w:after="120"/>
      </w:pPr>
      <w:r>
        <w:t xml:space="preserve">Each stage of the Image Analysis Engine produces a visual output alongside its numeric score, so results can be checked by eye. All images below are also included as separate downloadable PNG files in the reports/images folder.</w:t>
      </w:r>
    </w:p>
    <w:p>
      <w:pPr>
        <w:spacing w:after="4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 — Resized input (128×128) as seen by the model</w:t>
      </w:r>
    </w:p>
    <w:p>
      <w:pPr>
        <w:spacing w:after="4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3 — Grayscale (luma) used for texture/edge analysis</w:t>
      </w:r>
    </w:p>
    <w:p>
      <w:pPr>
        <w:spacing w:after="4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 — Edge / pattern map (gradient magnitude → weave regularity)</w:t>
      </w:r>
    </w:p>
    <w:p>
      <w:pPr>
        <w:spacing w:after="4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5 — Texture roughness heatmap (blue = smooth, red = high local variance)</w:t>
      </w:r>
    </w:p>
    <w:p>
      <w:pPr>
        <w:spacing w:after="4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6 — Damage (red) &amp; contamination (yellow) regions overlaid on the original</w:t>
      </w:r>
    </w:p>
    <w:p>
      <w:pPr>
        <w:spacing w:after="40" w:before="100"/>
        <w:jc w:val="center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7 — Dominant color swatch (mean RGB)</w:t>
      </w:r>
    </w:p>
    <w:p>
      <w:pPr>
        <w:pStyle w:val="Heading1"/>
        <w:spacing w:after="150" w:before="300"/>
      </w:pPr>
      <w:r>
        <w:t xml:space="preserve">4. Material Classification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Predicted Material</w:t>
            </w:r>
          </w:p>
        </w:tc>
        <w:tc>
          <w:tcPr>
            <w:tcW w:type="dxa" w:w="58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Nylon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Confidence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51.7%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Fiber Category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Synthetic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Blend Type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Blended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Fiber Composition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Nylon 70% / Polyester 30%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Quality Estimate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Excellent (score 0.782)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Model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nearest-centroid (Milestone 2 baseline, 10-class)</w:t>
            </w:r>
          </w:p>
        </w:tc>
      </w:tr>
    </w:tbl>
    <w:p>
      <w:pPr>
        <w:spacing w:after="120"/>
      </w:pPr>
      <w:r>
        <w:rPr>
          <w:b/>
          <w:bCs/>
        </w:rPr>
        <w:t xml:space="preserve">Top candidate materials ranked by feature distance (closer = more likely):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Nylon — distance 0.6363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Polyester — distance 0.6455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Silk — distance 0.7448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Rayon — distance 0.7543</w:t>
      </w:r>
    </w:p>
    <w:p>
      <w:pPr>
        <w:pStyle w:val="Heading1"/>
        <w:spacing w:after="150" w:before="300"/>
      </w:pPr>
      <w:r>
        <w:t xml:space="preserve">5. Textile Waste Classification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Waste Category</w:t>
            </w:r>
          </w:p>
        </w:tc>
        <w:tc>
          <w:tcPr>
            <w:tcW w:type="dxa" w:w="5800"/>
            <w:shd w:fill="1F3A5F" w:val="clear"/>
          </w:tcPr>
          <w:p>
            <w:r>
              <w:rPr>
                <w:b/>
                <w:bCs/>
                <w:color w:val="FFFFFF"/>
              </w:rPr>
              <w:t xml:space="preserve">Reusable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Recyclability Score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84.3 / 100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Reuse Potential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High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Damage Detected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No</w:t>
            </w:r>
          </w:p>
        </w:tc>
      </w:tr>
      <w:tr>
        <w:tc>
          <w:tcPr>
            <w:tcW w:type="dxa" w:w="3200"/>
            <w:shd w:fill="EDF2F7" w:val="clear"/>
          </w:tcPr>
          <w:p>
            <w:r>
              <w:rPr>
                <w:b/>
                <w:bCs/>
                <w:color w:val="222222"/>
              </w:rPr>
              <w:t xml:space="preserve">Contamination Detected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b w:val="false"/>
                <w:bCs w:val="false"/>
                <w:color w:val="222222"/>
              </w:rPr>
              <w:t xml:space="preserve">No</w:t>
            </w:r>
          </w:p>
        </w:tc>
      </w:tr>
    </w:tbl>
    <w:p>
      <w:pPr>
        <w:spacing w:after="120"/>
      </w:pPr>
      <w:r>
        <w:rPr>
          <w:b/>
          <w:bCs/>
        </w:rPr>
        <w:t xml:space="preserve">Disposal Recommendation:</w:t>
      </w:r>
    </w:p>
    <w:p>
      <w:pPr>
        <w:spacing w:after="120"/>
      </w:pPr>
      <w:r>
        <w:t xml:space="preserve">Clean and list for direct reuse/resale or donation; item is in wearable condition.</w:t>
      </w:r>
    </w:p>
    <w:p>
      <w:pPr>
        <w:pStyle w:val="Heading1"/>
        <w:spacing w:after="150" w:before="300"/>
      </w:pPr>
      <w:r>
        <w:t xml:space="preserve">6. Recycling Recommendation Engine</w:t>
      </w:r>
    </w:p>
    <w:p>
      <w:pPr>
        <w:spacing w:after="120"/>
      </w:pPr>
      <w:r>
        <w:t xml:space="preserve">Recommended recycling / reuse routes for this item, based on its waste category: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Fabric Reuse</w:t>
      </w:r>
    </w:p>
    <w:p>
      <w:pPr>
        <w:pStyle w:val="Heading1"/>
        <w:spacing w:after="150" w:before="300"/>
      </w:pPr>
      <w:r>
        <w:t xml:space="preserve">7. Supported Reference Data</w:t>
      </w:r>
    </w:p>
    <w:p>
      <w:pPr>
        <w:spacing w:after="120"/>
      </w:pPr>
      <w:r>
        <w:rPr>
          <w:b/>
          <w:bCs/>
        </w:rPr>
        <w:t xml:space="preserve">Supported Materials (10):</w:t>
      </w:r>
    </w:p>
    <w:p>
      <w:pPr>
        <w:spacing w:after="120"/>
      </w:pPr>
      <w:r>
        <w:t xml:space="preserve">Cotton, Polyester, Wool, Silk, Linen, Denim, Nylon, Rayon, Acrylic, Mixed Fabrics</w:t>
      </w:r>
    </w:p>
    <w:p>
      <w:pPr>
        <w:spacing w:after="120"/>
      </w:pPr>
      <w:r>
        <w:rPr>
          <w:b/>
          <w:bCs/>
        </w:rPr>
        <w:t xml:space="preserve">Waste Categories (6):</w:t>
      </w:r>
    </w:p>
    <w:p>
      <w:pPr>
        <w:spacing w:after="120"/>
      </w:pPr>
      <w:r>
        <w:t xml:space="preserve">Recyclable, Reusable, Repairable, Upcyclable, Compostable, Hazardous Textile Waste</w:t>
      </w:r>
    </w:p>
    <w:p>
      <w:pPr>
        <w:spacing w:after="120"/>
      </w:pPr>
      <w:r>
        <w:rPr>
          <w:b/>
          <w:bCs/>
        </w:rPr>
        <w:t xml:space="preserve">Recycling Routes (7):</w:t>
      </w:r>
    </w:p>
    <w:p>
      <w:pPr>
        <w:spacing w:after="120"/>
      </w:pPr>
      <w:r>
        <w:t xml:space="preserve">Fiber Recycling, Mechanical Recycling, Chemical Recycling, Fabric Reuse, Upcycling, Donation, Industrial Recovery</w:t>
      </w:r>
    </w:p>
    <w:p>
      <w:pPr>
        <w:pStyle w:val="Heading1"/>
        <w:spacing w:after="150" w:before="300"/>
      </w:pPr>
      <w:r>
        <w:t xml:space="preserve">8. Notes &amp; Methodology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features are computed with PIL + NumPy only (no external CV/DL dependency), keeping the pipeline lightweight and fully auditable.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classification uses a nearest-centroid model over domain-informed reference profiles — a transparent baseline, not a black-box deep model, appropriate for this milestone since no labeled fabric-image dataset was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Waste classification is a rule-based decision layer combining material type with damage/contamination signals, so every category decision can be traced back to a specific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report was generated from a representative sample image to demonstrate the full analysis pipeline end-to-end. Uploading real garment photos through the running application (analysis.html → /api/analysis/upload) produces the same report structure with live-computed values, and persists the result to analysis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visualization in Section 3 (resized input, grayscale, edge map, texture heatmap, damage/contamination overlay, color swatch) is also saved as a standalone PNG in reports/images/, so any single output can be downloaded and used on its own — e.g. for a slide, a QA ticket, or side-by-side comparison across garments.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88072974e7e197f073e0596b1312984bc13ac4.jpg"/><Relationship Id="rId8" Type="http://schemas.openxmlformats.org/officeDocument/2006/relationships/image" Target="media/ffb3847538b93600a507923e71f13a628d901513.png"/><Relationship Id="rId9" Type="http://schemas.openxmlformats.org/officeDocument/2006/relationships/image" Target="media/19da9a938f0072b2e5ed5ad9bee92a8c6693b889.png"/><Relationship Id="rId10" Type="http://schemas.openxmlformats.org/officeDocument/2006/relationships/image" Target="media/6975f6ba2123019478d081e26c6a81d1fb770cda.png"/><Relationship Id="rId11" Type="http://schemas.openxmlformats.org/officeDocument/2006/relationships/image" Target="media/63dd4ea4b2cd71413963eb917e128bcf3740d4e9.png"/><Relationship Id="rId12" Type="http://schemas.openxmlformats.org/officeDocument/2006/relationships/image" Target="media/b744761bf7c1d8069ebef2d2ea984897b67325d2.png"/><Relationship Id="rId13" Type="http://schemas.openxmlformats.org/officeDocument/2006/relationships/image" Target="media/679c629c46b4a66920fce49875a3897d0353ddf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2026-07-24T10:10:07.772Z</dcterms:created>
  <dcterms:modified xsi:type="dcterms:W3CDTF">2026-07-24T10:10:07.772Z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