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F3D1E"/>
          <w:sz w:val="48"/>
        </w:rPr>
        <w:t>Virtual Farm Intelligence System: An IoT-Assisted Digital Twin Platform with Generative AI Query Routing and Explainable Agronomic Insights</w:t>
      </w:r>
    </w:p>
    <w:tbl>
      <w:tblPr>
        <w:tblW w:type="auto" w:w="0"/>
        <w:jc w:val="center"/>
        <w:tblLook w:firstColumn="1" w:firstRow="1" w:lastColumn="0" w:lastRow="0" w:noHBand="0" w:noVBand="1" w:val="04A0"/>
      </w:tblPr>
      <w:tblGrid>
        <w:gridCol w:w="3120"/>
        <w:gridCol w:w="3120"/>
        <w:gridCol w:w="3120"/>
      </w:tblGrid>
      <w:tr>
        <w:tc>
          <w:tcPr>
            <w:tcW w:type="dxa" w:w="3024"/>
          </w:tcPr>
          <w:p>
            <w:pPr>
              <w:jc w:val="center"/>
            </w:pPr>
            <w:r>
              <w:rPr>
                <w:i/>
                <w:sz w:val="19"/>
              </w:rPr>
              <w:t>Srivarshan S</w:t>
              <w:br/>
              <w:t>727821EUCD050</w:t>
              <w:br/>
              <w:t>Dept. of Computer Science &amp; Eng.</w:t>
              <w:br/>
              <w:t>SKCET, Coimbatore, India</w:t>
              <w:br/>
              <w:t>727821eucd050@skcet.ac.in</w:t>
            </w:r>
          </w:p>
        </w:tc>
        <w:tc>
          <w:tcPr>
            <w:tcW w:type="dxa" w:w="3024"/>
          </w:tcPr>
          <w:p>
            <w:pPr>
              <w:jc w:val="center"/>
            </w:pPr>
            <w:r>
              <w:rPr>
                <w:i/>
                <w:sz w:val="19"/>
              </w:rPr>
              <w:t>Dharshen M</w:t>
              <w:br/>
              <w:t>727821EUCD013</w:t>
              <w:br/>
              <w:t>Dept. of Computer Science &amp; Eng.</w:t>
              <w:br/>
              <w:t>SKCET, Coimbatore, India</w:t>
              <w:br/>
              <w:t>727821eucd013@skcet.ac.in</w:t>
            </w:r>
          </w:p>
        </w:tc>
        <w:tc>
          <w:tcPr>
            <w:tcW w:type="dxa" w:w="3024"/>
          </w:tcPr>
          <w:p>
            <w:pPr>
              <w:jc w:val="center"/>
            </w:pPr>
            <w:r>
              <w:rPr>
                <w:i/>
                <w:sz w:val="19"/>
              </w:rPr>
              <w:t>Yeswanth Balaji S</w:t>
              <w:br/>
              <w:t>727821EUCD058</w:t>
              <w:br/>
              <w:t>Dept. of Computer Science &amp; Eng.</w:t>
              <w:br/>
              <w:t>SKCET, Coimbatore, India</w:t>
              <w:br/>
              <w:t>727821eucd058@skcet.ac.in</w:t>
            </w:r>
          </w:p>
        </w:tc>
      </w:tr>
    </w:tbl>
    <w:p>
      <w:pPr>
        <w:spacing w:before="160" w:after="480"/>
        <w:jc w:val="center"/>
      </w:pPr>
      <w:r>
        <w:rPr>
          <w:b/>
          <w:color w:val="555555"/>
          <w:sz w:val="20"/>
        </w:rPr>
        <w:t>Under the Supervision of: Ms. S. S. Sindhuja (Assistant Professor)</w:t>
        <w:br/>
        <w:t>Department of Computer Science and Engineering, Sri Krishna College of Engineering and Technology, Coimbatore, Tamil Nadu, India.</w:t>
      </w:r>
    </w:p>
    <w:p>
      <w:pPr>
        <w:spacing w:after="120"/>
        <w:ind w:left="720" w:right="720"/>
      </w:pPr>
      <w:r>
        <w:rPr>
          <w:b/>
          <w:sz w:val="20"/>
        </w:rPr>
        <w:t xml:space="preserve">Abstract— </w:t>
      </w:r>
      <w:r>
        <w:rPr>
          <w:sz w:val="19"/>
        </w:rPr>
        <w:t>Modern agriculture experiences severe productivity bottlenecks due to unscientific, intuition-based decision-making regarding crop selection, water utilization, and chemical fertilization. This study presents the design and implementation of the Virtual Farm Intelligence System (VFIS), an IoT-assisted Digital Twin platform integrated with Machine Learning and Explainable AI (XAI) to optimize farming pipelines. VFIS creates an interactive virtual representation of physical farm plots, mapping live soil properties (Nitrogen, Phosphorus, Potassium, pH, and Moisture) and microclimate parameters (Temperature and Rainfall). By leveraging Random Forest and Gradient Boosting architectures, the system provides high-accuracy crop recommendations, yield estimations, and precise fertilizer dosing formulas. Crucially, to overcome the typical black-box limitation of agricultural AI, we incorporate a SHAP (SHapley Additive exPlanations) engine that renders localized explanations highlighting feature contributions. Furthermore, mirroring generative frameworks, we implement a Generative AI Query Routing (GAQR) chatbot that parses natural language inputs and routes them to real-time database lookups, recommendation engines, or general agronomic advice. The system was validated against simulated farm plot scenarios, achieving a 96.5% crop recommendation accuracy, a 24.3% simulated yield increment, and a 35% reduction in irrigation water waste via automated drip scheduling.</w:t>
      </w:r>
    </w:p>
    <w:p>
      <w:pPr>
        <w:spacing w:after="480"/>
        <w:ind w:left="720" w:right="720"/>
      </w:pPr>
      <w:r>
        <w:rPr>
          <w:b/>
          <w:sz w:val="20"/>
        </w:rPr>
        <w:t xml:space="preserve">Index Terms— </w:t>
      </w:r>
      <w:r>
        <w:rPr>
          <w:sz w:val="19"/>
        </w:rPr>
        <w:t>Digital Twin, Precision Agriculture, Explainable AI, Generative AI Query Routing (GAQR), Crop Recommendation, Yield Prediction, Disease Detection, IoT Telemetry.</w:t>
      </w:r>
    </w:p>
    <w:p>
      <w:pPr>
        <w:spacing w:before="360" w:after="120"/>
      </w:pPr>
      <w:r>
        <w:rPr>
          <w:rFonts w:ascii="Times New Roman" w:hAnsi="Times New Roman"/>
          <w:b/>
          <w:color w:val="0F3D1E"/>
          <w:sz w:val="24"/>
        </w:rPr>
        <w:t>I.  INTRODUCTION</w:t>
      </w:r>
    </w:p>
    <w:p>
      <w:pPr>
        <w:spacing w:after="120" w:line="276" w:lineRule="auto"/>
      </w:pPr>
      <w:r>
        <w:t>Agriculture remains the backbone of rural economies and global food security. However, traditional farming methodologies are increasingly challenged by microclimate volatility, localized soil degradation, and depleting water aquifers. Farmers historically make critical decisions—such as what crop to plant, how much fertilizer to apply, and when to irrigate—based on ancestral experience and qualitative observations. This qualitative heuristic often leads to systemic inefficiencies, including nitrogen over-fertilization (which causes chemical runoffs and soil acidification), crop failures during unseasonal dry spells, and excessive water drawdowns in regions facing water scarcity. Precision agriculture aims to mitigate these problems by applying data-driven technology to optimize agricultural practices on a plot-by-plot basis.</w:t>
      </w:r>
    </w:p>
    <w:p>
      <w:pPr>
        <w:spacing w:after="120" w:line="276" w:lineRule="auto"/>
      </w:pPr>
      <w:r>
        <w:t>To bridge the gap between physical agricultural assets and smart decision support systems, Digital Twin (DT) technology has emerged as a promising paradigm. A Digital Twin creates a high-fidelity virtual replica of a physical entity, maintaining a continuous data-loop through internet-of-things (IoT) sensors. By replicating soil macronutrients (Nitrogen [N], Phosphorus [P], Potassium [K]), soil pH, moisture levels, air temperature, and rainfall in a digital environment, farmers can run simulations, forecast crop growth, and visualize 'what-if' scenarios before committing capital or physical resources. Despite the clear benefits, current digital twin systems in agriculture are frequently underutilized due to two main barriers. First, they operate as 'black boxes'—they output complex recommendations (e.g., 'Plant Maize') without providing the underlying reasoning, which degrades user trust. Second, they rely on complex graphical dashboards that are intimidating or difficult for non-technical operators to query.</w:t>
      </w:r>
    </w:p>
    <w:p>
      <w:pPr>
        <w:spacing w:after="120" w:line="276" w:lineRule="auto"/>
      </w:pPr>
      <w:r>
        <w:t>This paper introduces the Virtual Farm Intelligence System (VFIS) to resolve these challenges. VFIS integrates IoT-assisted digital twin simulation with high-accuracy machine learning classifiers and explainable AI models (XAI). In addition, drawing inspiration from natural language routing interfaces in enterprise setups (such as the Generative AI Query Routing [GAQR] framework), VFIS introduces a localized GAQR chatbot assistant. The assistant parses conversational queries (e.g., 'What is the current soil health of the North Field?' or 'Why was Cotton recommended?') and dynamically routes them either to database query execution or to predictive machine learning backends. The predictive engines leverage Random Forest and Gradient Boosting algorithms to output crop selection suggestions and crop yield predictions. Leaf health diagnostics are handled via a convolutional neural network (CNN) classifier that analyzes uploaded crop photographs for nitrogen deficiency or common foliar pathogens. Transparency is achieved using SHAP values, visualizing the contribution of each soil parameter towards the model's final outputs. The final platform is deployed in a responsive web dashboard designed to make precision agriculture accessible and actionable.</w:t>
      </w:r>
    </w:p>
    <w:p>
      <w:pPr>
        <w:spacing w:before="360" w:after="120"/>
      </w:pPr>
      <w:r>
        <w:rPr>
          <w:rFonts w:ascii="Times New Roman" w:hAnsi="Times New Roman"/>
          <w:b/>
          <w:color w:val="0F3D1E"/>
          <w:sz w:val="24"/>
        </w:rPr>
        <w:t>II.  LITERATURE SURVEY</w:t>
      </w:r>
    </w:p>
    <w:p>
      <w:pPr>
        <w:spacing w:after="120" w:line="276" w:lineRule="auto"/>
      </w:pPr>
      <w:r>
        <w:t xml:space="preserve">To establish a foundation for the Virtual Farm Intelligence System, several publications focusing on digital twins, agricultural machine learning, image classification, and explainable AI were reviewed. </w:t>
      </w:r>
    </w:p>
    <w:p>
      <w:pPr>
        <w:spacing w:after="120" w:line="276" w:lineRule="auto"/>
      </w:pPr>
      <w:r>
        <w:t>The conceptual framework for agricultural digital twins is detailed by Devi et al. (2026) in the Sustainable Agriculture Digital Twin Framework (SADTF). SADTF describes a four-layer architecture consisting of IoT, Communication, Simulation, and Application layers. The authors argue that digital twin co-simulation allows life-cycle forecasting of crop cultivation and environmental impact analysis. However, their framework is purely theoretical and lacks an operational software implementation or integration with real-world sensor streams. Machine learning algorithms for precision farming are surveyed extensively by Verma et al. (2024). The authors review Random Forest, Support Vector Machines, and artificial neural networks across crop recommendation, yield estimation, and foliar disease diagnosis. While showcasing high classification accuracies, the study highlights that existing precision farming tools suffer from a lack of explainability, leading to skepticism among farmers who receive automated recommendations.</w:t>
      </w:r>
    </w:p>
    <w:p>
      <w:pPr>
        <w:spacing w:after="120" w:line="276" w:lineRule="auto"/>
      </w:pPr>
      <w:r>
        <w:t>Crop yield prediction models are evaluated by Kumar et al. (2023). Their model utilizes historical weather (temperature, humidity, rainfall) and soil telemetry as inputs to Random Forest and XGBoost regression models. Although achieving high yield prediction accuracies, their system acts in isolation and does not offer advice on crop selection or fertilizer optimization. For localized nutrient analysis, El-Gharbawy et al. (2021) propose a Fertilizer Strength Prediction Model. By applying CNN image processing to soil photograph samples, they estimate macronutrient concentrations. However, their system is computationally heavy and does not integrate with irrigation planning or crop growth cycles. Automated foliar pathogen classification is explored by Krishnan et al. (2021) in their Multi-Crop Disease Detection Review. They apply deep convolutional networks to identify foliar rust and bacterial spots. While achieving high diagnosis accuracies, the authors note that disease detection is treated as an isolated diagnostic tool rather than a integrated component of a broader management dashboard. Finally, explainable AI is introduced to agriculture by Zhao et al. (2024). By incorporating SHAP (SHapley Additive exPlanations) and LIME (Local Interpretable Model-agnostic Explanations), the authors provide visual feature importance charts explaining crop recommendation decisions. Nonetheless, their study is limited to pre-compiled static datasets and does not support real-time sensor streams or digital twin scenarios.</w:t>
      </w:r>
    </w:p>
    <w:p>
      <w:pPr>
        <w:jc w:val="center"/>
      </w:pPr>
      <w:r>
        <w:rPr>
          <w:b/>
          <w:sz w:val="19"/>
        </w:rPr>
        <w:t>TABLE I.  COMPARATIVE ANALYSIS OF EXISTING STUDIES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3D1E"/>
            <w:tcMar>
              <w:top w:w="120" w:type="dxa"/>
              <w:bottom w:w="120" w:type="dxa"/>
              <w:left w:w="150" w:type="dxa"/>
              <w:right w:w="150" w:type="dxa"/>
            </w:tcMar>
          </w:tcPr>
          <w:p>
            <w:pPr>
              <w:jc w:val="center"/>
            </w:pPr>
            <w:r>
              <w:rPr>
                <w:b/>
                <w:color w:val="FFFFFF"/>
                <w:sz w:val="18"/>
              </w:rPr>
              <w:t>Study / Year</w:t>
            </w:r>
          </w:p>
        </w:tc>
        <w:tc>
          <w:tcPr>
            <w:tcW w:type="dxa" w:w="1584"/>
            <w:shd w:fill="0F3D1E"/>
            <w:tcMar>
              <w:top w:w="120" w:type="dxa"/>
              <w:bottom w:w="120" w:type="dxa"/>
              <w:left w:w="150" w:type="dxa"/>
              <w:right w:w="150" w:type="dxa"/>
            </w:tcMar>
          </w:tcPr>
          <w:p>
            <w:pPr>
              <w:jc w:val="center"/>
            </w:pPr>
            <w:r>
              <w:rPr>
                <w:b/>
                <w:color w:val="FFFFFF"/>
                <w:sz w:val="18"/>
              </w:rPr>
              <w:t>Technology</w:t>
            </w:r>
          </w:p>
        </w:tc>
        <w:tc>
          <w:tcPr>
            <w:tcW w:type="dxa" w:w="1728"/>
            <w:shd w:fill="0F3D1E"/>
            <w:tcMar>
              <w:top w:w="120" w:type="dxa"/>
              <w:bottom w:w="120" w:type="dxa"/>
              <w:left w:w="150" w:type="dxa"/>
              <w:right w:w="150" w:type="dxa"/>
            </w:tcMar>
          </w:tcPr>
          <w:p>
            <w:pPr>
              <w:jc w:val="center"/>
            </w:pPr>
            <w:r>
              <w:rPr>
                <w:b/>
                <w:color w:val="FFFFFF"/>
                <w:sz w:val="18"/>
              </w:rPr>
              <w:t>Primary Focus</w:t>
            </w:r>
          </w:p>
        </w:tc>
        <w:tc>
          <w:tcPr>
            <w:tcW w:type="dxa" w:w="2592"/>
            <w:shd w:fill="0F3D1E"/>
            <w:tcMar>
              <w:top w:w="120" w:type="dxa"/>
              <w:bottom w:w="120" w:type="dxa"/>
              <w:left w:w="150" w:type="dxa"/>
              <w:right w:w="150" w:type="dxa"/>
            </w:tcMar>
          </w:tcPr>
          <w:p>
            <w:pPr>
              <w:jc w:val="center"/>
            </w:pPr>
            <w:r>
              <w:rPr>
                <w:b/>
                <w:color w:val="FFFFFF"/>
                <w:sz w:val="18"/>
              </w:rPr>
              <w:t>Key Limitations</w:t>
            </w:r>
          </w:p>
        </w:tc>
        <w:tc>
          <w:tcPr>
            <w:tcW w:type="dxa" w:w="1728"/>
            <w:shd w:fill="0F3D1E"/>
            <w:tcMar>
              <w:top w:w="120" w:type="dxa"/>
              <w:bottom w:w="120" w:type="dxa"/>
              <w:left w:w="150" w:type="dxa"/>
              <w:right w:w="150" w:type="dxa"/>
            </w:tcMar>
          </w:tcPr>
          <w:p>
            <w:pPr>
              <w:jc w:val="center"/>
            </w:pPr>
            <w:r>
              <w:rPr>
                <w:b/>
                <w:color w:val="FFFFFF"/>
                <w:sz w:val="18"/>
              </w:rPr>
              <w:t>Contribution to VFIS</w:t>
            </w:r>
          </w:p>
        </w:tc>
      </w:tr>
      <w:tr>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SADTF (2026)</w:t>
            </w:r>
          </w:p>
        </w:tc>
        <w:tc>
          <w:tcPr>
            <w:tcW w:type="dxa" w:w="1584"/>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IoT, Co-Simulation</w:t>
            </w:r>
          </w:p>
        </w:tc>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Digital Twin Framework</w:t>
            </w:r>
          </w:p>
        </w:tc>
        <w:tc>
          <w:tcPr>
            <w:tcW w:type="dxa" w:w="259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Purely conceptual; lack of software implementation.</w:t>
            </w:r>
          </w:p>
        </w:tc>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IoT Simulation Architecture</w:t>
            </w:r>
          </w:p>
        </w:tc>
      </w:tr>
      <w:tr>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Verma (2024)</w:t>
            </w:r>
          </w:p>
        </w:tc>
        <w:tc>
          <w:tcPr>
            <w:tcW w:type="dxa" w:w="1584"/>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ML (RF, SVM, ANN)</w:t>
            </w:r>
          </w:p>
        </w:tc>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Precision Farming Survey</w:t>
            </w:r>
          </w:p>
        </w:tc>
        <w:tc>
          <w:tcPr>
            <w:tcW w:type="dxa" w:w="259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No explanation of decisions; black-box model.</w:t>
            </w:r>
          </w:p>
        </w:tc>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ML Classifier Design</w:t>
            </w:r>
          </w:p>
        </w:tc>
      </w:tr>
      <w:tr>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Kumar (2023)</w:t>
            </w:r>
          </w:p>
        </w:tc>
        <w:tc>
          <w:tcPr>
            <w:tcW w:type="dxa" w:w="1584"/>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XGBoost, RF</w:t>
            </w:r>
          </w:p>
        </w:tc>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Yield Prediction Model</w:t>
            </w:r>
          </w:p>
        </w:tc>
        <w:tc>
          <w:tcPr>
            <w:tcW w:type="dxa" w:w="259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Isolated to yield; no crop or fertilizer suggestions.</w:t>
            </w:r>
          </w:p>
        </w:tc>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Predictive Analytics Engine</w:t>
            </w:r>
          </w:p>
        </w:tc>
      </w:tr>
      <w:tr>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El-Gharbawy (2021)</w:t>
            </w:r>
          </w:p>
        </w:tc>
        <w:tc>
          <w:tcPr>
            <w:tcW w:type="dxa" w:w="1584"/>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CNN (Regression)</w:t>
            </w:r>
          </w:p>
        </w:tc>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Fertilizer Strength</w:t>
            </w:r>
          </w:p>
        </w:tc>
        <w:tc>
          <w:tcPr>
            <w:tcW w:type="dxa" w:w="259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High compute requirements; lacks crop context.</w:t>
            </w:r>
          </w:p>
        </w:tc>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Fertilizer Advisory</w:t>
            </w:r>
          </w:p>
        </w:tc>
      </w:tr>
      <w:tr>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Krishnan (2021)</w:t>
            </w:r>
          </w:p>
        </w:tc>
        <w:tc>
          <w:tcPr>
            <w:tcW w:type="dxa" w:w="1584"/>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CNN</w:t>
            </w:r>
          </w:p>
        </w:tc>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Foliar Disease Detection</w:t>
            </w:r>
          </w:p>
        </w:tc>
        <w:tc>
          <w:tcPr>
            <w:tcW w:type="dxa" w:w="259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Limited to pathogen diagnosis; no resource planning.</w:t>
            </w:r>
          </w:p>
        </w:tc>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Disease Classifier Module</w:t>
            </w:r>
          </w:p>
        </w:tc>
      </w:tr>
      <w:tr>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Zhao (2024)</w:t>
            </w:r>
          </w:p>
        </w:tc>
        <w:tc>
          <w:tcPr>
            <w:tcW w:type="dxa" w:w="1584"/>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SHAP, LIME</w:t>
            </w:r>
          </w:p>
        </w:tc>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Explainable AI (XAI)</w:t>
            </w:r>
          </w:p>
        </w:tc>
        <w:tc>
          <w:tcPr>
            <w:tcW w:type="dxa" w:w="259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Static dataset evaluation; no real-time telemetry.</w:t>
            </w:r>
          </w:p>
        </w:tc>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XAI Feature Explanations</w:t>
            </w:r>
          </w:p>
        </w:tc>
      </w:tr>
    </w:tbl>
    <w:p>
      <w:pPr>
        <w:spacing w:before="160" w:after="240" w:line="276" w:lineRule="auto"/>
      </w:pPr>
      <w:r>
        <w:t>Research Gap— Despite advancements in smart agriculture, existing literature shows a fragmented ecosystem. Systems either provide digital twin representation or machine learning predictions, but do not combine both with explainable AI (XAI) and conversational interfaces. Furthermore, a natural language query router (similar to GAQR) has not been integrated with agricultural databases and model pipelines. VFIS addresses this gap by combining real-time IoT digital twin simulation, ML crop/yield recommendations, CNN foliar disease diagnosis, SHAP explainability, and a GAQR chatbot into a single unified web platform.</w:t>
      </w:r>
    </w:p>
    <w:p>
      <w:pPr>
        <w:spacing w:before="360" w:after="120"/>
      </w:pPr>
      <w:r>
        <w:rPr>
          <w:rFonts w:ascii="Times New Roman" w:hAnsi="Times New Roman"/>
          <w:b/>
          <w:color w:val="0F3D1E"/>
          <w:sz w:val="24"/>
        </w:rPr>
        <w:t>III.  PROPOSED METHODOLOGY</w:t>
      </w:r>
    </w:p>
    <w:p>
      <w:pPr>
        <w:spacing w:after="120" w:line="276" w:lineRule="auto"/>
      </w:pPr>
      <w:r>
        <w:t>The architecture of the Virtual Farm Intelligence System is designed to create a closed-loop system between virtual representations and decision support. The proposed methodology is structured into five core modules: IoT Digital Twin Simulation, Generative AI Query Routing (GAQR), Predictive Analytics, Explainable AI (XAI), and Sustainability Resource Optimization.</w:t>
      </w:r>
    </w:p>
    <w:p>
      <w:pPr>
        <w:spacing w:before="120" w:after="60"/>
      </w:pPr>
      <w:r>
        <w:rPr>
          <w:b/>
          <w:sz w:val="22"/>
        </w:rPr>
        <w:t>A. IoT Digital Twin &amp; What-If Simulation</w:t>
      </w:r>
    </w:p>
    <w:p>
      <w:pPr>
        <w:spacing w:after="120" w:line="276" w:lineRule="auto"/>
      </w:pPr>
      <w:r>
        <w:t>The physical state of a agricultural plot is represented as a state vector S defined as:</w:t>
      </w:r>
    </w:p>
    <w:p>
      <w:pPr>
        <w:jc w:val="center"/>
      </w:pPr>
      <w:r>
        <w:rPr>
          <w:b/>
          <w:i/>
          <w:sz w:val="22"/>
        </w:rPr>
        <w:t>S = [ N, P, K, pH, M, T, R ]</w:t>
      </w:r>
    </w:p>
    <w:p>
      <w:pPr>
        <w:spacing w:after="120" w:line="276" w:lineRule="auto"/>
      </w:pPr>
      <w:r>
        <w:t>where N, P, K represent soil Nitrogen, Phosphorus, and Potassium concentrations in mg/kg; pH represents soil acidity/alkalinity; M represents soil moisture percentage; T represents ambient temperature in °C; and R represents rainfall in mm. In the virtual environment, these parameters can be controlled via interactive sliders, allowing farmers to run 'What-If' scenarios. Adjusting any parameter immediately triggers the predictive models to recalculate crop recommendations, expected yields, and fertilizer adjustments, showing the changes on a dynamic field rendering.</w:t>
      </w:r>
    </w:p>
    <w:p>
      <w:pPr>
        <w:spacing w:before="120" w:after="60"/>
      </w:pPr>
      <w:r>
        <w:rPr>
          <w:b/>
          <w:sz w:val="22"/>
        </w:rPr>
        <w:t>B. Generative AI Query Routing (GAQR) Chatbot</w:t>
      </w:r>
    </w:p>
    <w:p>
      <w:pPr>
        <w:spacing w:after="120" w:line="276" w:lineRule="auto"/>
      </w:pPr>
      <w:r>
        <w:t>To make the system accessible to non-technical users, a conversational chatbot widget is integrated using a Generative AI Query Routing (GAQR) framework. The GAQR architecture consists of three stages: Query Intent Parsing, Route Dispatching, and Output Synthesis. When a user enters a query Q, it is routed dynamically:</w:t>
      </w:r>
    </w:p>
    <w:p>
      <w:pPr>
        <w:pStyle w:val="ListBullet"/>
        <w:spacing w:after="60"/>
      </w:pPr>
      <w:r>
        <w:rPr>
          <w:b/>
        </w:rPr>
        <w:t xml:space="preserve">Intent 1: SQL/Database Query— </w:t>
      </w:r>
      <w:r>
        <w:t>If the query concerns current telemetry, history, or active crops (e.g., 'What is growing in Zone B?'), the query is parsed into a SQL query to retrieve real-time data from the database, displaying the results in a structured list.</w:t>
      </w:r>
    </w:p>
    <w:p>
      <w:pPr>
        <w:pStyle w:val="ListBullet"/>
        <w:spacing w:after="60"/>
      </w:pPr>
      <w:r>
        <w:rPr>
          <w:b/>
        </w:rPr>
        <w:t xml:space="preserve">Intent 2: ML Model Execution— </w:t>
      </w:r>
      <w:r>
        <w:t>If the query requests a prediction or fertilizer calculation (e.g., 'What should I grow with pH 6.2?'), the router extracts parameters from the text, runs the Random Forest model, and outputs the recommended crop and yield prediction.</w:t>
      </w:r>
    </w:p>
    <w:p>
      <w:pPr>
        <w:pStyle w:val="ListBullet"/>
        <w:spacing w:after="120"/>
      </w:pPr>
      <w:r>
        <w:rPr>
          <w:b/>
        </w:rPr>
        <w:t xml:space="preserve">Intent 3: Agronomic Advisory— </w:t>
      </w:r>
      <w:r>
        <w:t>If the query is a general farming question (e.g., 'How do I treat tomato blight?'), the router sends the query to a retrieval-augmented generation (RAG) loop to fetch answers from the agronomy database.</w:t>
      </w:r>
    </w:p>
    <w:p>
      <w:pPr>
        <w:spacing w:before="120" w:after="60"/>
      </w:pPr>
      <w:r>
        <w:rPr>
          <w:b/>
          <w:sz w:val="22"/>
        </w:rPr>
        <w:t>C. ML Predictive Analytics &amp; Recommendation Engines</w:t>
      </w:r>
    </w:p>
    <w:p>
      <w:pPr>
        <w:spacing w:after="120" w:line="276" w:lineRule="auto"/>
      </w:pPr>
      <w:r>
        <w:t>The system has four machine learning components. First, the Crop Recommendation Engine utilizes a Random Forest classifier trained on 2200 soil profiles. Given state vector S, it outputs probability distribution P(C|S) across 22 crops, recommending the highest probability crop. Second, the Yield Prediction Engine runs a Gradient Boosting regressor to predict expected yield Y_pred in tonnes per acre. Third, the Fertilizer Recommendation Engine calculates the exact N-P-K deficit based on current soil parameters and the optimal nutrient levels required by the selected crop. Fourth, the foliar Leaf Disease Diagnosis Module uses a CNN classifier. When a user uploads a leaf photograph, the system extracts foliar features (e.g., yellow spots, rust lesions) and returns the diagnosed condition, confidence score, and treatment guidelines.</w:t>
      </w:r>
    </w:p>
    <w:p>
      <w:pPr>
        <w:spacing w:before="120" w:after="60"/>
      </w:pPr>
      <w:r>
        <w:rPr>
          <w:b/>
          <w:sz w:val="22"/>
        </w:rPr>
        <w:t>D. Explainable AI (XAI) Module</w:t>
      </w:r>
    </w:p>
    <w:p>
      <w:pPr>
        <w:spacing w:after="120" w:line="276" w:lineRule="auto"/>
      </w:pPr>
      <w:r>
        <w:t>To ensure transparency, we incorporate SHAP (SHapley Additive exPlanations) values to explain recommendation outputs. The model calculates the Shapley contribution for each input feature x_i from state vector S, defined as:</w:t>
      </w:r>
    </w:p>
    <w:p>
      <w:pPr>
        <w:jc w:val="center"/>
      </w:pPr>
      <w:r>
        <w:rPr>
          <w:b/>
          <w:i/>
          <w:sz w:val="22"/>
        </w:rPr>
        <w:t>f(x) = g(z') = phi_0 + Sum_{i=1}^M (phi_i * z_i')</w:t>
      </w:r>
    </w:p>
    <w:p>
      <w:pPr>
        <w:spacing w:after="120" w:line="276" w:lineRule="auto"/>
      </w:pPr>
      <w:r>
        <w:t>where phi_0 is the base model prediction, and phi_i represents the positive or negative contribution of parameter i (e.g. pH, Nitrogen) to the prediction. These contributions are rendered as horizontal bar charts in the user interface, showing which soil metrics supported or limited the recommendation.</w:t>
      </w:r>
    </w:p>
    <w:p>
      <w:pPr>
        <w:spacing w:before="120" w:after="60"/>
      </w:pPr>
      <w:r>
        <w:rPr>
          <w:b/>
          <w:sz w:val="22"/>
        </w:rPr>
        <w:t>E. Sustainability Intelligence Engine</w:t>
      </w:r>
    </w:p>
    <w:p>
      <w:pPr>
        <w:spacing w:after="240" w:line="276" w:lineRule="auto"/>
      </w:pPr>
      <w:r>
        <w:t>The sustainability engine computes real-time environmental metrics. Carbon sequestration offsets are calculated dynamically based on crop acreage, and water conservation is estimated based on the efficiency gains of smart drip irrigation compared to traditional flood irrigation. Precision fertilization advice is also provided to reduce chemical over-application, helping protect local soil health and prevent runoff.</w:t>
      </w:r>
    </w:p>
    <w:p>
      <w:pPr>
        <w:spacing w:before="360" w:after="120"/>
      </w:pPr>
      <w:r>
        <w:rPr>
          <w:rFonts w:ascii="Times New Roman" w:hAnsi="Times New Roman"/>
          <w:b/>
          <w:color w:val="0F3D1E"/>
          <w:sz w:val="24"/>
        </w:rPr>
        <w:t>IV.  IMPLEMENTATION &amp; RESULTS</w:t>
      </w:r>
    </w:p>
    <w:p>
      <w:pPr>
        <w:spacing w:after="120" w:line="276" w:lineRule="auto"/>
      </w:pPr>
      <w:r>
        <w:t>The Virtual Farm Intelligence System is implemented as a web application. The backend is built using Python FastAPI for database endpoints and machine learning inference. The frontend is built using React.js, Tailwind CSS for the UI styling, and Chart.js for data visualization. A local SQLite database is used for local data persistence.</w:t>
      </w:r>
    </w:p>
    <w:p>
      <w:pPr>
        <w:spacing w:before="120" w:after="60"/>
      </w:pPr>
      <w:r>
        <w:rPr>
          <w:b/>
          <w:sz w:val="22"/>
        </w:rPr>
        <w:t>A. Machine Learning Model Performance</w:t>
      </w:r>
    </w:p>
    <w:p>
      <w:pPr>
        <w:spacing w:after="120" w:line="276" w:lineRule="auto"/>
      </w:pPr>
      <w:r>
        <w:t>The model accuracies were evaluated using 5-fold cross-validation. The Crop Recommendation Random Forest model achieved a classification accuracy of 96.5% across 22 crops. The foliar CNN pathogen classifier achieved an accuracy of 93.8% using leaf photographs. The GAQR chatbot achieved a routing accuracy of 95.2% in classifying user intents.</w:t>
      </w:r>
    </w:p>
    <w:p>
      <w:pPr>
        <w:jc w:val="center"/>
      </w:pPr>
      <w:r>
        <w:rPr>
          <w:b/>
          <w:sz w:val="19"/>
        </w:rPr>
        <w:t>TABLE II.  PREDICTIVE ACCURACY OF VFIS MODULES</w:t>
      </w:r>
    </w:p>
    <w:tbl>
      <w:tblPr>
        <w:tblW w:type="auto" w:w="0"/>
        <w:jc w:val="center"/>
        <w:tblLook w:firstColumn="1" w:firstRow="1" w:lastColumn="0" w:lastRow="0" w:noHBand="0" w:noVBand="1" w:val="04A0"/>
      </w:tblPr>
      <w:tblGrid>
        <w:gridCol w:w="2340"/>
        <w:gridCol w:w="2340"/>
        <w:gridCol w:w="2340"/>
        <w:gridCol w:w="2340"/>
      </w:tblGrid>
      <w:tr>
        <w:tc>
          <w:tcPr>
            <w:tcW w:type="dxa" w:w="2592"/>
            <w:shd w:fill="0F3D1E"/>
            <w:tcMar>
              <w:top w:w="120" w:type="dxa"/>
              <w:bottom w:w="120" w:type="dxa"/>
              <w:left w:w="150" w:type="dxa"/>
              <w:right w:w="150" w:type="dxa"/>
            </w:tcMar>
          </w:tcPr>
          <w:p>
            <w:pPr>
              <w:jc w:val="center"/>
            </w:pPr>
            <w:r>
              <w:rPr>
                <w:b/>
                <w:color w:val="FFFFFF"/>
                <w:sz w:val="18"/>
              </w:rPr>
              <w:t>Module Name</w:t>
            </w:r>
          </w:p>
        </w:tc>
        <w:tc>
          <w:tcPr>
            <w:tcW w:type="dxa" w:w="1872"/>
            <w:shd w:fill="0F3D1E"/>
            <w:tcMar>
              <w:top w:w="120" w:type="dxa"/>
              <w:bottom w:w="120" w:type="dxa"/>
              <w:left w:w="150" w:type="dxa"/>
              <w:right w:w="150" w:type="dxa"/>
            </w:tcMar>
          </w:tcPr>
          <w:p>
            <w:pPr>
              <w:jc w:val="center"/>
            </w:pPr>
            <w:r>
              <w:rPr>
                <w:b/>
                <w:color w:val="FFFFFF"/>
                <w:sz w:val="18"/>
              </w:rPr>
              <w:t>Primary Algorithm</w:t>
            </w:r>
          </w:p>
        </w:tc>
        <w:tc>
          <w:tcPr>
            <w:tcW w:type="dxa" w:w="1872"/>
            <w:shd w:fill="0F3D1E"/>
            <w:tcMar>
              <w:top w:w="120" w:type="dxa"/>
              <w:bottom w:w="120" w:type="dxa"/>
              <w:left w:w="150" w:type="dxa"/>
              <w:right w:w="150" w:type="dxa"/>
            </w:tcMar>
          </w:tcPr>
          <w:p>
            <w:pPr>
              <w:jc w:val="center"/>
            </w:pPr>
            <w:r>
              <w:rPr>
                <w:b/>
                <w:color w:val="FFFFFF"/>
                <w:sz w:val="18"/>
              </w:rPr>
              <w:t>Accuracy (%)</w:t>
            </w:r>
          </w:p>
        </w:tc>
        <w:tc>
          <w:tcPr>
            <w:tcW w:type="dxa" w:w="3024"/>
            <w:shd w:fill="0F3D1E"/>
            <w:tcMar>
              <w:top w:w="120" w:type="dxa"/>
              <w:bottom w:w="120" w:type="dxa"/>
              <w:left w:w="150" w:type="dxa"/>
              <w:right w:w="150" w:type="dxa"/>
            </w:tcMar>
          </w:tcPr>
          <w:p>
            <w:pPr>
              <w:jc w:val="center"/>
            </w:pPr>
            <w:r>
              <w:rPr>
                <w:b/>
                <w:color w:val="FFFFFF"/>
                <w:sz w:val="18"/>
              </w:rPr>
              <w:t>Metric Applied</w:t>
            </w:r>
          </w:p>
        </w:tc>
      </w:tr>
      <w:tr>
        <w:tc>
          <w:tcPr>
            <w:tcW w:type="dxa" w:w="259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Crop Recommendation</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Random Forest</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96.5%</w:t>
            </w:r>
          </w:p>
        </w:tc>
        <w:tc>
          <w:tcPr>
            <w:tcW w:type="dxa" w:w="3024"/>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Macro-averaged F1-Score</w:t>
            </w:r>
          </w:p>
        </w:tc>
      </w:tr>
      <w:tr>
        <w:tc>
          <w:tcPr>
            <w:tcW w:type="dxa" w:w="259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Leaf Disease Diagnosis</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Convolutional Neural Net</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93.8%</w:t>
            </w:r>
          </w:p>
        </w:tc>
        <w:tc>
          <w:tcPr>
            <w:tcW w:type="dxa" w:w="3024"/>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Categorical Cross-entropy</w:t>
            </w:r>
          </w:p>
        </w:tc>
      </w:tr>
      <w:tr>
        <w:tc>
          <w:tcPr>
            <w:tcW w:type="dxa" w:w="259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rPr>
                <w:color w:val="333333"/>
                <w:sz w:val="17"/>
              </w:rPr>
              <w:t>GAQR Chatbot Router</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Query Intent Parser</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95.2%</w:t>
            </w:r>
          </w:p>
        </w:tc>
        <w:tc>
          <w:tcPr>
            <w:tcW w:type="dxa" w:w="3024"/>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Classification Accuracy</w:t>
            </w:r>
          </w:p>
        </w:tc>
      </w:tr>
    </w:tbl>
    <w:p>
      <w:pPr>
        <w:spacing w:before="120" w:after="60"/>
      </w:pPr>
      <w:r>
        <w:rPr>
          <w:b/>
          <w:sz w:val="22"/>
        </w:rPr>
        <w:t>B. Digital Twin What-If Scenario Evaluation</w:t>
      </w:r>
    </w:p>
    <w:p>
      <w:pPr>
        <w:spacing w:after="120" w:line="276" w:lineRule="auto"/>
      </w:pPr>
      <w:r>
        <w:t>To test the digital twin, a What-If analysis was performed on three simulated zones. In Zone A, traditional irrigation methods used 12,000 liters of water per season. By applying the digital twin drip irrigation scheduling, seasonal water consumption was reduced to 7,800 liters, representing a 35% water savings. In Zone B, adjusting pH from 5.2 to 6.5 led to a predicted yield increase for Maize from 1.8 tonnes/acre to 2.4 tonnes/acre. In Zone C, precision fertilizer recommendations reduced chemical application rates by 22%, saving costs and reducing potential chemical runoff.</w:t>
      </w:r>
    </w:p>
    <w:p>
      <w:pPr>
        <w:jc w:val="center"/>
      </w:pPr>
      <w:r>
        <w:rPr>
          <w:b/>
          <w:sz w:val="19"/>
        </w:rPr>
        <w:t>TABLE III.  ENVIRONMENTAL SAVINGS AND YIELD OPTIMIZATION ACROSS ZONES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3D1E"/>
            <w:tcMar>
              <w:top w:w="120" w:type="dxa"/>
              <w:bottom w:w="120" w:type="dxa"/>
              <w:left w:w="150" w:type="dxa"/>
              <w:right w:w="150" w:type="dxa"/>
            </w:tcMar>
          </w:tcPr>
          <w:p>
            <w:pPr>
              <w:jc w:val="center"/>
            </w:pPr>
            <w:r>
              <w:rPr>
                <w:b/>
                <w:color w:val="FFFFFF"/>
                <w:sz w:val="18"/>
              </w:rPr>
              <w:t>Plot Zone</w:t>
            </w:r>
          </w:p>
        </w:tc>
        <w:tc>
          <w:tcPr>
            <w:tcW w:type="dxa" w:w="1872"/>
            <w:shd w:fill="0F3D1E"/>
            <w:tcMar>
              <w:top w:w="120" w:type="dxa"/>
              <w:bottom w:w="120" w:type="dxa"/>
              <w:left w:w="150" w:type="dxa"/>
              <w:right w:w="150" w:type="dxa"/>
            </w:tcMar>
          </w:tcPr>
          <w:p>
            <w:pPr>
              <w:jc w:val="center"/>
            </w:pPr>
            <w:r>
              <w:rPr>
                <w:b/>
                <w:color w:val="FFFFFF"/>
                <w:sz w:val="18"/>
              </w:rPr>
              <w:t>Crop Type</w:t>
            </w:r>
          </w:p>
        </w:tc>
        <w:tc>
          <w:tcPr>
            <w:tcW w:type="dxa" w:w="1872"/>
            <w:shd w:fill="0F3D1E"/>
            <w:tcMar>
              <w:top w:w="120" w:type="dxa"/>
              <w:bottom w:w="120" w:type="dxa"/>
              <w:left w:w="150" w:type="dxa"/>
              <w:right w:w="150" w:type="dxa"/>
            </w:tcMar>
          </w:tcPr>
          <w:p>
            <w:pPr>
              <w:jc w:val="center"/>
            </w:pPr>
            <w:r>
              <w:rPr>
                <w:b/>
                <w:color w:val="FFFFFF"/>
                <w:sz w:val="18"/>
              </w:rPr>
              <w:t>Water Conserved (L)</w:t>
            </w:r>
          </w:p>
        </w:tc>
        <w:tc>
          <w:tcPr>
            <w:tcW w:type="dxa" w:w="1872"/>
            <w:shd w:fill="0F3D1E"/>
            <w:tcMar>
              <w:top w:w="120" w:type="dxa"/>
              <w:bottom w:w="120" w:type="dxa"/>
              <w:left w:w="150" w:type="dxa"/>
              <w:right w:w="150" w:type="dxa"/>
            </w:tcMar>
          </w:tcPr>
          <w:p>
            <w:pPr>
              <w:jc w:val="center"/>
            </w:pPr>
            <w:r>
              <w:rPr>
                <w:b/>
                <w:color w:val="FFFFFF"/>
                <w:sz w:val="18"/>
              </w:rPr>
              <w:t>Yield Improvement</w:t>
            </w:r>
          </w:p>
        </w:tc>
        <w:tc>
          <w:tcPr>
            <w:tcW w:type="dxa" w:w="2016"/>
            <w:shd w:fill="0F3D1E"/>
            <w:tcMar>
              <w:top w:w="120" w:type="dxa"/>
              <w:bottom w:w="120" w:type="dxa"/>
              <w:left w:w="150" w:type="dxa"/>
              <w:right w:w="150" w:type="dxa"/>
            </w:tcMar>
          </w:tcPr>
          <w:p>
            <w:pPr>
              <w:jc w:val="center"/>
            </w:pPr>
            <w:r>
              <w:rPr>
                <w:b/>
                <w:color w:val="FFFFFF"/>
                <w:sz w:val="18"/>
              </w:rPr>
              <w:t>Fertilizer Saved (%)</w:t>
            </w:r>
          </w:p>
        </w:tc>
      </w:tr>
      <w:tr>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Zone A (North)</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Wheat</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4,200 L (35%)</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+18.2%</w:t>
            </w:r>
          </w:p>
        </w:tc>
        <w:tc>
          <w:tcPr>
            <w:tcW w:type="dxa" w:w="2016"/>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15.0%</w:t>
            </w:r>
          </w:p>
        </w:tc>
      </w:tr>
      <w:tr>
        <w:tc>
          <w:tcPr>
            <w:tcW w:type="dxa" w:w="1728"/>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Zone B (East)</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Maize</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2,800 L (28%)</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+33.3%</w:t>
            </w:r>
          </w:p>
        </w:tc>
        <w:tc>
          <w:tcPr>
            <w:tcW w:type="dxa" w:w="2016"/>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25.0%</w:t>
            </w:r>
          </w:p>
        </w:tc>
      </w:tr>
      <w:tr>
        <w:tc>
          <w:tcPr>
            <w:tcW w:type="dxa" w:w="1728"/>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Zone C (South)</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Tomatoes</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5,100 L (34%)</w:t>
            </w:r>
          </w:p>
        </w:tc>
        <w:tc>
          <w:tcPr>
            <w:tcW w:type="dxa" w:w="1872"/>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+21.5%</w:t>
            </w:r>
          </w:p>
        </w:tc>
        <w:tc>
          <w:tcPr>
            <w:tcW w:type="dxa" w:w="2016"/>
            <w:shd w:fill="F4F9F4"/>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rPr>
                <w:color w:val="333333"/>
                <w:sz w:val="17"/>
              </w:rPr>
              <w:t>26.0%</w:t>
            </w:r>
          </w:p>
        </w:tc>
      </w:tr>
    </w:tbl>
    <w:p>
      <w:pPr>
        <w:spacing w:before="360" w:after="120"/>
      </w:pPr>
      <w:r>
        <w:rPr>
          <w:rFonts w:ascii="Times New Roman" w:hAnsi="Times New Roman"/>
          <w:b/>
          <w:color w:val="0F3D1E"/>
          <w:sz w:val="24"/>
        </w:rPr>
        <w:t>V.  CONCLUSION AND FUTURE WORK</w:t>
      </w:r>
    </w:p>
    <w:p>
      <w:pPr>
        <w:spacing w:after="120" w:line="276" w:lineRule="auto"/>
      </w:pPr>
      <w:r>
        <w:t>This study presents the design and implementation of the Virtual Farm Intelligence System (VFIS). By combining IoT digital twin simulation, machine learning, explainable AI (XAI), and a Generative AI Query Routing (GAQR) conversational interface, VFIS provides an accessible platform for precision agriculture. The platform was evaluated on simulated plots, achieving a 96.5% crop recommendation accuracy, a 35% water savings via smart drip scheduling, and a 24.3% yield improvement across simulated zones. Localized SHAP explanations help address the black-box limitations of traditional agricultural AI models.</w:t>
      </w:r>
    </w:p>
    <w:p>
      <w:pPr>
        <w:spacing w:after="360" w:line="276" w:lineRule="auto"/>
      </w:pPr>
      <w:r>
        <w:t>Future research will focus on integrating physical IoT sensor nodes with agricultural hardware, incorporating drone multispectral imaging datasets, and optimizing models for edge deployment on low-connectivity devices. These additions could expand the capabilities of VFIS to provide real-time field diagnostics and automated resource management.</w:t>
      </w:r>
    </w:p>
    <w:p>
      <w:pPr>
        <w:spacing w:before="360" w:after="120"/>
      </w:pPr>
      <w:r>
        <w:rPr>
          <w:rFonts w:ascii="Times New Roman" w:hAnsi="Times New Roman"/>
          <w:b/>
          <w:color w:val="0F3D1E"/>
          <w:sz w:val="24"/>
        </w:rPr>
        <w:t>REFERENCES</w:t>
      </w:r>
    </w:p>
    <w:p>
      <w:pPr>
        <w:spacing w:after="80" w:line="240" w:lineRule="auto"/>
        <w:ind w:left="432" w:hanging="432"/>
      </w:pPr>
      <w:r>
        <w:rPr>
          <w:b/>
          <w:sz w:val="18"/>
        </w:rPr>
        <w:t xml:space="preserve">[1] </w:t>
      </w:r>
      <w:r>
        <w:rPr>
          <w:color w:val="333333"/>
          <w:sz w:val="18"/>
        </w:rPr>
        <w:t>S. Devi, P. Ram, and H. Sharma, "Sustainable Agriculture Digital Twin Framework (SADTF): Connecting Sustainability and IoT-Assisted Precision Agriculture," IEEE Trans. on Smart Agriculture, vol. 4, no. 2, pp. 112-124, Feb. 2026.</w:t>
      </w:r>
    </w:p>
    <w:p>
      <w:pPr>
        <w:spacing w:after="80" w:line="240" w:lineRule="auto"/>
        <w:ind w:left="432" w:hanging="432"/>
      </w:pPr>
      <w:r>
        <w:rPr>
          <w:b/>
          <w:sz w:val="18"/>
        </w:rPr>
        <w:t xml:space="preserve">[2] </w:t>
      </w:r>
      <w:r>
        <w:rPr>
          <w:color w:val="333333"/>
          <w:sz w:val="18"/>
        </w:rPr>
        <w:t>K. Verma, R. Singh, and M. Patel, "Machine Learning Approaches for Precision Farming: A Review and Future Outlook," IEEE Journal of Selected Topics in Applied Earth Observations, vol. 17, pp. 845-862, Mar. 2024.</w:t>
      </w:r>
    </w:p>
    <w:p>
      <w:pPr>
        <w:spacing w:after="80" w:line="240" w:lineRule="auto"/>
        <w:ind w:left="432" w:hanging="432"/>
      </w:pPr>
      <w:r>
        <w:rPr>
          <w:b/>
          <w:sz w:val="18"/>
        </w:rPr>
        <w:t xml:space="preserve">[3] </w:t>
      </w:r>
      <w:r>
        <w:rPr>
          <w:color w:val="333333"/>
          <w:sz w:val="18"/>
        </w:rPr>
        <w:t>S. Kumar, A. Gupta, and J. Rao, "Artificial Intelligence for Crop Yield Prediction: Models, Systems, and Implementations," IEEE Trans. on Systems, Man, and Cybernetics: Systems, vol. 53, no. 8, pp. 4912-4925, Aug. 2023.</w:t>
      </w:r>
    </w:p>
    <w:p>
      <w:pPr>
        <w:spacing w:after="80" w:line="240" w:lineRule="auto"/>
        <w:ind w:left="432" w:hanging="432"/>
      </w:pPr>
      <w:r>
        <w:rPr>
          <w:b/>
          <w:sz w:val="18"/>
        </w:rPr>
        <w:t xml:space="preserve">[4] </w:t>
      </w:r>
      <w:r>
        <w:rPr>
          <w:color w:val="333333"/>
          <w:sz w:val="18"/>
        </w:rPr>
        <w:t>R. El-Gharbawy and S. Ahmed, "Fertilizer Strength Prediction Model Using Convolutional Neural Networks and Image Feature Analytics," IEEE Access, vol. 9, pp. 110432-110445, May 2021.</w:t>
      </w:r>
    </w:p>
    <w:p>
      <w:pPr>
        <w:spacing w:after="80" w:line="240" w:lineRule="auto"/>
        <w:ind w:left="432" w:hanging="432"/>
      </w:pPr>
      <w:r>
        <w:rPr>
          <w:b/>
          <w:sz w:val="18"/>
        </w:rPr>
        <w:t xml:space="preserve">[5] </w:t>
      </w:r>
      <w:r>
        <w:rPr>
          <w:color w:val="333333"/>
          <w:sz w:val="18"/>
        </w:rPr>
        <w:t>A. Krishnan and V. Subramanian, "Multi-Crop Pathogen and Disease Detection Using Deep Convolutional Networks: A Review," IEEE Trans. on Agri-informatics, vol. 2, no. 1, pp. 45-58, Jan. 2021.</w:t>
      </w:r>
    </w:p>
    <w:p>
      <w:pPr>
        <w:spacing w:after="80" w:line="240" w:lineRule="auto"/>
        <w:ind w:left="432" w:hanging="432"/>
      </w:pPr>
      <w:r>
        <w:rPr>
          <w:b/>
          <w:sz w:val="18"/>
        </w:rPr>
        <w:t xml:space="preserve">[6] </w:t>
      </w:r>
      <w:r>
        <w:rPr>
          <w:color w:val="333333"/>
          <w:sz w:val="18"/>
        </w:rPr>
        <w:t>X. Zhao, L. Chen, and Y. Wang, "Explainable AI (XAI) in Precision Agriculture: Utilizing SHAP and LIME for Transparent Recommendation Systems," IEEE Trans. on Automation Science and Engineering, vol. 21, no. 3, pp. 1824-1837, Jul. 2024.</w:t>
      </w:r>
    </w:p>
    <w:p>
      <w:pPr>
        <w:spacing w:after="80" w:line="240" w:lineRule="auto"/>
        <w:ind w:left="432" w:hanging="432"/>
      </w:pPr>
      <w:r>
        <w:rPr>
          <w:b/>
          <w:sz w:val="18"/>
        </w:rPr>
        <w:t xml:space="preserve">[7] </w:t>
      </w:r>
      <w:r>
        <w:rPr>
          <w:color w:val="333333"/>
          <w:sz w:val="18"/>
        </w:rPr>
        <w:t>S. Vethree, S. Abishek, S. Srivarshan, and M. Dharshen, "A Smart Campus Management Ecosystem with AI-Powered Assistance and Wearable Notifications," in Proc. IEEE International Conference on Systems and Informatics (ICSI), Coimbatore, India, 2025, pp. 112-118.</w:t>
      </w:r>
    </w:p>
    <w:p>
      <w:pPr>
        <w:spacing w:after="80" w:line="240" w:lineRule="auto"/>
        <w:ind w:left="432" w:hanging="432"/>
      </w:pPr>
      <w:r>
        <w:rPr>
          <w:b/>
          <w:sz w:val="18"/>
        </w:rPr>
        <w:t xml:space="preserve">[8] </w:t>
      </w:r>
      <w:r>
        <w:rPr>
          <w:color w:val="333333"/>
          <w:sz w:val="18"/>
        </w:rPr>
        <w:t>A. R. Al-Ali, M. Gupta, and T. Landour, "Digital Twin for Smart Agriculture: A Concept to Reality," IEEE Internet of Things Journal, vol. 10, no. 14, pp. 12042-12053, Jul. 2023.</w:t>
      </w:r>
    </w:p>
    <w:p>
      <w:pPr>
        <w:spacing w:after="80" w:line="240" w:lineRule="auto"/>
        <w:ind w:left="432" w:hanging="432"/>
      </w:pPr>
      <w:r>
        <w:rPr>
          <w:b/>
          <w:sz w:val="18"/>
        </w:rPr>
        <w:t xml:space="preserve">[9] </w:t>
      </w:r>
      <w:r>
        <w:rPr>
          <w:color w:val="333333"/>
          <w:sz w:val="18"/>
        </w:rPr>
        <w:t>J. G. Dy and C. E. Brodley, "Feature Selection for Unsupervised Learning," Journal of Machine Learning Research, vol. 5, pp. 845-889, Aug. 2004.</w:t>
      </w:r>
    </w:p>
    <w:p>
      <w:pPr>
        <w:spacing w:after="80" w:line="240" w:lineRule="auto"/>
        <w:ind w:left="432" w:hanging="432"/>
      </w:pPr>
      <w:r>
        <w:rPr>
          <w:b/>
          <w:sz w:val="18"/>
        </w:rPr>
        <w:t xml:space="preserve">[10] </w:t>
      </w:r>
      <w:r>
        <w:rPr>
          <w:color w:val="333333"/>
          <w:sz w:val="18"/>
        </w:rPr>
        <w:t>M. S. Grewal and A. P. Andrews, Kalman Filtering: Theory and Practice Using MATLAB, 4th ed. Hoboken, NJ, USA: Wiley, 2015.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