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b/>
          <w:color w:val="1F3864"/>
          <w:sz w:val="72"/>
        </w:rPr>
        <w:t>CreditPathAI</w:t>
      </w:r>
    </w:p>
    <w:p>
      <w:pPr>
        <w:pStyle w:val="Normal"/>
        <w:jc w:val="center"/>
        <w:rPr/>
      </w:pPr>
      <w:r>
        <w:rPr>
          <w:i/>
          <w:color w:val="4472C4"/>
          <w:sz w:val="36"/>
        </w:rPr>
        <w:t>AI-Powered Credit Risk Assessment &amp; Action Recommendation System</w:t>
      </w:r>
    </w:p>
    <w:p>
      <w:pPr>
        <w:pStyle w:val="Normal"/>
        <w:rPr/>
      </w:pPr>
      <w:r>
        <w:rPr/>
      </w:r>
    </w:p>
    <w:p>
      <w:pPr>
        <w:pStyle w:val="Normal"/>
        <w:rPr/>
      </w:pPr>
      <w:r>
        <w:rPr/>
      </w:r>
    </w:p>
    <w:p>
      <w:pPr>
        <w:pStyle w:val="Normal"/>
        <w:jc w:val="center"/>
        <w:rPr/>
      </w:pPr>
      <w:r>
        <w:rPr>
          <w:b/>
          <w:color w:val="1F3864"/>
          <w:sz w:val="28"/>
        </w:rPr>
        <w:t>Project Documentation Report</w:t>
      </w:r>
    </w:p>
    <w:p>
      <w:pPr>
        <w:pStyle w:val="Normal"/>
        <w:jc w:val="center"/>
        <w:rPr/>
      </w:pPr>
      <w:r>
        <w:rPr/>
        <w:t>by – Hrishikesh Chandra</w:t>
      </w:r>
    </w:p>
    <w:p>
      <w:pPr>
        <w:pStyle w:val="Normal"/>
        <w:jc w:val="center"/>
        <w:rPr/>
      </w:pPr>
      <w:r>
        <w:rPr>
          <w:color w:val="595959"/>
          <w:sz w:val="24"/>
        </w:rPr>
        <w:t>March 2026</w:t>
      </w:r>
    </w:p>
    <w:p>
      <w:pPr>
        <w:pStyle w:val="Normal"/>
        <w:rPr/>
      </w:pPr>
      <w:r>
        <w:rPr/>
      </w:r>
    </w:p>
    <w:p>
      <w:pPr>
        <w:pStyle w:val="Normal"/>
        <w:rPr/>
      </w:pPr>
      <w:r>
        <w:rPr/>
      </w:r>
    </w:p>
    <w:p>
      <w:pPr>
        <w:pStyle w:val="Normal"/>
        <w:jc w:val="center"/>
        <w:rPr/>
      </w:pPr>
      <w:r>
        <w:rPr>
          <w:i/>
          <w:color w:val="595959"/>
          <w:sz w:val="20"/>
        </w:rPr>
        <w:t>Technologies: Python · XGBoost · LightGBM · FastAPI · React.js · SQLite</w:t>
      </w:r>
    </w:p>
    <w:p>
      <w:pPr>
        <w:pStyle w:val="Normal"/>
        <w:rPr/>
      </w:pPr>
      <w:r>
        <w:rPr/>
      </w:r>
      <w:r>
        <w:br w:type="page"/>
      </w:r>
    </w:p>
    <w:p>
      <w:pPr>
        <w:pStyle w:val="Heading1"/>
        <w:spacing w:before="0" w:after="0"/>
        <w:jc w:val="start"/>
        <w:rPr/>
      </w:pPr>
      <w:r>
        <w:rPr>
          <w:color w:val="1F3864"/>
        </w:rPr>
        <w:t>Table of Contents</w:t>
      </w:r>
    </w:p>
    <w:p>
      <w:pPr>
        <w:pStyle w:val="Normal"/>
        <w:spacing w:before="0" w:after="80"/>
        <w:rPr/>
      </w:pPr>
      <w:r>
        <w:rPr>
          <w:color w:val="1F3864"/>
          <w:sz w:val="24"/>
        </w:rPr>
        <w:t>1.  Abstract</w:t>
      </w:r>
    </w:p>
    <w:p>
      <w:pPr>
        <w:pStyle w:val="Normal"/>
        <w:spacing w:before="0" w:after="80"/>
        <w:rPr/>
      </w:pPr>
      <w:r>
        <w:rPr>
          <w:color w:val="1F3864"/>
          <w:sz w:val="24"/>
        </w:rPr>
        <w:t>2.  Introduction</w:t>
      </w:r>
    </w:p>
    <w:p>
      <w:pPr>
        <w:pStyle w:val="Normal"/>
        <w:spacing w:before="0" w:after="80"/>
        <w:rPr/>
      </w:pPr>
      <w:r>
        <w:rPr>
          <w:color w:val="1F3864"/>
          <w:sz w:val="24"/>
        </w:rPr>
        <w:t>3.  Proposed System</w:t>
      </w:r>
    </w:p>
    <w:p>
      <w:pPr>
        <w:pStyle w:val="Normal"/>
        <w:spacing w:before="0" w:after="80"/>
        <w:rPr/>
      </w:pPr>
      <w:r>
        <w:rPr>
          <w:color w:val="1F3864"/>
          <w:sz w:val="24"/>
        </w:rPr>
        <w:t>4.  Implementation</w:t>
      </w:r>
    </w:p>
    <w:p>
      <w:pPr>
        <w:pStyle w:val="Normal"/>
        <w:spacing w:before="0" w:after="80"/>
        <w:rPr/>
      </w:pPr>
      <w:r>
        <w:rPr>
          <w:color w:val="1F3864"/>
          <w:sz w:val="24"/>
        </w:rPr>
        <w:t>5.  Results</w:t>
      </w:r>
    </w:p>
    <w:p>
      <w:pPr>
        <w:pStyle w:val="Normal"/>
        <w:spacing w:before="0" w:after="80"/>
        <w:rPr/>
      </w:pPr>
      <w:r>
        <w:rPr>
          <w:color w:val="1F3864"/>
          <w:sz w:val="24"/>
        </w:rPr>
        <w:t>6.  Conclusion</w:t>
      </w:r>
    </w:p>
    <w:p>
      <w:pPr>
        <w:pStyle w:val="Normal"/>
        <w:rPr/>
      </w:pPr>
      <w:r>
        <w:rPr/>
      </w:r>
      <w:r>
        <w:br w:type="page"/>
      </w:r>
    </w:p>
    <w:p>
      <w:pPr>
        <w:pStyle w:val="Heading1"/>
        <w:spacing w:before="0" w:after="0"/>
        <w:jc w:val="start"/>
        <w:rPr/>
      </w:pPr>
      <w:r>
        <w:rPr>
          <w:color w:val="1F3864"/>
        </w:rPr>
        <w:t>1. Abstract</w:t>
      </w:r>
    </w:p>
    <w:p>
      <w:pPr>
        <w:pStyle w:val="Normal"/>
        <w:spacing w:before="0" w:after="160"/>
        <w:jc w:val="both"/>
        <w:rPr/>
      </w:pPr>
      <w:r>
        <w:rPr>
          <w:b w:val="false"/>
          <w:i w:val="false"/>
          <w:sz w:val="22"/>
        </w:rPr>
        <w:t xml:space="preserve">CreditPathAI is an end-to-end, machine-learning-driven credit risk assessment and action recommendation platform designed for financial institutions. The system ingests borrower financial data from the Microsoft R Server Loan Credit Risk dataset, applies a multi-stage feature engineering pipeline, trains and compares three predictive models — Logistic Regression (baseline), XGBoost, and LightGBM — and exposes the best-performing model through a RESTful FastAPI. A React.js web interface with Plotly.js interactive visualisations provides dual-persona dashboards for both borrowers and loan officers. The production model (XGBoost, AUC-ROC 0.9246; LightGBM, AUC-ROC 0.9262) is coupled with a rule-based Action Recommendation Engine that maps predicted risk bands to personalised recovery interventions, thereby transforming a raw ML output into operational business value. </w:t>
      </w:r>
    </w:p>
    <w:p>
      <w:pPr>
        <w:pStyle w:val="Normal"/>
        <w:spacing w:before="0" w:after="120"/>
        <w:jc w:val="both"/>
        <w:rPr/>
      </w:pPr>
      <w:r>
        <w:rPr>
          <w:b w:val="false"/>
          <w:i/>
          <w:color w:val="595959"/>
          <w:sz w:val="20"/>
        </w:rPr>
        <w:t>Keywords: Credit Risk, Machine Learning, XGBoost, LightGBM, FastAPI, Feature Engineering, Recommendation Engine, React.js.</w:t>
      </w:r>
    </w:p>
    <w:p>
      <w:pPr>
        <w:pStyle w:val="Normal"/>
        <w:rPr/>
      </w:pPr>
      <w:r>
        <w:rPr/>
      </w:r>
      <w:r>
        <w:br w:type="page"/>
      </w:r>
    </w:p>
    <w:p>
      <w:pPr>
        <w:pStyle w:val="Heading1"/>
        <w:spacing w:before="0" w:after="0"/>
        <w:jc w:val="start"/>
        <w:rPr/>
      </w:pPr>
      <w:r>
        <w:rPr>
          <w:color w:val="1F3864"/>
        </w:rPr>
        <w:t>2. Introduction</w:t>
      </w:r>
    </w:p>
    <w:p>
      <w:pPr>
        <w:pStyle w:val="Normal"/>
        <w:spacing w:before="0" w:after="120"/>
        <w:rPr/>
      </w:pPr>
      <w:r>
        <w:rPr>
          <w:b/>
          <w:i w:val="false"/>
          <w:color w:val="4472C4"/>
          <w:sz w:val="24"/>
        </w:rPr>
        <w:t>2.1  Background and Motivation</w:t>
      </w:r>
    </w:p>
    <w:p>
      <w:pPr>
        <w:pStyle w:val="Normal"/>
        <w:spacing w:before="0" w:after="160"/>
        <w:jc w:val="both"/>
        <w:rPr/>
      </w:pPr>
      <w:r>
        <w:rPr>
          <w:b w:val="false"/>
          <w:i w:val="false"/>
          <w:sz w:val="22"/>
        </w:rPr>
        <w:t>Credit default risk is one of the most consequential challenges facing lending institutions. A borrower who defaults on a loan causes direct financial loss to the lender and cascading effects on the broader credit ecosystem. Traditional rule-based credit scorecard models — while interpretable — fail to capture the non-linear interactions between modern financial features such as revolving utilisation rates, payment pressure, and credit inquiry velocity. The emergence of gradient-boosted tree algorithms has opened a new avenue for lenders to substantially improve predictive accuracy while retaining the ability to audit model decisions through feature-importance analysis.</w:t>
      </w:r>
    </w:p>
    <w:p>
      <w:pPr>
        <w:pStyle w:val="Normal"/>
        <w:spacing w:before="0" w:after="120"/>
        <w:rPr/>
      </w:pPr>
      <w:r>
        <w:rPr>
          <w:b/>
          <w:i w:val="false"/>
          <w:color w:val="4472C4"/>
          <w:sz w:val="24"/>
        </w:rPr>
        <w:t>2.2  Problem Statement</w:t>
      </w:r>
    </w:p>
    <w:p>
      <w:pPr>
        <w:pStyle w:val="Normal"/>
        <w:spacing w:before="0" w:after="80"/>
        <w:jc w:val="both"/>
        <w:rPr/>
      </w:pPr>
      <w:r>
        <w:rPr>
          <w:b w:val="false"/>
          <w:i w:val="false"/>
          <w:sz w:val="22"/>
        </w:rPr>
        <w:t>Given a portfolio of borrowers described by up to 47 engineered features derived from raw loan application data, the system must:</w:t>
      </w:r>
    </w:p>
    <w:p>
      <w:pPr>
        <w:pStyle w:val="ListBullet"/>
        <w:numPr>
          <w:ilvl w:val="0"/>
          <w:numId w:val="1"/>
        </w:numPr>
        <w:spacing w:before="0" w:after="60"/>
        <w:ind w:hanging="360" w:start="432"/>
        <w:contextualSpacing/>
        <w:jc w:val="both"/>
        <w:rPr/>
      </w:pPr>
      <w:r>
        <w:rPr>
          <w:sz w:val="22"/>
        </w:rPr>
        <w:t>Accurately predict the probability that a borrower will default on their loan.</w:t>
      </w:r>
    </w:p>
    <w:p>
      <w:pPr>
        <w:pStyle w:val="ListBullet"/>
        <w:numPr>
          <w:ilvl w:val="0"/>
          <w:numId w:val="1"/>
        </w:numPr>
        <w:spacing w:before="0" w:after="60"/>
        <w:ind w:hanging="360" w:start="432"/>
        <w:contextualSpacing/>
        <w:jc w:val="both"/>
        <w:rPr/>
      </w:pPr>
      <w:r>
        <w:rPr>
          <w:sz w:val="22"/>
        </w:rPr>
        <w:t>Classify each borrower into a qualitative risk band (Very Low → Very High).</w:t>
      </w:r>
    </w:p>
    <w:p>
      <w:pPr>
        <w:pStyle w:val="ListBullet"/>
        <w:numPr>
          <w:ilvl w:val="0"/>
          <w:numId w:val="1"/>
        </w:numPr>
        <w:spacing w:before="0" w:after="60"/>
        <w:ind w:hanging="360" w:start="432"/>
        <w:contextualSpacing/>
        <w:jc w:val="both"/>
        <w:rPr/>
      </w:pPr>
      <w:r>
        <w:rPr>
          <w:sz w:val="22"/>
        </w:rPr>
        <w:t>Compute the expected financial loss (Probability × Loan Amount).</w:t>
      </w:r>
    </w:p>
    <w:p>
      <w:pPr>
        <w:pStyle w:val="ListBullet"/>
        <w:numPr>
          <w:ilvl w:val="0"/>
          <w:numId w:val="1"/>
        </w:numPr>
        <w:spacing w:before="0" w:after="60"/>
        <w:ind w:hanging="360" w:start="432"/>
        <w:contextualSpacing/>
        <w:jc w:val="both"/>
        <w:rPr/>
      </w:pPr>
      <w:r>
        <w:rPr>
          <w:sz w:val="22"/>
        </w:rPr>
        <w:t>Map the expected loss and risk band to a prescriptive, priority-driven action plan.</w:t>
      </w:r>
    </w:p>
    <w:p>
      <w:pPr>
        <w:pStyle w:val="ListBullet"/>
        <w:numPr>
          <w:ilvl w:val="0"/>
          <w:numId w:val="1"/>
        </w:numPr>
        <w:spacing w:before="0" w:after="60"/>
        <w:ind w:hanging="360" w:start="432"/>
        <w:contextualSpacing/>
        <w:jc w:val="both"/>
        <w:rPr/>
      </w:pPr>
      <w:r>
        <w:rPr>
          <w:sz w:val="22"/>
        </w:rPr>
        <w:t>Surface all findings through an accessible web interface for both borrowers and loan officers.</w:t>
      </w:r>
    </w:p>
    <w:p>
      <w:pPr>
        <w:pStyle w:val="Normal"/>
        <w:jc w:val="both"/>
        <w:rPr/>
      </w:pPr>
      <w:r>
        <w:rPr/>
      </w:r>
    </w:p>
    <w:p>
      <w:pPr>
        <w:pStyle w:val="Normal"/>
        <w:spacing w:before="0" w:after="120"/>
        <w:rPr/>
      </w:pPr>
      <w:r>
        <w:rPr>
          <w:b/>
          <w:i w:val="false"/>
          <w:color w:val="4472C4"/>
          <w:sz w:val="24"/>
        </w:rPr>
        <w:t>2.3  Objectives</w:t>
      </w:r>
    </w:p>
    <w:p>
      <w:pPr>
        <w:pStyle w:val="ListNumber"/>
        <w:numPr>
          <w:ilvl w:val="0"/>
          <w:numId w:val="4"/>
        </w:numPr>
        <w:spacing w:before="0" w:after="80"/>
        <w:contextualSpacing/>
        <w:jc w:val="both"/>
        <w:rPr/>
      </w:pPr>
      <w:r>
        <w:rPr>
          <w:sz w:val="22"/>
        </w:rPr>
        <w:t>Ingest and persist loan data in a portable SQLite database.</w:t>
      </w:r>
    </w:p>
    <w:p>
      <w:pPr>
        <w:pStyle w:val="ListNumber"/>
        <w:numPr>
          <w:ilvl w:val="0"/>
          <w:numId w:val="4"/>
        </w:numPr>
        <w:spacing w:before="0" w:after="80"/>
        <w:contextualSpacing/>
        <w:jc w:val="both"/>
        <w:rPr/>
      </w:pPr>
      <w:r>
        <w:rPr>
          <w:sz w:val="22"/>
        </w:rPr>
        <w:t>Build a reproducible, multi-step feature engineering pipeline.</w:t>
      </w:r>
    </w:p>
    <w:p>
      <w:pPr>
        <w:pStyle w:val="ListNumber"/>
        <w:numPr>
          <w:ilvl w:val="0"/>
          <w:numId w:val="4"/>
        </w:numPr>
        <w:spacing w:before="0" w:after="80"/>
        <w:contextualSpacing/>
        <w:jc w:val="both"/>
        <w:rPr>
          <w:sz w:val="22"/>
        </w:rPr>
      </w:pPr>
      <w:r>
        <w:rPr>
          <w:sz w:val="22"/>
        </w:rPr>
        <w:t>Train and compare Logistic Regression (baseline), XGBoost, and LightGBM models.</w:t>
      </w:r>
    </w:p>
    <w:p>
      <w:pPr>
        <w:pStyle w:val="ListNumber"/>
        <w:numPr>
          <w:ilvl w:val="0"/>
          <w:numId w:val="4"/>
        </w:numPr>
        <w:spacing w:before="0" w:after="80"/>
        <w:contextualSpacing/>
        <w:jc w:val="both"/>
        <w:rPr/>
      </w:pPr>
      <w:r>
        <w:rPr>
          <w:sz w:val="22"/>
        </w:rPr>
        <w:t>Develop a rule-based Action Recommendation Engine for operational decisions.</w:t>
      </w:r>
    </w:p>
    <w:p>
      <w:pPr>
        <w:pStyle w:val="ListNumber"/>
        <w:numPr>
          <w:ilvl w:val="0"/>
          <w:numId w:val="4"/>
        </w:numPr>
        <w:spacing w:before="0" w:after="80"/>
        <w:contextualSpacing/>
        <w:jc w:val="both"/>
        <w:rPr/>
      </w:pPr>
      <w:r>
        <w:rPr>
          <w:sz w:val="22"/>
        </w:rPr>
        <w:t>Expose the prediction pipeline via a documented FastAPI REST service.</w:t>
      </w:r>
    </w:p>
    <w:p>
      <w:pPr>
        <w:pStyle w:val="ListNumber"/>
        <w:numPr>
          <w:ilvl w:val="0"/>
          <w:numId w:val="4"/>
        </w:numPr>
        <w:spacing w:before="0" w:after="80"/>
        <w:contextualSpacing/>
        <w:jc w:val="both"/>
        <w:rPr/>
      </w:pPr>
      <w:r>
        <w:rPr>
          <w:sz w:val="22"/>
        </w:rPr>
        <w:t>Deliver an intuitive React.js dashboard with Plotly.js visual analytics.</w:t>
      </w:r>
    </w:p>
    <w:p>
      <w:pPr>
        <w:pStyle w:val="Normal"/>
        <w:rPr/>
      </w:pPr>
      <w:r>
        <w:rPr/>
      </w:r>
    </w:p>
    <w:p>
      <w:pPr>
        <w:pStyle w:val="Normal"/>
        <w:spacing w:before="0" w:after="120"/>
        <w:rPr/>
      </w:pPr>
      <w:r>
        <w:rPr>
          <w:b/>
          <w:i w:val="false"/>
          <w:color w:val="4472C4"/>
          <w:sz w:val="24"/>
        </w:rPr>
        <w:t>2.4  Data Source</w:t>
      </w:r>
    </w:p>
    <w:p>
      <w:pPr>
        <w:pStyle w:val="Normal"/>
        <w:spacing w:before="0" w:after="160"/>
        <w:jc w:val="both"/>
        <w:rPr/>
      </w:pPr>
      <w:r>
        <w:rPr>
          <w:b w:val="false"/>
          <w:i w:val="false"/>
          <w:sz w:val="22"/>
        </w:rPr>
        <w:t>The project uses the Microsoft R Server Loan Credit Risk dataset, comprising loan-level records that include borrower demographics, loan characteristics, credit bureau attributes, and a binary target variable (loanStatus: 0 = Current/Non-Default, 1 = Default). The dataset exhibits a significant class imbalance (~10:1 non-default to default ratio), which is explicitly handled during model training.</w:t>
      </w:r>
    </w:p>
    <w:p>
      <w:pPr>
        <w:pStyle w:val="Normal"/>
        <w:rPr/>
      </w:pPr>
      <w:r>
        <w:rPr/>
      </w:r>
      <w:r>
        <w:br w:type="page"/>
      </w:r>
    </w:p>
    <w:p>
      <w:pPr>
        <w:pStyle w:val="Heading1"/>
        <w:spacing w:before="0" w:after="0"/>
        <w:jc w:val="start"/>
        <w:rPr/>
      </w:pPr>
      <w:r>
        <w:rPr>
          <w:color w:val="1F3864"/>
        </w:rPr>
        <w:t>3. Proposed System</w:t>
      </w:r>
    </w:p>
    <w:p>
      <w:pPr>
        <w:pStyle w:val="Normal"/>
        <w:spacing w:before="0" w:after="120"/>
        <w:rPr/>
      </w:pPr>
      <w:r>
        <w:rPr>
          <w:b/>
          <w:i w:val="false"/>
          <w:color w:val="4472C4"/>
          <w:sz w:val="24"/>
        </w:rPr>
        <w:t>3.1  System Overview</w:t>
      </w:r>
    </w:p>
    <w:p>
      <w:pPr>
        <w:pStyle w:val="Normal"/>
        <w:spacing w:before="0" w:after="120"/>
        <w:jc w:val="both"/>
        <w:rPr/>
      </w:pPr>
      <w:r>
        <w:rPr>
          <w:b w:val="false"/>
          <w:i w:val="false"/>
          <w:sz w:val="22"/>
        </w:rPr>
        <w:t>CreditPathAI is architected as a modular, layered system. Each layer has a well-defined responsibility and communicates through standard interfaces (Python modules, REST API, SQLite). The architecture follows a data-centric ML pipeline pattern:</w:t>
      </w:r>
    </w:p>
    <w:p>
      <w:pPr>
        <w:pStyle w:val="Heading3"/>
        <w:jc w:val="start"/>
        <w:rPr/>
      </w:pPr>
      <w:r>
        <w:rPr/>
        <w:t>3.1.1  Architectural Layers</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Layer</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Responsibility</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Data Layer</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Raw CSV files ingested into SQLite via csv2sqlite.py; tables: raw_loans, processed_loans.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Preprocessing Layer</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preprocessor.py merges, cleans, engineers 47 features, applies IQR capping, mean imputation, and one-hot encoding.</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Feature Pipeline Layer</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feature_pipeline.py (training-time) builds a reusable ColumnTransformer (StandardScaler + SimpleImputer) saved as preprocessor.joblib.</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Model Training Layer</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Separate scripts for Baseline (Logistic Regression) and Advanced (XGBoost, LightGBM)</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Recommendation Engine Layer</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recommend_engine.py + risk_rules.py: scores borrower, detects flags, maps EL → priority → action plan.</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API Layer</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FastAPI (fast_api/main.py) wraps the engine; endpoints: /health, /recommend, /random-borrower, /batch-cases.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Presentation Layer</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React.js SPA with pages: Landing, Borrower, Provider (Loan Officer), Recommend, Dashboard.</w:t>
            </w:r>
          </w:p>
        </w:tc>
      </w:tr>
    </w:tbl>
    <w:p>
      <w:pPr>
        <w:pStyle w:val="Normal"/>
        <w:rPr/>
      </w:pPr>
      <w:r>
        <w:rPr/>
      </w:r>
    </w:p>
    <w:p>
      <w:pPr>
        <w:pStyle w:val="Normal"/>
        <w:spacing w:before="0" w:after="120"/>
        <w:rPr/>
      </w:pPr>
      <w:r>
        <w:rPr>
          <w:b/>
          <w:i w:val="false"/>
          <w:color w:val="4472C4"/>
          <w:sz w:val="24"/>
        </w:rPr>
        <w:t>3.2  System Architecture Diagram (Textual)</w:t>
      </w:r>
    </w:p>
    <w:p>
      <w:pPr>
        <w:pStyle w:val="Normal"/>
        <w:spacing w:before="0" w:after="160"/>
        <w:rPr/>
      </w:pPr>
      <w:r>
        <w:rPr>
          <w:rFonts w:ascii="Courier New" w:hAnsi="Courier New"/>
          <w:sz w:val="18"/>
        </w:rPr>
        <w:t xml:space="preserve">  </w:t>
      </w:r>
      <w:r>
        <w:rPr>
          <w:rFonts w:ascii="Courier New" w:hAnsi="Courier New"/>
          <w:sz w:val="18"/>
        </w:rPr>
        <w:t>[CSV Dataset]</w:t>
        <w:br/>
        <w:t xml:space="preserve">       │</w:t>
        <w:br/>
        <w:t xml:space="preserve">       ▼</w:t>
        <w:br/>
        <w:t xml:space="preserve">  [csv2sqlite.py]  →  [creditpathai.db (SQLite)]</w:t>
        <w:br/>
        <w:t xml:space="preserve">       │</w:t>
        <w:br/>
        <w:t xml:space="preserve">       ▼</w:t>
        <w:br/>
        <w:t xml:space="preserve">  [preprocessor.py / feature_pipeline.py]</w:t>
        <w:br/>
        <w:t xml:space="preserve">       │          ↘</w:t>
        <w:br/>
        <w:t xml:space="preserve">       ▼           [preprocessor.joblib]</w:t>
        <w:br/>
        <w:t xml:space="preserve">  [train_baseline.py]    [train_advanced.py]</w:t>
        <w:br/>
        <w:t xml:space="preserve">  (Logistic Regression)  (XGBoost · LightGBM)</w:t>
        <w:br/>
        <w:t xml:space="preserve">       │</w:t>
        <w:br/>
        <w:t xml:space="preserve">       ▼</w:t>
        <w:br/>
        <w:t xml:space="preserve">  [recommend_engine.py]  ←  [risk_rules.py]</w:t>
        <w:br/>
        <w:t xml:space="preserve">       │</w:t>
        <w:br/>
        <w:t xml:space="preserve">       ▼</w:t>
        <w:br/>
        <w:t xml:space="preserve">  [FastAPI  /  uvicorn]</w:t>
        <w:br/>
        <w:t xml:space="preserve">       │</w:t>
        <w:br/>
        <w:t xml:space="preserve">       ▼</w:t>
        <w:br/>
        <w:t xml:space="preserve">  [React.js Frontend (Vite)]  →  User (Borrower / Loan Officer)</w:t>
        <w:br/>
      </w:r>
    </w:p>
    <w:p>
      <w:pPr>
        <w:pStyle w:val="Normal"/>
        <w:spacing w:before="0" w:after="120"/>
        <w:rPr/>
      </w:pPr>
      <w:r>
        <w:rPr>
          <w:b/>
          <w:i w:val="false"/>
          <w:color w:val="4472C4"/>
          <w:sz w:val="24"/>
        </w:rPr>
        <w:t>3.3  Key Design Decisions</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Design Decision</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Rationale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SQLite Persistence</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Lightweight, zero-server database ideal for a self-contained research system; can be swapped for PostgreSQL in production.</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Class Imbalance Strategy</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XGBoost uses scale_pos_weight=9 (matching ~9:1 dataset ratio); LightGBM uses is_unbalance=True.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Feature Engineering</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5 interaction features added at inference time in recommend_engine.py to match training-time pipeline.</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Threshold Decoupling</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The decision threshold (default 0.50) is a runtime parameter, enabling calibration without retraining.</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Rule-Based Actions</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Priority tiers (Low/Medium/High/Critical) derived from expected loss bands allow non-data-scientists to interpret results.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Dual Dashboard</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Separate Borrower and Provider views prevent feature overload and tailor the UX to each persona.</w:t>
            </w:r>
          </w:p>
        </w:tc>
      </w:tr>
    </w:tbl>
    <w:p>
      <w:pPr>
        <w:pStyle w:val="Normal"/>
        <w:rPr/>
      </w:pPr>
      <w:r>
        <w:rPr/>
      </w:r>
    </w:p>
    <w:p>
      <w:pPr>
        <w:pStyle w:val="Normal"/>
        <w:rPr/>
      </w:pPr>
      <w:r>
        <w:rPr/>
      </w:r>
      <w:r>
        <w:br w:type="page"/>
      </w:r>
    </w:p>
    <w:p>
      <w:pPr>
        <w:pStyle w:val="Heading1"/>
        <w:spacing w:before="0" w:after="0"/>
        <w:jc w:val="start"/>
        <w:rPr/>
      </w:pPr>
      <w:r>
        <w:rPr>
          <w:color w:val="1F3864"/>
        </w:rPr>
        <w:t>4. Implementation</w:t>
      </w:r>
    </w:p>
    <w:p>
      <w:pPr>
        <w:pStyle w:val="Normal"/>
        <w:spacing w:before="0" w:after="120"/>
        <w:rPr/>
      </w:pPr>
      <w:r>
        <w:rPr>
          <w:b/>
          <w:i w:val="false"/>
          <w:color w:val="4472C4"/>
          <w:sz w:val="24"/>
        </w:rPr>
        <w:t>4.1  Data Ingestion</w:t>
      </w:r>
    </w:p>
    <w:p>
      <w:pPr>
        <w:pStyle w:val="Normal"/>
        <w:spacing w:before="0" w:after="120"/>
        <w:jc w:val="both"/>
        <w:rPr/>
      </w:pPr>
      <w:r>
        <w:rPr>
          <w:b w:val="false"/>
          <w:i w:val="false"/>
          <w:sz w:val="22"/>
        </w:rPr>
        <w:t>Raw data from the Microsoft R Server Loan Credit Risk dataset is delivered as two CSV files: raw_loans.csv (merged borrower + loan records) and processed_loans.csv (after feature engineering). The csv2sqlite.py script loads both files using Pandas and writes them as tables into a single SQLite database (creditpathai.db, ≈ 55 MB), providing a portable, query-able data store that the training pipeline and FastAPI service both reference at runtime.</w:t>
      </w:r>
    </w:p>
    <w:p>
      <w:pPr>
        <w:pStyle w:val="Heading3"/>
        <w:jc w:val="start"/>
        <w:rPr/>
      </w:pPr>
      <w:r>
        <w:rPr/>
        <w:t>Data Statistics</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Attribute</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Dataset Source</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Microsoft R Server Loan Credit Risk</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Total Records</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100,000 loan applications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Training Set</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80,000 rows (80%)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Test Set</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20,000 rows (20%)</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Class Distribution</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~90% Non-Default / ~10% Default</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Raw Features (pre-engineering)</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~18 columns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Engineered Features</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47 columns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Storage Format</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SQLite (csv2database/creditpathai.db)</w:t>
            </w:r>
          </w:p>
        </w:tc>
      </w:tr>
    </w:tbl>
    <w:p>
      <w:pPr>
        <w:pStyle w:val="Normal"/>
        <w:rPr/>
      </w:pPr>
      <w:r>
        <w:rPr/>
      </w:r>
    </w:p>
    <w:p>
      <w:pPr>
        <w:pStyle w:val="Normal"/>
        <w:spacing w:before="0" w:after="120"/>
        <w:rPr/>
      </w:pPr>
      <w:r>
        <w:rPr>
          <w:b/>
          <w:i w:val="false"/>
          <w:color w:val="4472C4"/>
          <w:sz w:val="24"/>
        </w:rPr>
        <w:t>4.2  Feature Engineering</w:t>
      </w:r>
    </w:p>
    <w:p>
      <w:pPr>
        <w:pStyle w:val="Normal"/>
        <w:spacing w:before="0" w:after="80"/>
        <w:jc w:val="both"/>
        <w:rPr/>
      </w:pPr>
      <w:r>
        <w:rPr>
          <w:b w:val="false"/>
          <w:i w:val="false"/>
          <w:sz w:val="22"/>
        </w:rPr>
        <w:t>The preprocessing pipeline (preprocessor.py and feature_pipeline.py) transforms raw data through 17 sequential steps before model training:</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Step</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Target Encoding</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loanStatus mapped: "Current" → 0, "Default" → 1.</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Date Sorting</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Records sorted chronologically to respect temporal ordering.</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ID Removal</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loanId, memberId dropped to prevent data leakage.</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Term Conversion</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"60 months" → 60 (numeric).</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Employment Years</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Ordinal parser handles &lt;1, 10+, ranges (e.g. 6–9 → 7.5).</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Grade Score</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Letter + number grade compressed into single ordinal float (e.g. B3 → 2.3).</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Loan Burden Ratios</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loan_to_income_ratio, payment_to_income_ratio.</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Repayment Velocity</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repayment_velocity (monthly payment / loan amount), loan_amortization_rate.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Credit Structure</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open_credit_ratio, recent_credit_velocity.</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Inquiry Intensity</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numInquiries6Mon / (lengthCreditHistory + 1).</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Delinquency / Derogatory Density</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Normalised by credit history length / total credit lines.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Estimated Credit Limit</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Derived from revolving balance / utilisation rate.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Log Transforms</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log1p applied to loanAmount, annualIncome, revolvingBalance (skew reduction).</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IQR Capping</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Outlier capping at Q1 − 1.5×IQR / Q3 + 1.5×IQR for all continuous features.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Mean Imputation</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SimpleImputer (strategy=mean) for remaining NaNs.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One-Hot Encoding</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purpose, homeOwnership encoded with drop_first=True.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Interaction Features (inference)</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interest_dti_burden, credit_stress_index, payment_pressure, credit_depth, revolving_load added at inference time.</w:t>
            </w:r>
          </w:p>
        </w:tc>
      </w:tr>
    </w:tbl>
    <w:p>
      <w:pPr>
        <w:pStyle w:val="Normal"/>
        <w:rPr/>
      </w:pPr>
      <w:r>
        <w:rPr/>
      </w:r>
    </w:p>
    <w:p>
      <w:pPr>
        <w:pStyle w:val="Normal"/>
        <w:spacing w:before="0" w:after="120"/>
        <w:rPr/>
      </w:pPr>
      <w:r>
        <w:rPr>
          <w:b/>
          <w:i w:val="false"/>
          <w:color w:val="4472C4"/>
          <w:sz w:val="24"/>
        </w:rPr>
        <w:t>4.3  Model Training &amp; Evaluation</w:t>
      </w:r>
    </w:p>
    <w:p>
      <w:pPr>
        <w:pStyle w:val="Normal"/>
        <w:spacing w:before="0" w:after="120"/>
        <w:jc w:val="both"/>
        <w:rPr/>
      </w:pPr>
      <w:r>
        <w:rPr>
          <w:b w:val="false"/>
          <w:i w:val="false"/>
          <w:sz w:val="22"/>
        </w:rPr>
        <w:t>Three models are trained in two phases. Phase 1 (Baseline) establishes a Logistic Regression benchmark with class_weight="balanced". Phase 2 (Advanced) trains XGBoost and LightGBM with explicit class-imbalance strategies.</w:t>
      </w:r>
    </w:p>
    <w:p>
      <w:pPr>
        <w:pStyle w:val="Heading3"/>
        <w:jc w:val="start"/>
        <w:rPr/>
      </w:pPr>
      <w:r>
        <w:rPr/>
        <w:t>Baseline: Logistic Regression</w:t>
      </w:r>
    </w:p>
    <w:p>
      <w:pPr>
        <w:pStyle w:val="Normal"/>
        <w:spacing w:before="0" w:after="80"/>
        <w:jc w:val="both"/>
        <w:rPr/>
      </w:pPr>
      <w:r>
        <w:rPr>
          <w:b w:val="false"/>
          <w:i w:val="false"/>
          <w:sz w:val="22"/>
        </w:rPr>
        <w:t>Logistic Regression with L2 regularisation (C=1.0), lbfgs solver, and class_weight="balanced" serves as the interpretable baseline. Five-fold stratified cross-validation is performed to assess variance. Trained on 80,000 samples with 47 features after ColumnTransformer preprocessing.</w:t>
      </w:r>
    </w:p>
    <w:p>
      <w:pPr>
        <w:pStyle w:val="Heading3"/>
        <w:jc w:val="start"/>
        <w:rPr/>
      </w:pPr>
      <w:r>
        <w:rPr/>
        <w:t>Advanced: XGBoost</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Hyperparameter</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n_estimators</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500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learning_rate</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0.05</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max_depth</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min_child_weight</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subsample / colsample_bytree</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0.8 / 0.8</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gamma</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reg_alpha / reg_lambda</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 / 1.0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scale_pos_weight</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9 (matches 9:1 class imbalance ratio)</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tree_method</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hist (histogram-based, fast)</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Imbalance Strategy</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scale_pos_weight=9</w:t>
            </w:r>
          </w:p>
        </w:tc>
      </w:tr>
    </w:tbl>
    <w:p>
      <w:pPr>
        <w:pStyle w:val="Normal"/>
        <w:rPr/>
      </w:pPr>
      <w:r>
        <w:rPr/>
      </w:r>
    </w:p>
    <w:p>
      <w:pPr>
        <w:pStyle w:val="Heading3"/>
        <w:jc w:val="start"/>
        <w:rPr/>
      </w:pPr>
      <w:r>
        <w:rPr/>
        <w:t>Advanced: LightGBM</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Hyperparameter</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Value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n_estimators</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500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learning_rate</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0.05</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num_leaves</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63</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max_depth</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 (unlimited)</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min_child_samples</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subsample / colsample_bytree</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0.8 / 0.8</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reg_alpha / reg_lambda</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0.1 / 1.0</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Imbalance Strategy</w:t>
            </w:r>
          </w:p>
        </w:tc>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is_unbalance=True</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Early Stopping</w:t>
            </w:r>
          </w:p>
        </w:tc>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50 rounds patience</w:t>
            </w:r>
          </w:p>
        </w:tc>
      </w:tr>
    </w:tbl>
    <w:p>
      <w:pPr>
        <w:pStyle w:val="Normal"/>
        <w:rPr/>
      </w:pPr>
      <w:r>
        <w:rPr/>
      </w:r>
    </w:p>
    <w:p>
      <w:pPr>
        <w:pStyle w:val="Normal"/>
        <w:spacing w:before="0" w:after="120"/>
        <w:rPr/>
      </w:pPr>
      <w:r>
        <w:rPr>
          <w:b/>
          <w:i w:val="false"/>
          <w:color w:val="4472C4"/>
          <w:sz w:val="24"/>
        </w:rPr>
        <w:t>4.4  Action Recommendation Engine</w:t>
      </w:r>
    </w:p>
    <w:p>
      <w:pPr>
        <w:pStyle w:val="Normal"/>
        <w:spacing w:before="0" w:after="80"/>
        <w:jc w:val="both"/>
        <w:rPr/>
      </w:pPr>
      <w:r>
        <w:rPr>
          <w:b w:val="false"/>
          <w:i w:val="false"/>
          <w:sz w:val="22"/>
        </w:rPr>
        <w:t>The recommendation engine (recommend_engine.py + risk_rules.py) converts a scalar default probability into a complete operational action plan through three sub-components:</w:t>
      </w:r>
    </w:p>
    <w:p>
      <w:pPr>
        <w:pStyle w:val="ListBullet"/>
        <w:numPr>
          <w:ilvl w:val="0"/>
          <w:numId w:val="1"/>
        </w:numPr>
        <w:spacing w:before="0" w:after="60"/>
        <w:ind w:hanging="360" w:start="432"/>
        <w:contextualSpacing/>
        <w:jc w:val="both"/>
        <w:rPr/>
      </w:pPr>
      <w:r>
        <w:rPr>
          <w:sz w:val="22"/>
        </w:rPr>
        <w:t>Risk Band Assignment: Default probability mapped to Very Low / Low / Medium / High / Very High using PROB_RISK_BANDS thresholds at 0.20, 0.40, 0.60, 0.80.</w:t>
      </w:r>
    </w:p>
    <w:p>
      <w:pPr>
        <w:pStyle w:val="ListBullet"/>
        <w:numPr>
          <w:ilvl w:val="0"/>
          <w:numId w:val="1"/>
        </w:numPr>
        <w:spacing w:before="0" w:after="60"/>
        <w:ind w:hanging="360" w:start="432"/>
        <w:contextualSpacing/>
        <w:jc w:val="both"/>
        <w:rPr/>
      </w:pPr>
      <w:r>
        <w:rPr>
          <w:sz w:val="22"/>
        </w:rPr>
        <w:t>Expected Loss Calculation: EL = P(default) × Loan Amount. The EL is used to assign a Priority Level.</w:t>
      </w:r>
    </w:p>
    <w:p>
      <w:pPr>
        <w:pStyle w:val="ListBullet"/>
        <w:numPr>
          <w:ilvl w:val="0"/>
          <w:numId w:val="1"/>
        </w:numPr>
        <w:spacing w:before="0" w:after="60"/>
        <w:ind w:hanging="360" w:start="432"/>
        <w:contextualSpacing/>
        <w:jc w:val="both"/>
        <w:rPr/>
      </w:pPr>
      <w:r>
        <w:rPr>
          <w:sz w:val="22"/>
        </w:rPr>
        <w:t>Priority &amp; Action Plan: LOSS_BANDS map EL to Low (&lt;$50K), Medium (&lt;$200K), High (&lt;$500K), or Critical (&gt;$500K). Each priority tier links to a full ACTION_PLAYBOOK (assigned team, recovery channel, follow-up frequency, legal action flag, recommended action text, escalation notes).</w:t>
      </w:r>
    </w:p>
    <w:p>
      <w:pPr>
        <w:pStyle w:val="ListBullet"/>
        <w:numPr>
          <w:ilvl w:val="0"/>
          <w:numId w:val="1"/>
        </w:numPr>
        <w:spacing w:before="0" w:after="60"/>
        <w:ind w:hanging="360" w:start="432"/>
        <w:contextualSpacing/>
        <w:jc w:val="both"/>
        <w:rPr/>
      </w:pPr>
      <w:r>
        <w:rPr>
          <w:sz w:val="22"/>
        </w:rPr>
        <w:t>Risk Flag Detection: Eight rule-based checks fire independently on raw borrower features: high DTI (≥0.40), high interest rate (≥18%), delinquencies, inquiries, payment pressure, revolving utilisation, derogatory records, charge-offs.</w:t>
      </w:r>
    </w:p>
    <w:p>
      <w:pPr>
        <w:pStyle w:val="Normal"/>
        <w:rPr/>
      </w:pPr>
      <w:r>
        <w:rPr/>
      </w:r>
    </w:p>
    <w:p>
      <w:pPr>
        <w:pStyle w:val="Heading3"/>
        <w:jc w:val="start"/>
        <w:rPr/>
      </w:pPr>
      <w:r>
        <w:rPr/>
        <w:t>Action Playbook Summary</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73"/>
        <w:gridCol w:w="1472"/>
        <w:gridCol w:w="1474"/>
        <w:gridCol w:w="1473"/>
        <w:gridCol w:w="1472"/>
        <w:gridCol w:w="1474"/>
      </w:tblGrid>
      <w:tr>
        <w:trPr/>
        <w:tc>
          <w:tcPr>
            <w:tcW w:w="1473"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Priority</w:t>
            </w:r>
          </w:p>
        </w:tc>
        <w:tc>
          <w:tcPr>
            <w:tcW w:w="1472"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EL Threshold</w:t>
            </w:r>
          </w:p>
        </w:tc>
        <w:tc>
          <w:tcPr>
            <w:tcW w:w="1474"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Assigned Team</w:t>
            </w:r>
          </w:p>
        </w:tc>
        <w:tc>
          <w:tcPr>
            <w:tcW w:w="1473"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Recovery Channel</w:t>
            </w:r>
          </w:p>
        </w:tc>
        <w:tc>
          <w:tcPr>
            <w:tcW w:w="1472"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Follow-up</w:t>
            </w:r>
          </w:p>
        </w:tc>
        <w:tc>
          <w:tcPr>
            <w:tcW w:w="1474"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Legal</w:t>
            </w:r>
          </w:p>
        </w:tc>
      </w:tr>
      <w:tr>
        <w:trPr/>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Low</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&lt; $50K EL</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Automated System</w:t>
            </w:r>
          </w:p>
        </w:tc>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Email + SMS Reminder</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Every 15 days</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w:t>
            </w:r>
          </w:p>
        </w:tc>
      </w:tr>
      <w:tr>
        <w:trPr/>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Medium</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$50K – $200K EL</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Call Centre Agent</w:t>
            </w:r>
          </w:p>
        </w:tc>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Phone Call + EMI Restructure</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Weekly</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w:t>
            </w:r>
          </w:p>
        </w:tc>
      </w:tr>
      <w:tr>
        <w:trPr/>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High</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$200K – $500K EL</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Dedicated Recovery Officer</w:t>
            </w:r>
          </w:p>
        </w:tc>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Direct Call + Field Visit</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Every 5 days</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No</w:t>
            </w:r>
          </w:p>
        </w:tc>
      </w:tr>
      <w:tr>
        <w:trPr/>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Critical</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&gt; $500K EL</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Senior Recovery &amp; Legal</w:t>
            </w:r>
          </w:p>
        </w:tc>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Legal Notice + Field Investigation</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Every 3 days</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Yes</w:t>
            </w:r>
          </w:p>
        </w:tc>
      </w:tr>
    </w:tbl>
    <w:p>
      <w:pPr>
        <w:pStyle w:val="Normal"/>
        <w:rPr/>
      </w:pPr>
      <w:r>
        <w:rPr/>
      </w:r>
    </w:p>
    <w:p>
      <w:pPr>
        <w:pStyle w:val="Normal"/>
        <w:spacing w:before="0" w:after="120"/>
        <w:rPr/>
      </w:pPr>
      <w:r>
        <w:rPr>
          <w:b/>
          <w:i w:val="false"/>
          <w:color w:val="4472C4"/>
          <w:sz w:val="24"/>
        </w:rPr>
        <w:t>4.5  FastAPI Serving Layer</w:t>
      </w:r>
    </w:p>
    <w:p>
      <w:pPr>
        <w:pStyle w:val="Normal"/>
        <w:spacing w:before="0" w:after="80"/>
        <w:jc w:val="both"/>
        <w:rPr/>
      </w:pPr>
      <w:r>
        <w:rPr>
          <w:b w:val="false"/>
          <w:i w:val="false"/>
          <w:sz w:val="22"/>
        </w:rPr>
        <w:t>The FastAPI application (fast_api/main.py) exposes the recommendation engine as a production-ready REST API. The server loads the XGBoost model and preprocessor once on startup via the lifespan context manager. CORS middleware is configured for development. Interactive API documentation is auto-generated by FastAPI at /docs (Swagger UI) and /redoc.</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Endpoint</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 /health</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Returns model load status, n_features, and health state string (ok / degraded).</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 /recommend</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Accepts BorrowerRequest JSON body; returns full RecommendationResponse with risk scores, risk flags, and action plan.</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 /random-borrower</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Returns a randomly sampled real borrower from the SQLite processed_loans table for UI pre-fill.</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 /batch-cases</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Fetches N random borrowers from the DB, scores each, and returns the portfolio-level results for the dashboard.</w:t>
            </w:r>
          </w:p>
        </w:tc>
      </w:tr>
    </w:tbl>
    <w:p>
      <w:pPr>
        <w:pStyle w:val="Normal"/>
        <w:rPr/>
      </w:pPr>
      <w:r>
        <w:rPr/>
      </w:r>
    </w:p>
    <w:p>
      <w:pPr>
        <w:pStyle w:val="Normal"/>
        <w:spacing w:before="0" w:after="120"/>
        <w:rPr/>
      </w:pPr>
      <w:r>
        <w:rPr>
          <w:b w:val="false"/>
          <w:i/>
          <w:color w:val="595959"/>
          <w:sz w:val="20"/>
        </w:rPr>
        <w:t>Launch command:  uvicorn fast_api.main:app --reload --host 0.0.0.0 --port 8000</w:t>
        <w:br/>
      </w:r>
    </w:p>
    <w:p>
      <w:pPr>
        <w:pStyle w:val="Normal"/>
        <w:spacing w:before="0" w:after="120"/>
        <w:rPr/>
      </w:pPr>
      <w:r>
        <w:rPr>
          <w:b/>
          <w:i w:val="false"/>
          <w:color w:val="4472C4"/>
          <w:sz w:val="24"/>
        </w:rPr>
        <w:t>4.6  Web Dashboard (React.js + Plotly.js)</w:t>
      </w:r>
    </w:p>
    <w:p>
      <w:pPr>
        <w:pStyle w:val="Normal"/>
        <w:spacing w:before="0" w:after="80"/>
        <w:jc w:val="both"/>
        <w:rPr/>
      </w:pPr>
      <w:r>
        <w:rPr>
          <w:b w:val="false"/>
          <w:i w:val="false"/>
          <w:sz w:val="22"/>
        </w:rPr>
        <w:t>The front-end is a single-page application (SPA) built with React.js + Vite and styled with custom CSS using a dark-mode glass-morphism design system. Routing is handled by React Router. Plotly.js powers all interactive charts. The application communicates exclusively with the FastAPI backend over HTTP.</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Page Component</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Responsibility</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LandingPage.jsx</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Entry point. Two prominent CTA cards — "Borrower View" and "Loan Officer View" — with animated UI.</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BorrowerPage.jsx</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Self-service form for individuals. Borrower enters their financial details and receives a plain-language risk summary and improvement tips.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ProviderPage.jsx</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Loan officer evaluation panel. Displays risk band, expected loss, priority, risk flags, and recovery action plan for a given borrower profile.</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RecommendPage.jsx</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Advanced recommendation form with dynamic, context-aware placeholders. All 47 model features available; calculated defaults based on primary inputs.</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Dashboard.jsx</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Portfolio-level dashboard. Fetches /batch-cases and renders Plotly bar, pie, scatter, and distribution charts.</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AgentDashboard.jsx</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Extended agent-facing dashboard with additional portfolio analytics and KPI panels.</w:t>
            </w:r>
          </w:p>
        </w:tc>
      </w:tr>
    </w:tbl>
    <w:p>
      <w:pPr>
        <w:pStyle w:val="Normal"/>
        <w:rPr/>
      </w:pPr>
      <w:r>
        <w:rPr/>
      </w:r>
    </w:p>
    <w:p>
      <w:pPr>
        <w:pStyle w:val="Normal"/>
        <w:rPr/>
      </w:pPr>
      <w:r>
        <w:rPr/>
      </w:r>
      <w:r>
        <w:br w:type="page"/>
      </w:r>
    </w:p>
    <w:p>
      <w:pPr>
        <w:pStyle w:val="Heading1"/>
        <w:spacing w:before="0" w:after="0"/>
        <w:jc w:val="start"/>
        <w:rPr/>
      </w:pPr>
      <w:r>
        <w:rPr>
          <w:color w:val="1F3864"/>
        </w:rPr>
        <w:t>5. Results</w:t>
      </w:r>
    </w:p>
    <w:p>
      <w:pPr>
        <w:pStyle w:val="Normal"/>
        <w:spacing w:before="0" w:after="120"/>
        <w:rPr/>
      </w:pPr>
      <w:r>
        <w:rPr>
          <w:b/>
          <w:i w:val="false"/>
          <w:color w:val="4472C4"/>
          <w:sz w:val="24"/>
        </w:rPr>
        <w:t>5.1  Model Performance Metrics</w:t>
      </w:r>
    </w:p>
    <w:p>
      <w:pPr>
        <w:pStyle w:val="Normal"/>
        <w:spacing w:before="0" w:after="120"/>
        <w:jc w:val="both"/>
        <w:rPr/>
      </w:pPr>
      <w:r>
        <w:rPr>
          <w:b w:val="false"/>
          <w:i w:val="false"/>
          <w:sz w:val="22"/>
        </w:rPr>
        <w:t>All models were evaluated on the held-out test set (20,000 samples) using AUC-ROC as the primary metric (appropriate for imbalanced classification) and PR-AUC, F1-Score (default class), and 5-fold cross-validation AUC as secondary metrics.</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73"/>
        <w:gridCol w:w="1472"/>
        <w:gridCol w:w="1474"/>
        <w:gridCol w:w="1473"/>
        <w:gridCol w:w="1472"/>
        <w:gridCol w:w="1474"/>
      </w:tblGrid>
      <w:tr>
        <w:trPr/>
        <w:tc>
          <w:tcPr>
            <w:tcW w:w="1473"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Model</w:t>
            </w:r>
          </w:p>
        </w:tc>
        <w:tc>
          <w:tcPr>
            <w:tcW w:w="1472"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AUC-ROC</w:t>
            </w:r>
          </w:p>
        </w:tc>
        <w:tc>
          <w:tcPr>
            <w:tcW w:w="1474"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PR-AUC</w:t>
            </w:r>
          </w:p>
        </w:tc>
        <w:tc>
          <w:tcPr>
            <w:tcW w:w="1473"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F1 (Default)</w:t>
            </w:r>
          </w:p>
        </w:tc>
        <w:tc>
          <w:tcPr>
            <w:tcW w:w="1472"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CV AUC Mean</w:t>
            </w:r>
          </w:p>
        </w:tc>
        <w:tc>
          <w:tcPr>
            <w:tcW w:w="1474"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CV AUC Std</w:t>
            </w:r>
          </w:p>
        </w:tc>
      </w:tr>
      <w:tr>
        <w:trPr/>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Logistic Regression (Baseline)</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~0.87</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~0.55</w:t>
            </w:r>
          </w:p>
        </w:tc>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~0.48</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~0.87</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±0.005</w:t>
            </w:r>
          </w:p>
        </w:tc>
      </w:tr>
      <w:tr>
        <w:trPr/>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XGBoost (scale_pos_weight=9)</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0.9246</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0.6840</w:t>
            </w:r>
          </w:p>
        </w:tc>
        <w:tc>
          <w:tcPr>
            <w:tcW w:w="147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0.5495</w:t>
            </w:r>
          </w:p>
        </w:tc>
        <w:tc>
          <w:tcPr>
            <w:tcW w:w="147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0.9296</w:t>
            </w:r>
          </w:p>
        </w:tc>
        <w:tc>
          <w:tcPr>
            <w:tcW w:w="147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±0.0045</w:t>
            </w:r>
          </w:p>
        </w:tc>
      </w:tr>
      <w:tr>
        <w:trPr>
          <w:trHeight w:val="794" w:hRule="atLeast"/>
        </w:trPr>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LightGBM (is_unbalance=True)</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0.9262</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0.6881</w:t>
            </w:r>
          </w:p>
        </w:tc>
        <w:tc>
          <w:tcPr>
            <w:tcW w:w="1473"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0.5347</w:t>
            </w:r>
          </w:p>
        </w:tc>
        <w:tc>
          <w:tcPr>
            <w:tcW w:w="1472"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0.9280</w:t>
            </w:r>
          </w:p>
        </w:tc>
        <w:tc>
          <w:tcPr>
            <w:tcW w:w="1474"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±0.0045</w:t>
            </w:r>
          </w:p>
        </w:tc>
      </w:tr>
    </w:tbl>
    <w:p>
      <w:pPr>
        <w:pStyle w:val="Normal"/>
        <w:rPr/>
      </w:pPr>
      <w:r>
        <w:rPr/>
      </w:r>
    </w:p>
    <w:p>
      <w:pPr>
        <w:pStyle w:val="Normal"/>
        <w:spacing w:before="0" w:after="120"/>
        <w:rPr/>
      </w:pPr>
      <w:r>
        <w:rPr>
          <w:b/>
          <w:i w:val="false"/>
          <w:color w:val="4472C4"/>
          <w:sz w:val="24"/>
        </w:rPr>
        <w:t>5.2  Confusion Matrix Analysis</w:t>
      </w:r>
    </w:p>
    <w:p>
      <w:pPr>
        <w:pStyle w:val="Normal"/>
        <w:spacing w:before="0" w:after="80"/>
        <w:jc w:val="both"/>
        <w:rPr/>
      </w:pPr>
      <w:r>
        <w:rPr>
          <w:b w:val="false"/>
          <w:i w:val="false"/>
          <w:sz w:val="22"/>
        </w:rPr>
        <w:t>The confusion matrices on the 20,000-sample test set reveal how well each advanced model handles the 10:1 class imbalance:</w:t>
      </w:r>
    </w:p>
    <w:p>
      <w:pPr>
        <w:pStyle w:val="Heading3"/>
        <w:jc w:val="start"/>
        <w:rPr/>
      </w:pPr>
      <w:r>
        <w:rPr/>
        <w:t>XGBoost (scale_pos_weight=9)</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46"/>
        <w:gridCol w:w="2946"/>
        <w:gridCol w:w="2946"/>
      </w:tblGrid>
      <w:tr>
        <w:trPr/>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Actual Non-Default</w:t>
            </w:r>
          </w:p>
        </w:tc>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Actual Default</w:t>
            </w:r>
          </w:p>
        </w:tc>
      </w:tr>
      <w:tr>
        <w:trPr/>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Predicted Non-Default</w:t>
            </w:r>
          </w:p>
        </w:tc>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15,777 (True Negatives)</w:t>
            </w:r>
          </w:p>
        </w:tc>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2,222 (False Positives)</w:t>
            </w:r>
          </w:p>
        </w:tc>
      </w:tr>
      <w:tr>
        <w:trPr/>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Predicted Default</w:t>
            </w:r>
          </w:p>
        </w:tc>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401 (False Negatives)</w:t>
            </w:r>
          </w:p>
        </w:tc>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1,600 (True Positives)</w:t>
            </w:r>
          </w:p>
        </w:tc>
      </w:tr>
    </w:tbl>
    <w:p>
      <w:pPr>
        <w:pStyle w:val="Normal"/>
        <w:rPr/>
      </w:pPr>
      <w:r>
        <w:rPr/>
      </w:r>
    </w:p>
    <w:p>
      <w:pPr>
        <w:pStyle w:val="Normal"/>
        <w:spacing w:before="0" w:after="120"/>
        <w:rPr/>
      </w:pPr>
      <w:r>
        <w:rPr>
          <w:b w:val="false"/>
          <w:i/>
          <w:color w:val="595959"/>
          <w:sz w:val="20"/>
        </w:rPr>
        <w:t>Recall on defaults: 1,600 / (1,600 + 401) = 79.96%</w:t>
      </w:r>
    </w:p>
    <w:p>
      <w:pPr>
        <w:pStyle w:val="Heading3"/>
        <w:jc w:val="start"/>
        <w:rPr/>
      </w:pPr>
      <w:r>
        <w:rPr/>
        <w:t>LightGBM (is_unbalance=True)</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46"/>
        <w:gridCol w:w="2946"/>
        <w:gridCol w:w="2946"/>
      </w:tblGrid>
      <w:tr>
        <w:trPr/>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Actual Non-Default</w:t>
            </w:r>
          </w:p>
        </w:tc>
        <w:tc>
          <w:tcPr>
            <w:tcW w:w="2946"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Actual Default</w:t>
            </w:r>
          </w:p>
        </w:tc>
      </w:tr>
      <w:tr>
        <w:trPr/>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Predicted Non-Default</w:t>
            </w:r>
          </w:p>
        </w:tc>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15,396 (True Negatives)</w:t>
            </w:r>
          </w:p>
        </w:tc>
        <w:tc>
          <w:tcPr>
            <w:tcW w:w="2946"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2,603 (False Positives)</w:t>
            </w:r>
          </w:p>
        </w:tc>
      </w:tr>
      <w:tr>
        <w:trPr/>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Predicted Default</w:t>
            </w:r>
          </w:p>
        </w:tc>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321 (False Negatives)</w:t>
            </w:r>
          </w:p>
        </w:tc>
        <w:tc>
          <w:tcPr>
            <w:tcW w:w="294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1,680 (True Positives)</w:t>
            </w:r>
          </w:p>
        </w:tc>
      </w:tr>
    </w:tbl>
    <w:p>
      <w:pPr>
        <w:pStyle w:val="Normal"/>
        <w:rPr/>
      </w:pPr>
      <w:r>
        <w:rPr/>
      </w:r>
    </w:p>
    <w:p>
      <w:pPr>
        <w:pStyle w:val="Normal"/>
        <w:spacing w:before="0" w:after="120"/>
        <w:rPr/>
      </w:pPr>
      <w:r>
        <w:rPr>
          <w:b w:val="false"/>
          <w:i/>
          <w:color w:val="595959"/>
          <w:sz w:val="20"/>
        </w:rPr>
        <w:t>Recall on defaults: 1,680 / (1,680 + 321) = 83.96%</w:t>
      </w:r>
    </w:p>
    <w:p>
      <w:pPr>
        <w:pStyle w:val="Normal"/>
        <w:spacing w:before="0" w:after="120"/>
        <w:jc w:val="both"/>
        <w:rPr/>
      </w:pPr>
      <w:r>
        <w:rPr>
          <w:b w:val="false"/>
          <w:i w:val="false"/>
          <w:sz w:val="22"/>
        </w:rPr>
        <w:t>LightGBM achieves slightly higher default recall (83.96% vs 79.96%) and marginally higher AUC-ROC (0.9262 vs 0.9246), making it the best-performing model as indicated in metadata.json. XGBoost produces fewer false positives (2,222 vs 2,603), which may be preferred in systems where false alarms carry operational cost. Both models significantly outperform the Logistic Regression baseline.</w:t>
      </w:r>
    </w:p>
    <w:p>
      <w:pPr>
        <w:pStyle w:val="Normal"/>
        <w:spacing w:before="0" w:after="120"/>
        <w:rPr/>
      </w:pPr>
      <w:r>
        <w:rPr>
          <w:b/>
          <w:i w:val="false"/>
          <w:color w:val="4472C4"/>
          <w:sz w:val="24"/>
        </w:rPr>
        <w:t>5.3  Feature Importance</w:t>
      </w:r>
    </w:p>
    <w:p>
      <w:pPr>
        <w:pStyle w:val="Normal"/>
        <w:spacing w:before="0" w:after="80"/>
        <w:jc w:val="both"/>
        <w:rPr/>
      </w:pPr>
      <w:r>
        <w:rPr>
          <w:b w:val="false"/>
          <w:i w:val="false"/>
          <w:sz w:val="22"/>
        </w:rPr>
        <w:t>Feature importance plots generated by both XGBoost and LightGBM consistently identify the following top predictors of default (in approximate descending order):</w:t>
      </w:r>
    </w:p>
    <w:p>
      <w:pPr>
        <w:pStyle w:val="ListBullet"/>
        <w:numPr>
          <w:ilvl w:val="0"/>
          <w:numId w:val="1"/>
        </w:numPr>
        <w:spacing w:before="0" w:after="60"/>
        <w:ind w:hanging="360" w:start="432"/>
        <w:contextualSpacing/>
        <w:rPr/>
      </w:pPr>
      <w:r>
        <w:rPr>
          <w:sz w:val="22"/>
        </w:rPr>
        <w:t>interest_dti_burden  (interaction: interest rate × DTI ratio)</w:t>
      </w:r>
    </w:p>
    <w:p>
      <w:pPr>
        <w:pStyle w:val="ListBullet"/>
        <w:numPr>
          <w:ilvl w:val="0"/>
          <w:numId w:val="1"/>
        </w:numPr>
        <w:spacing w:before="0" w:after="60"/>
        <w:ind w:hanging="360" w:start="432"/>
        <w:contextualSpacing/>
        <w:rPr/>
      </w:pPr>
      <w:r>
        <w:rPr>
          <w:sz w:val="22"/>
        </w:rPr>
        <w:t>payment_pressure  (monthly payment as fraction of monthly income)</w:t>
      </w:r>
    </w:p>
    <w:p>
      <w:pPr>
        <w:pStyle w:val="ListBullet"/>
        <w:numPr>
          <w:ilvl w:val="0"/>
          <w:numId w:val="1"/>
        </w:numPr>
        <w:spacing w:before="0" w:after="60"/>
        <w:ind w:hanging="360" w:start="432"/>
        <w:contextualSpacing/>
        <w:rPr/>
      </w:pPr>
      <w:r>
        <w:rPr>
          <w:sz w:val="22"/>
        </w:rPr>
        <w:t>grade_score  (ordinal credit grade)</w:t>
      </w:r>
    </w:p>
    <w:p>
      <w:pPr>
        <w:pStyle w:val="ListBullet"/>
        <w:numPr>
          <w:ilvl w:val="0"/>
          <w:numId w:val="1"/>
        </w:numPr>
        <w:spacing w:before="0" w:after="60"/>
        <w:ind w:hanging="360" w:start="432"/>
        <w:contextualSpacing/>
        <w:rPr/>
      </w:pPr>
      <w:r>
        <w:rPr>
          <w:sz w:val="22"/>
        </w:rPr>
        <w:t>dtiRatio  (debt-to-income ratio)</w:t>
      </w:r>
    </w:p>
    <w:p>
      <w:pPr>
        <w:pStyle w:val="ListBullet"/>
        <w:numPr>
          <w:ilvl w:val="0"/>
          <w:numId w:val="1"/>
        </w:numPr>
        <w:spacing w:before="0" w:after="60"/>
        <w:ind w:hanging="360" w:start="432"/>
        <w:contextualSpacing/>
        <w:rPr/>
      </w:pPr>
      <w:r>
        <w:rPr>
          <w:sz w:val="22"/>
        </w:rPr>
        <w:t>interestRate  (loan interest rate)</w:t>
      </w:r>
    </w:p>
    <w:p>
      <w:pPr>
        <w:pStyle w:val="ListBullet"/>
        <w:numPr>
          <w:ilvl w:val="0"/>
          <w:numId w:val="1"/>
        </w:numPr>
        <w:spacing w:before="0" w:after="60"/>
        <w:ind w:hanging="360" w:start="432"/>
        <w:contextualSpacing/>
        <w:rPr/>
      </w:pPr>
      <w:r>
        <w:rPr>
          <w:sz w:val="22"/>
        </w:rPr>
        <w:t>revolvingUtilizationRate  (revolving credit utilisation)</w:t>
      </w:r>
    </w:p>
    <w:p>
      <w:pPr>
        <w:pStyle w:val="ListBullet"/>
        <w:numPr>
          <w:ilvl w:val="0"/>
          <w:numId w:val="1"/>
        </w:numPr>
        <w:spacing w:before="0" w:after="60"/>
        <w:ind w:hanging="360" w:start="432"/>
        <w:contextualSpacing/>
        <w:rPr/>
      </w:pPr>
      <w:r>
        <w:rPr>
          <w:sz w:val="22"/>
        </w:rPr>
        <w:t>credit_stress_index  (delinquency + derogatory normalised by credit age)</w:t>
      </w:r>
    </w:p>
    <w:p>
      <w:pPr>
        <w:pStyle w:val="ListBullet"/>
        <w:numPr>
          <w:ilvl w:val="0"/>
          <w:numId w:val="1"/>
        </w:numPr>
        <w:spacing w:before="0" w:after="60"/>
        <w:ind w:hanging="360" w:start="432"/>
        <w:contextualSpacing/>
        <w:rPr/>
      </w:pPr>
      <w:r>
        <w:rPr>
          <w:sz w:val="22"/>
        </w:rPr>
        <w:t>log_loanAmount  (log-transformed loan amount)</w:t>
      </w:r>
    </w:p>
    <w:p>
      <w:pPr>
        <w:pStyle w:val="ListBullet"/>
        <w:numPr>
          <w:ilvl w:val="0"/>
          <w:numId w:val="1"/>
        </w:numPr>
        <w:spacing w:before="0" w:after="60"/>
        <w:ind w:hanging="360" w:start="432"/>
        <w:contextualSpacing/>
        <w:rPr/>
      </w:pPr>
      <w:r>
        <w:rPr>
          <w:sz w:val="22"/>
        </w:rPr>
        <w:t>numDelinquency2Years  (recent delinquency count)</w:t>
      </w:r>
    </w:p>
    <w:p>
      <w:pPr>
        <w:pStyle w:val="ListBullet"/>
        <w:numPr>
          <w:ilvl w:val="0"/>
          <w:numId w:val="1"/>
        </w:numPr>
        <w:spacing w:before="0" w:after="60"/>
        <w:ind w:hanging="360" w:start="432"/>
        <w:contextualSpacing/>
        <w:rPr/>
      </w:pPr>
      <w:r>
        <w:rPr>
          <w:sz w:val="22"/>
        </w:rPr>
        <w:t>lengthCreditHistory  (credit history length in years)</w:t>
      </w:r>
    </w:p>
    <w:p>
      <w:pPr>
        <w:pStyle w:val="Normal"/>
        <w:rPr/>
      </w:pPr>
      <w:r>
        <w:rPr/>
      </w:r>
    </w:p>
    <w:p>
      <w:pPr>
        <w:pStyle w:val="Normal"/>
        <w:spacing w:before="0" w:after="120"/>
        <w:rPr/>
      </w:pPr>
      <w:r>
        <w:rPr>
          <w:b/>
          <w:i w:val="false"/>
          <w:color w:val="4472C4"/>
          <w:sz w:val="24"/>
        </w:rPr>
        <w:t>5.4  Recommendation Engine Accuracy Testing</w:t>
      </w:r>
    </w:p>
    <w:p>
      <w:pPr>
        <w:pStyle w:val="Normal"/>
        <w:spacing w:before="0" w:after="80"/>
        <w:jc w:val="both"/>
        <w:rPr/>
      </w:pPr>
      <w:r>
        <w:rPr>
          <w:b w:val="false"/>
          <w:i w:val="false"/>
          <w:sz w:val="22"/>
        </w:rPr>
        <w:t>The recommendation engine was tested against rows from the dataset representing both non-default (loanStatus=0) and default (loanStatus=1) scenarios. Testing confirmed:</w:t>
      </w:r>
    </w:p>
    <w:p>
      <w:pPr>
        <w:pStyle w:val="ListBullet"/>
        <w:numPr>
          <w:ilvl w:val="0"/>
          <w:numId w:val="1"/>
        </w:numPr>
        <w:spacing w:before="0" w:after="60"/>
        <w:ind w:hanging="360" w:start="432"/>
        <w:contextualSpacing/>
        <w:jc w:val="both"/>
        <w:rPr/>
      </w:pPr>
      <w:r>
        <w:rPr>
          <w:sz w:val="22"/>
        </w:rPr>
        <w:t>High-risk synthetic borrower (demo): Default Probability 78.5%, Risk Band "High", Priority "High", Recommended Action: "Assign dedicated recovery agent."</w:t>
      </w:r>
    </w:p>
    <w:p>
      <w:pPr>
        <w:pStyle w:val="ListBullet"/>
        <w:numPr>
          <w:ilvl w:val="0"/>
          <w:numId w:val="1"/>
        </w:numPr>
        <w:spacing w:before="0" w:after="60"/>
        <w:ind w:hanging="360" w:start="432"/>
        <w:contextualSpacing/>
        <w:jc w:val="both"/>
        <w:rPr/>
      </w:pPr>
      <w:r>
        <w:rPr>
          <w:sz w:val="22"/>
        </w:rPr>
        <w:t>Low-risk synthetic borrower (demoTwo): Default Probability 14.3%, Risk Band "Very Low", Priority "Low", Recommended Action: "Send automated reminder."</w:t>
      </w:r>
    </w:p>
    <w:p>
      <w:pPr>
        <w:pStyle w:val="ListBullet"/>
        <w:numPr>
          <w:ilvl w:val="0"/>
          <w:numId w:val="1"/>
        </w:numPr>
        <w:spacing w:before="0" w:after="60"/>
        <w:ind w:hanging="360" w:start="432"/>
        <w:contextualSpacing/>
        <w:jc w:val="both"/>
        <w:rPr/>
      </w:pPr>
      <w:r>
        <w:rPr>
          <w:sz w:val="22"/>
        </w:rPr>
        <w:t>Batch scoring of 500 database rows completed in &lt;2 seconds with results sorted by expected loss descending.</w:t>
      </w:r>
    </w:p>
    <w:p>
      <w:pPr>
        <w:pStyle w:val="ListBullet"/>
        <w:numPr>
          <w:ilvl w:val="0"/>
          <w:numId w:val="1"/>
        </w:numPr>
        <w:spacing w:before="0" w:after="60"/>
        <w:ind w:hanging="360" w:start="432"/>
        <w:contextualSpacing/>
        <w:jc w:val="both"/>
        <w:rPr>
          <w:b w:val="false"/>
          <w:i/>
          <w:color w:val="595959"/>
          <w:sz w:val="20"/>
        </w:rPr>
      </w:pPr>
      <w:r>
        <w:rPr>
          <w:sz w:val="22"/>
        </w:rPr>
        <w:t>All risk flags fire correctly based on configured thresholds (DTI ≥0.40, interest ≥18%, delinquencies ≥2, inquiries ≥3, etc.).</w:t>
      </w:r>
    </w:p>
    <w:p>
      <w:pPr>
        <w:pStyle w:val="Normal"/>
        <w:rPr/>
      </w:pPr>
      <w:r>
        <w:rPr/>
      </w:r>
    </w:p>
    <w:p>
      <w:pPr>
        <w:pStyle w:val="Normal"/>
        <w:spacing w:before="0" w:after="120"/>
        <w:rPr/>
      </w:pPr>
      <w:r>
        <w:rPr>
          <w:b/>
          <w:i w:val="false"/>
          <w:color w:val="4472C4"/>
          <w:sz w:val="24"/>
        </w:rPr>
        <w:t>5.6  API Performance</w:t>
      </w:r>
    </w:p>
    <w:tbl>
      <w:tblPr>
        <w:tblStyle w:val="TableGrid"/>
        <w:tblW w:w="88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209"/>
        <w:gridCol w:w="2209"/>
        <w:gridCol w:w="2209"/>
        <w:gridCol w:w="2209"/>
      </w:tblGrid>
      <w:tr>
        <w:trPr/>
        <w:tc>
          <w:tcPr>
            <w:tcW w:w="220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Endpoint</w:t>
            </w:r>
          </w:p>
        </w:tc>
        <w:tc>
          <w:tcPr>
            <w:tcW w:w="220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Method</w:t>
            </w:r>
          </w:p>
        </w:tc>
        <w:tc>
          <w:tcPr>
            <w:tcW w:w="220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Avg Response Time</w:t>
            </w:r>
          </w:p>
        </w:tc>
        <w:tc>
          <w:tcPr>
            <w:tcW w:w="220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Observation</w:t>
            </w:r>
          </w:p>
        </w:tc>
      </w:tr>
      <w:tr>
        <w:trPr/>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/health</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&lt; 5 ms</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Instant model status check</w:t>
            </w:r>
          </w:p>
        </w:tc>
      </w:tr>
      <w:tr>
        <w:trPr/>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/recommend</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POST</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 – 40 ms</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Single-borrower scoring + action plan</w:t>
            </w:r>
          </w:p>
        </w:tc>
      </w:tr>
      <w:tr>
        <w:trPr/>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/random-borrower</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30 – 60 ms</w:t>
            </w:r>
          </w:p>
        </w:tc>
        <w:tc>
          <w:tcPr>
            <w:tcW w:w="220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SQLite RANDOM() fetch</w:t>
            </w:r>
          </w:p>
        </w:tc>
      </w:tr>
      <w:tr>
        <w:trPr/>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/batch-cases</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GET (n=15)</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200 – 500 ms</w:t>
            </w:r>
          </w:p>
        </w:tc>
        <w:tc>
          <w:tcPr>
            <w:tcW w:w="220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 borrowers scored sequentially</w:t>
            </w:r>
          </w:p>
        </w:tc>
      </w:tr>
    </w:tbl>
    <w:p>
      <w:pPr>
        <w:pStyle w:val="Normal"/>
        <w:rPr/>
      </w:pPr>
      <w:r>
        <w:rPr/>
      </w:r>
    </w:p>
    <w:p>
      <w:pPr>
        <w:pStyle w:val="Normal"/>
        <w:rPr/>
      </w:pPr>
      <w:r>
        <w:rPr/>
      </w:r>
      <w:r>
        <w:br w:type="page"/>
      </w:r>
    </w:p>
    <w:p>
      <w:pPr>
        <w:pStyle w:val="Heading1"/>
        <w:spacing w:before="0" w:after="0"/>
        <w:jc w:val="start"/>
        <w:rPr/>
      </w:pPr>
      <w:r>
        <w:rPr>
          <w:color w:val="1F3864"/>
        </w:rPr>
        <w:t>6. Conclusion</w:t>
      </w:r>
    </w:p>
    <w:p>
      <w:pPr>
        <w:pStyle w:val="Normal"/>
        <w:spacing w:before="0" w:after="120"/>
        <w:rPr/>
      </w:pPr>
      <w:r>
        <w:rPr>
          <w:b/>
          <w:i w:val="false"/>
          <w:color w:val="4472C4"/>
          <w:sz w:val="24"/>
        </w:rPr>
        <w:t>6.1  Summary of Achievements</w:t>
      </w:r>
    </w:p>
    <w:p>
      <w:pPr>
        <w:pStyle w:val="Normal"/>
        <w:spacing w:before="0" w:after="80"/>
        <w:jc w:val="both"/>
        <w:rPr/>
      </w:pPr>
      <w:r>
        <w:rPr>
          <w:b w:val="false"/>
          <w:i w:val="false"/>
          <w:sz w:val="22"/>
        </w:rPr>
        <w:t>CreditPathAI successfully demonstrates an end-to-end machine learning pipeline for credit risk assessment, from raw data ingestion to a deployed API and interactive dashboard. The key achievements of the project are:</w:t>
      </w:r>
    </w:p>
    <w:p>
      <w:pPr>
        <w:pStyle w:val="ListBullet"/>
        <w:numPr>
          <w:ilvl w:val="0"/>
          <w:numId w:val="1"/>
        </w:numPr>
        <w:spacing w:before="0" w:after="60"/>
        <w:ind w:hanging="360" w:start="432"/>
        <w:contextualSpacing/>
        <w:jc w:val="both"/>
        <w:rPr/>
      </w:pPr>
      <w:r>
        <w:rPr>
          <w:sz w:val="22"/>
        </w:rPr>
        <w:t>A fully automated, reproducible feature engineering pipeline producing 47 engineered features from 18 raw inputs.</w:t>
      </w:r>
    </w:p>
    <w:p>
      <w:pPr>
        <w:pStyle w:val="ListBullet"/>
        <w:numPr>
          <w:ilvl w:val="0"/>
          <w:numId w:val="1"/>
        </w:numPr>
        <w:spacing w:before="0" w:after="60"/>
        <w:ind w:hanging="360" w:start="432"/>
        <w:contextualSpacing/>
        <w:jc w:val="both"/>
        <w:rPr/>
      </w:pPr>
      <w:r>
        <w:rPr>
          <w:sz w:val="22"/>
        </w:rPr>
        <w:t>A documented comparison of three ML models showing that gradient-boosted trees (XGBoost AUC-ROC 0.9246, LightGBM AUC-ROC 0.9262) substantially outperform Logistic Regression on imbalanced credit data.</w:t>
      </w:r>
    </w:p>
    <w:p>
      <w:pPr>
        <w:pStyle w:val="ListBullet"/>
        <w:numPr>
          <w:ilvl w:val="0"/>
          <w:numId w:val="1"/>
        </w:numPr>
        <w:spacing w:before="0" w:after="60"/>
        <w:ind w:hanging="360" w:start="432"/>
        <w:contextualSpacing/>
        <w:jc w:val="both"/>
        <w:rPr/>
      </w:pPr>
      <w:r>
        <w:rPr>
          <w:sz w:val="22"/>
        </w:rPr>
        <w:t>An interpretable Action Recommendation Engine that translates a scalar default probability into a 7-field operational action plan, bridging the gap between ML output and business process.</w:t>
      </w:r>
    </w:p>
    <w:p>
      <w:pPr>
        <w:pStyle w:val="ListBullet"/>
        <w:numPr>
          <w:ilvl w:val="0"/>
          <w:numId w:val="1"/>
        </w:numPr>
        <w:spacing w:before="0" w:after="60"/>
        <w:ind w:hanging="360" w:start="432"/>
        <w:contextualSpacing/>
        <w:jc w:val="both"/>
        <w:rPr/>
      </w:pPr>
      <w:r>
        <w:rPr>
          <w:sz w:val="22"/>
        </w:rPr>
        <w:t>A FastAPI REST service with auto-generated Swagger documentation, CORS support, and four endpoints covering single-borrower scoring, health monitoring, random sampling, and portfolio batch assessment.</w:t>
      </w:r>
    </w:p>
    <w:p>
      <w:pPr>
        <w:pStyle w:val="ListBullet"/>
        <w:numPr>
          <w:ilvl w:val="0"/>
          <w:numId w:val="1"/>
        </w:numPr>
        <w:spacing w:before="0" w:after="60"/>
        <w:ind w:hanging="360" w:start="432"/>
        <w:contextualSpacing/>
        <w:jc w:val="both"/>
        <w:rPr/>
      </w:pPr>
      <w:r>
        <w:rPr>
          <w:sz w:val="22"/>
        </w:rPr>
        <w:t>A React.js + Plotly.js web application with dual-persona views (Borrower and Loan Officer) and dynamic, context-aware form placeholders, providing an intuitive UX for non-technical users.</w:t>
      </w:r>
    </w:p>
    <w:p>
      <w:pPr>
        <w:pStyle w:val="ListBullet"/>
        <w:numPr>
          <w:ilvl w:val="0"/>
          <w:numId w:val="0"/>
        </w:numPr>
        <w:spacing w:before="0" w:after="60"/>
        <w:ind w:hanging="0" w:start="72"/>
        <w:contextualSpacing/>
        <w:jc w:val="both"/>
        <w:rPr>
          <w:sz w:val="22"/>
        </w:rPr>
      </w:pPr>
      <w:r>
        <w:rPr/>
      </w:r>
    </w:p>
    <w:p>
      <w:pPr>
        <w:pStyle w:val="Normal"/>
        <w:spacing w:before="0" w:after="120"/>
        <w:rPr/>
      </w:pPr>
      <w:r>
        <w:rPr>
          <w:b/>
          <w:i w:val="false"/>
          <w:color w:val="4472C4"/>
          <w:sz w:val="24"/>
        </w:rPr>
        <w:t>6.2  Limitations</w:t>
      </w:r>
    </w:p>
    <w:p>
      <w:pPr>
        <w:pStyle w:val="ListBullet"/>
        <w:numPr>
          <w:ilvl w:val="0"/>
          <w:numId w:val="1"/>
        </w:numPr>
        <w:spacing w:before="0" w:after="60"/>
        <w:ind w:hanging="360" w:start="432"/>
        <w:contextualSpacing/>
        <w:jc w:val="both"/>
        <w:rPr/>
      </w:pPr>
      <w:r>
        <w:rPr>
          <w:sz w:val="22"/>
        </w:rPr>
        <w:t>The SQLite database, while portable, is not suitable for concurrent high-throughput production workloads; PostgreSQL or a managed cloud database would be required for scalability.</w:t>
      </w:r>
    </w:p>
    <w:p>
      <w:pPr>
        <w:pStyle w:val="ListBullet"/>
        <w:numPr>
          <w:ilvl w:val="0"/>
          <w:numId w:val="1"/>
        </w:numPr>
        <w:spacing w:before="0" w:after="60"/>
        <w:ind w:hanging="360" w:start="432"/>
        <w:contextualSpacing/>
        <w:jc w:val="both"/>
        <w:rPr/>
      </w:pPr>
      <w:r>
        <w:rPr>
          <w:sz w:val="22"/>
        </w:rPr>
        <w:t>The decision threshold (0.50) is not systematically calibrated; precision-recall threshold tuning or Platt scaling would improve the F1-score on the minority class.</w:t>
      </w:r>
    </w:p>
    <w:p>
      <w:pPr>
        <w:pStyle w:val="ListBullet"/>
        <w:numPr>
          <w:ilvl w:val="0"/>
          <w:numId w:val="1"/>
        </w:numPr>
        <w:spacing w:before="0" w:after="60"/>
        <w:ind w:hanging="360" w:start="432"/>
        <w:contextualSpacing/>
        <w:jc w:val="both"/>
        <w:rPr/>
      </w:pPr>
      <w:r>
        <w:rPr>
          <w:sz w:val="22"/>
        </w:rPr>
        <w:t>The recommendation playbooks are rule-based heuristics; future work could learn optimal thresholds and actions directly from historical recovery outcomes.</w:t>
      </w:r>
    </w:p>
    <w:p>
      <w:pPr>
        <w:pStyle w:val="ListBullet"/>
        <w:numPr>
          <w:ilvl w:val="0"/>
          <w:numId w:val="1"/>
        </w:numPr>
        <w:spacing w:before="0" w:after="60"/>
        <w:ind w:hanging="360" w:start="432"/>
        <w:contextualSpacing/>
        <w:jc w:val="both"/>
        <w:rPr/>
      </w:pPr>
      <w:r>
        <w:rPr>
          <w:sz w:val="22"/>
        </w:rPr>
        <w:t>The frontend form requires manual entry of all 47 features for advanced scoring; integration with a credit bureau API would automate data collection.</w:t>
      </w:r>
    </w:p>
    <w:p>
      <w:pPr>
        <w:pStyle w:val="Normal"/>
        <w:rPr/>
      </w:pPr>
      <w:r>
        <w:rPr/>
      </w:r>
    </w:p>
    <w:p>
      <w:pPr>
        <w:pStyle w:val="Normal"/>
        <w:spacing w:before="0" w:after="120"/>
        <w:rPr/>
      </w:pPr>
      <w:r>
        <w:rPr>
          <w:b/>
          <w:i w:val="false"/>
          <w:color w:val="4472C4"/>
          <w:sz w:val="24"/>
        </w:rPr>
        <w:t>6.3  Future Work</w:t>
      </w:r>
    </w:p>
    <w:tbl>
      <w:tblPr>
        <w:tblStyle w:val="TableGrid"/>
        <w:tblW w:w="883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419"/>
        <w:gridCol w:w="4419"/>
      </w:tblGrid>
      <w:tr>
        <w:trPr/>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Enhancement</w:t>
            </w:r>
          </w:p>
        </w:tc>
        <w:tc>
          <w:tcPr>
            <w:tcW w:w="4419" w:type="dxa"/>
            <w:tcBorders/>
            <w:shd w:color="auto" w:fill="1F3864"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color w:val="FFFFFF"/>
                <w:kern w:val="0"/>
                <w:sz w:val="20"/>
                <w:szCs w:val="22"/>
                <w:lang w:val="en-US" w:eastAsia="en-US" w:bidi="ar-SA"/>
              </w:rPr>
              <w:t>Description</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Threshold Calibration</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Apply Platt scaling or isotonic regression to calibrate predicted probabilities, then tune the decision threshold via F-beta optimisation.</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SHAP Explainability</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Integrate SHAP (SHapley Additive exPlanations) values to provide per-borrower, feature-level explanations in the loan officer dashboard.</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Real-Time Streaming</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Replace batch SQLite reads with a Kafka + Flink pipeline for real-time loan application scoring.</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Model Retraining Pipeline</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Schedule automatic retraining with production labelled data using Airflow or Prefect to combat distribution drift.</w:t>
            </w:r>
          </w:p>
        </w:tc>
      </w:tr>
      <w:tr>
        <w:trPr/>
        <w:tc>
          <w:tcPr>
            <w:tcW w:w="4419" w:type="dxa"/>
            <w:tcBorders/>
            <w:shd w:color="auto" w:fill="DCE6F1"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Cloud Deployment</w:t>
            </w:r>
          </w:p>
        </w:tc>
        <w:tc>
          <w:tcPr>
            <w:tcW w:w="4419" w:type="dxa"/>
            <w:tcBorders/>
            <w:shd w:color="auto" w:fill="DCE6F1" w:val="clear"/>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Package the FastAPI service in a container and deploy to AWS ECS / Google Cloud Run behind an API Gateway.</w:t>
            </w:r>
          </w:p>
        </w:tc>
      </w:tr>
      <w:tr>
        <w:trPr/>
        <w:tc>
          <w:tcPr>
            <w:tcW w:w="441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Expanded Playbooks</w:t>
            </w:r>
          </w:p>
        </w:tc>
        <w:tc>
          <w:tcPr>
            <w:tcW w:w="4419" w:type="dxa"/>
            <w:tcBorders/>
          </w:tcPr>
          <w:p>
            <w:pPr>
              <w:pStyle w:val="Normal"/>
              <w:widowControl/>
              <w:suppressAutoHyphens w:val="true"/>
              <w:spacing w:lineRule="auto" w:line="240" w:before="0" w:after="0"/>
              <w:jc w:val="both"/>
              <w:rPr>
                <w:rFonts w:eastAsia="ＭＳ 明朝" w:cs=""/>
                <w:kern w:val="0"/>
                <w:szCs w:val="22"/>
                <w:lang w:val="en-US" w:eastAsia="en-US" w:bidi="ar-SA"/>
              </w:rPr>
            </w:pPr>
            <w:r>
              <w:rPr>
                <w:rFonts w:eastAsia="ＭＳ 明朝" w:cs=""/>
                <w:kern w:val="0"/>
                <w:sz w:val="20"/>
                <w:szCs w:val="22"/>
                <w:lang w:val="en-US" w:eastAsia="en-US" w:bidi="ar-SA"/>
              </w:rPr>
              <w:t>Augment the rule-based recommendation engine with a learned policy trained on historical recovery outcomes (Reinforcement Learning or bandit algorithms).</w:t>
            </w:r>
          </w:p>
        </w:tc>
      </w:tr>
    </w:tbl>
    <w:p>
      <w:pPr>
        <w:pStyle w:val="Normal"/>
        <w:rPr/>
      </w:pPr>
      <w:r>
        <w:rPr/>
      </w:r>
    </w:p>
    <w:p>
      <w:pPr>
        <w:pStyle w:val="Normal"/>
        <w:rPr/>
      </w:pPr>
      <w:r>
        <w:rPr/>
      </w:r>
    </w:p>
    <w:p>
      <w:pPr>
        <w:pStyle w:val="Normal"/>
        <w:spacing w:before="0" w:after="120"/>
        <w:rPr/>
      </w:pPr>
      <w:r>
        <w:rPr>
          <w:b/>
          <w:i w:val="false"/>
          <w:color w:val="4472C4"/>
          <w:sz w:val="24"/>
        </w:rPr>
        <w:t>6.4  Closing Remarks</w:t>
      </w:r>
    </w:p>
    <w:p>
      <w:pPr>
        <w:pStyle w:val="Normal"/>
        <w:spacing w:before="0" w:after="160"/>
        <w:jc w:val="both"/>
        <w:rPr/>
      </w:pPr>
      <w:r>
        <w:rPr>
          <w:b w:val="false"/>
          <w:i w:val="false"/>
          <w:sz w:val="22"/>
        </w:rPr>
        <w:t>CreditPathAI demonstrates that a carefully engineered ML pipeline — even without deep learning — can deliver enterprise-grade credit risk assessment with AUC-ROC scores exceeding 0.92. The combination of gradient-boosted models, a rules-based recommendation layer, a documented REST API, and an accessible web dashboard positions CreditPathAI as a complete, deployable prototype that bridges the gap between data science research and production financial technology. The modular architecture ensures that each component — data, models, API, UI — can be upgraded independently as requirements evolve.</w:t>
      </w:r>
    </w:p>
    <w:p>
      <w:pPr>
        <w:pStyle w:val="Normal"/>
        <w:rPr/>
      </w:pPr>
      <w:r>
        <w:rPr/>
      </w:r>
      <w:r>
        <w:br w:type="page"/>
      </w:r>
    </w:p>
    <w:p>
      <w:pPr>
        <w:pStyle w:val="Heading1"/>
        <w:spacing w:before="0" w:after="0"/>
        <w:jc w:val="start"/>
        <w:rPr/>
      </w:pPr>
      <w:r>
        <w:rPr>
          <w:color w:val="1F3864"/>
        </w:rPr>
        <w:t>References</w:t>
      </w:r>
    </w:p>
    <w:p>
      <w:pPr>
        <w:pStyle w:val="Normal"/>
        <w:spacing w:before="0" w:after="100"/>
        <w:ind w:start="432"/>
        <w:rPr/>
      </w:pPr>
      <w:r>
        <w:rPr>
          <w:sz w:val="20"/>
        </w:rPr>
        <w:t>[1] Microsoft R Server Loan Credit Risk Dataset. Available: https://github.com/microsoft/r-server-loan-credit-risk</w:t>
      </w:r>
    </w:p>
    <w:p>
      <w:pPr>
        <w:pStyle w:val="Normal"/>
        <w:spacing w:before="0" w:after="100"/>
        <w:ind w:start="432"/>
        <w:rPr/>
      </w:pPr>
      <w:r>
        <w:rPr>
          <w:sz w:val="20"/>
        </w:rPr>
        <w:t>[2] Chen, T., &amp; Guestrin, C. (2016). XGBoost: A Scalable Tree Boosting System. Proceedings of the 22nd ACM SIGKDD International Conference on Knowledge Discovery and Data Mining.</w:t>
      </w:r>
    </w:p>
    <w:p>
      <w:pPr>
        <w:pStyle w:val="Normal"/>
        <w:spacing w:before="0" w:after="100"/>
        <w:ind w:start="432"/>
        <w:rPr/>
      </w:pPr>
      <w:r>
        <w:rPr>
          <w:sz w:val="20"/>
        </w:rPr>
        <w:t>[3] Ke, G., Meng, Q., Finley, T., Wang, T., Chen, W., Ma, W., ... &amp; Liu, T. Y. (2017). LightGBM: A Highly Efficient Gradient Boosting Decision Tree. Advances in Neural Information Processing Systems.</w:t>
      </w:r>
    </w:p>
    <w:p>
      <w:pPr>
        <w:pStyle w:val="Normal"/>
        <w:spacing w:before="0" w:after="100"/>
        <w:ind w:start="432"/>
        <w:rPr>
          <w:sz w:val="20"/>
        </w:rPr>
      </w:pPr>
      <w:r>
        <w:rPr>
          <w:sz w:val="20"/>
        </w:rPr>
        <w:t>[4] FastAPI Documentation. Sebastián Ramírez. https://fastapi.tiangolo.com/</w:t>
      </w:r>
    </w:p>
    <w:p>
      <w:pPr>
        <w:pStyle w:val="Normal"/>
        <w:spacing w:before="0" w:after="100"/>
        <w:ind w:start="432"/>
        <w:rPr/>
      </w:pPr>
      <w:r>
        <w:rPr>
          <w:sz w:val="20"/>
        </w:rPr>
        <w:t>[6] Plotly.js Documentation. https://plotly.com/javascript/</w:t>
      </w:r>
    </w:p>
    <w:p>
      <w:pPr>
        <w:pStyle w:val="Normal"/>
        <w:spacing w:before="0" w:after="100"/>
        <w:ind w:start="432"/>
        <w:rPr/>
      </w:pPr>
      <w:r>
        <w:rPr>
          <w:sz w:val="20"/>
        </w:rPr>
        <w:t>[7] Pedregosa, F., et al. (2011). Scikit-learn: Machine Learning in Python. Journal of Machine Learning Research, 12, 2825–2830.</w:t>
      </w:r>
    </w:p>
    <w:p>
      <w:pPr>
        <w:pStyle w:val="Normal"/>
        <w:spacing w:before="0" w:after="100"/>
        <w:ind w:start="432"/>
        <w:rPr/>
      </w:pPr>
      <w:r>
        <w:rPr>
          <w:sz w:val="20"/>
        </w:rPr>
        <w:t>[8] React Documentation. Meta Open Source. https://react.dev/</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LibreOffice/25.8.5.2$Windows_X86_64 LibreOffice_project/9c8b85f387cc00a89945a79c9e6239f32e450ac2</Application>
  <AppVersion>15.0000</AppVersion>
  <Pages>15</Pages>
  <Words>2720</Words>
  <Characters>17777</Characters>
  <CharactersWithSpaces>20270</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2026-03-31T19:31:44Z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