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1D99" w14:textId="77777777" w:rsidR="00007781" w:rsidRPr="00CB6197" w:rsidRDefault="00007781">
      <w:pPr>
        <w:spacing w:before="1440"/>
        <w:rPr>
          <w:rFonts w:ascii="Times New Roman" w:hAnsi="Times New Roman" w:cs="Times New Roman"/>
        </w:rPr>
      </w:pPr>
    </w:p>
    <w:p w14:paraId="4DC95AC3" w14:textId="77777777" w:rsidR="00007781" w:rsidRPr="00CB6197" w:rsidRDefault="00000000">
      <w:pPr>
        <w:spacing w:before="480" w:after="120"/>
        <w:jc w:val="center"/>
        <w:rPr>
          <w:rFonts w:ascii="Times New Roman" w:hAnsi="Times New Roman" w:cs="Times New Roman"/>
        </w:rPr>
      </w:pPr>
      <w:r w:rsidRPr="00CB6197">
        <w:rPr>
          <w:rFonts w:ascii="Times New Roman" w:hAnsi="Times New Roman" w:cs="Times New Roman"/>
          <w:b/>
          <w:bCs/>
          <w:color w:val="1F3A6E"/>
          <w:sz w:val="56"/>
          <w:szCs w:val="56"/>
        </w:rPr>
        <w:t>CREDITPATH AI</w:t>
      </w:r>
    </w:p>
    <w:p w14:paraId="40ABBF0F" w14:textId="77777777" w:rsidR="00007781" w:rsidRPr="00CB6197" w:rsidRDefault="00000000">
      <w:pPr>
        <w:spacing w:after="480"/>
        <w:jc w:val="center"/>
        <w:rPr>
          <w:rFonts w:ascii="Times New Roman" w:hAnsi="Times New Roman" w:cs="Times New Roman"/>
        </w:rPr>
      </w:pPr>
      <w:r w:rsidRPr="00CB6197">
        <w:rPr>
          <w:rFonts w:ascii="Times New Roman" w:hAnsi="Times New Roman" w:cs="Times New Roman"/>
          <w:color w:val="2E4B8A"/>
          <w:sz w:val="32"/>
          <w:szCs w:val="32"/>
        </w:rPr>
        <w:t>Project Documentation Report</w:t>
      </w:r>
    </w:p>
    <w:p w14:paraId="17CD8296" w14:textId="77777777" w:rsidR="00007781" w:rsidRPr="00CB6197" w:rsidRDefault="00000000">
      <w:pPr>
        <w:spacing w:after="80"/>
        <w:jc w:val="center"/>
        <w:rPr>
          <w:rFonts w:ascii="Times New Roman" w:hAnsi="Times New Roman" w:cs="Times New Roman"/>
        </w:rPr>
      </w:pPr>
      <w:r w:rsidRPr="00CB6197">
        <w:rPr>
          <w:rFonts w:ascii="Times New Roman" w:hAnsi="Times New Roman" w:cs="Times New Roman"/>
          <w:color w:val="5A6F94"/>
          <w:sz w:val="24"/>
          <w:szCs w:val="24"/>
        </w:rPr>
        <w:t>Submitted to</w:t>
      </w:r>
    </w:p>
    <w:p w14:paraId="421769B1" w14:textId="77777777" w:rsidR="00007781" w:rsidRPr="00CB6197" w:rsidRDefault="00000000">
      <w:pPr>
        <w:spacing w:after="480"/>
        <w:jc w:val="center"/>
        <w:rPr>
          <w:rFonts w:ascii="Times New Roman" w:hAnsi="Times New Roman" w:cs="Times New Roman"/>
        </w:rPr>
      </w:pPr>
      <w:r w:rsidRPr="00CB6197">
        <w:rPr>
          <w:rFonts w:ascii="Times New Roman" w:hAnsi="Times New Roman" w:cs="Times New Roman"/>
          <w:b/>
          <w:bCs/>
          <w:color w:val="1F3A6E"/>
          <w:sz w:val="28"/>
          <w:szCs w:val="28"/>
        </w:rPr>
        <w:t>Infosys Springboard</w:t>
      </w:r>
    </w:p>
    <w:p w14:paraId="173E83CB" w14:textId="77777777" w:rsidR="00007781" w:rsidRPr="00CB6197" w:rsidRDefault="00000000">
      <w:pPr>
        <w:spacing w:after="80"/>
        <w:jc w:val="center"/>
        <w:rPr>
          <w:rFonts w:ascii="Times New Roman" w:hAnsi="Times New Roman" w:cs="Times New Roman"/>
        </w:rPr>
      </w:pPr>
      <w:r w:rsidRPr="00CB6197">
        <w:rPr>
          <w:rFonts w:ascii="Times New Roman" w:hAnsi="Times New Roman" w:cs="Times New Roman"/>
          <w:color w:val="5A6F94"/>
          <w:sz w:val="24"/>
          <w:szCs w:val="24"/>
        </w:rPr>
        <w:t>Submitted by</w:t>
      </w:r>
    </w:p>
    <w:p w14:paraId="5452CA14" w14:textId="77777777" w:rsidR="00007781" w:rsidRPr="00CB6197" w:rsidRDefault="00000000">
      <w:pPr>
        <w:spacing w:after="960"/>
        <w:jc w:val="center"/>
        <w:rPr>
          <w:rFonts w:ascii="Times New Roman" w:hAnsi="Times New Roman" w:cs="Times New Roman"/>
        </w:rPr>
      </w:pPr>
      <w:r w:rsidRPr="00CB6197">
        <w:rPr>
          <w:rFonts w:ascii="Times New Roman" w:hAnsi="Times New Roman" w:cs="Times New Roman"/>
          <w:b/>
          <w:bCs/>
          <w:color w:val="1F3A6E"/>
          <w:sz w:val="28"/>
          <w:szCs w:val="28"/>
        </w:rPr>
        <w:t>Sanjeeva Reddy Gari YAMINI</w:t>
      </w:r>
    </w:p>
    <w:p w14:paraId="071F381C"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53B851A7"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Abstract</w:t>
      </w:r>
    </w:p>
    <w:p w14:paraId="61215872"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CreditPath AI is a full-stack machine learning application that serves as a dual recommendation engine for loan risk assessment. The system addresses the need for intelligent, data-driven decision-making in the lending domain by providing two distinct perspectives — one for banks and one for loan applicants.</w:t>
      </w:r>
    </w:p>
    <w:p w14:paraId="574AF304"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An XGBoost classifier is trained on historical loan application data (Loan_Default.csv) to predict the probability of default. The backend is built with FastAPI and exposes RESTful endpoints consumed by a React + Vite frontend styled with a consistent dark navy theme.</w:t>
      </w:r>
    </w:p>
    <w:p w14:paraId="7159C5FA"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Bank officers receive risk levels, recovery strategies, and expected loss estimates via the Agent Recommendation Engine (Bank Recommendation Engine). Applicants receive eligibility verdicts, approval probabilities, and personalised improvement roadmaps via the Borrower Eligibility Predictor. A rule-based override layer ensures correct classification even where the ML model output may be inverted due to training label conventions. The system correctly differentiates risk levels across Good, Conditional, and Not Approved borrower profiles.</w:t>
      </w:r>
    </w:p>
    <w:p w14:paraId="1C0D0CBF"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3BAEB7DB"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Table of Contents</w:t>
      </w:r>
    </w:p>
    <w:p w14:paraId="38D01670"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Abstract</w:t>
      </w:r>
      <w:r w:rsidRPr="00CB6197">
        <w:rPr>
          <w:rFonts w:ascii="Times New Roman" w:hAnsi="Times New Roman" w:cs="Times New Roman"/>
        </w:rPr>
        <w:tab/>
        <w:t>2</w:t>
      </w:r>
    </w:p>
    <w:p w14:paraId="21F9A446"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1  Introduction</w:t>
      </w:r>
      <w:r w:rsidRPr="00CB6197">
        <w:rPr>
          <w:rFonts w:ascii="Times New Roman" w:hAnsi="Times New Roman" w:cs="Times New Roman"/>
        </w:rPr>
        <w:tab/>
        <w:t>4</w:t>
      </w:r>
    </w:p>
    <w:p w14:paraId="011FE641"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1.1  Problem Statement</w:t>
      </w:r>
      <w:r w:rsidRPr="00CB6197">
        <w:rPr>
          <w:rFonts w:ascii="Times New Roman" w:hAnsi="Times New Roman" w:cs="Times New Roman"/>
        </w:rPr>
        <w:tab/>
        <w:t>4</w:t>
      </w:r>
    </w:p>
    <w:p w14:paraId="3FD0F067"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1.2  Objectives</w:t>
      </w:r>
      <w:r w:rsidRPr="00CB6197">
        <w:rPr>
          <w:rFonts w:ascii="Times New Roman" w:hAnsi="Times New Roman" w:cs="Times New Roman"/>
        </w:rPr>
        <w:tab/>
        <w:t>4</w:t>
      </w:r>
    </w:p>
    <w:p w14:paraId="4DA38060"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1.3  Scope</w:t>
      </w:r>
      <w:r w:rsidRPr="00CB6197">
        <w:rPr>
          <w:rFonts w:ascii="Times New Roman" w:hAnsi="Times New Roman" w:cs="Times New Roman"/>
        </w:rPr>
        <w:tab/>
        <w:t>4</w:t>
      </w:r>
    </w:p>
    <w:p w14:paraId="1480C9D4"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2  System Architecture</w:t>
      </w:r>
      <w:r w:rsidRPr="00CB6197">
        <w:rPr>
          <w:rFonts w:ascii="Times New Roman" w:hAnsi="Times New Roman" w:cs="Times New Roman"/>
        </w:rPr>
        <w:tab/>
        <w:t>5</w:t>
      </w:r>
    </w:p>
    <w:p w14:paraId="2BCB9386"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2.1  Architecture Overview</w:t>
      </w:r>
      <w:r w:rsidRPr="00CB6197">
        <w:rPr>
          <w:rFonts w:ascii="Times New Roman" w:hAnsi="Times New Roman" w:cs="Times New Roman"/>
        </w:rPr>
        <w:tab/>
        <w:t>5</w:t>
      </w:r>
    </w:p>
    <w:p w14:paraId="3BE7366D"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2.2  Component Breakdown</w:t>
      </w:r>
      <w:r w:rsidRPr="00CB6197">
        <w:rPr>
          <w:rFonts w:ascii="Times New Roman" w:hAnsi="Times New Roman" w:cs="Times New Roman"/>
        </w:rPr>
        <w:tab/>
        <w:t>5</w:t>
      </w:r>
    </w:p>
    <w:p w14:paraId="301FB6A9"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3  Implementation</w:t>
      </w:r>
      <w:r w:rsidRPr="00CB6197">
        <w:rPr>
          <w:rFonts w:ascii="Times New Roman" w:hAnsi="Times New Roman" w:cs="Times New Roman"/>
        </w:rPr>
        <w:tab/>
        <w:t>6</w:t>
      </w:r>
    </w:p>
    <w:p w14:paraId="4BAF3AAD"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3.1  Data Pipeline &amp; Preprocessing</w:t>
      </w:r>
      <w:r w:rsidRPr="00CB6197">
        <w:rPr>
          <w:rFonts w:ascii="Times New Roman" w:hAnsi="Times New Roman" w:cs="Times New Roman"/>
        </w:rPr>
        <w:tab/>
        <w:t>6</w:t>
      </w:r>
    </w:p>
    <w:p w14:paraId="1C6ACB0D"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3.2  Machine Learning Model</w:t>
      </w:r>
      <w:r w:rsidRPr="00CB6197">
        <w:rPr>
          <w:rFonts w:ascii="Times New Roman" w:hAnsi="Times New Roman" w:cs="Times New Roman"/>
        </w:rPr>
        <w:tab/>
        <w:t>7</w:t>
      </w:r>
    </w:p>
    <w:p w14:paraId="47FC8126"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3.3  Backend API (FastAPI)</w:t>
      </w:r>
      <w:r w:rsidRPr="00CB6197">
        <w:rPr>
          <w:rFonts w:ascii="Times New Roman" w:hAnsi="Times New Roman" w:cs="Times New Roman"/>
        </w:rPr>
        <w:tab/>
        <w:t>8</w:t>
      </w:r>
    </w:p>
    <w:p w14:paraId="3CF356F6"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3.4  Frontend Application (React)</w:t>
      </w:r>
      <w:r w:rsidRPr="00CB6197">
        <w:rPr>
          <w:rFonts w:ascii="Times New Roman" w:hAnsi="Times New Roman" w:cs="Times New Roman"/>
        </w:rPr>
        <w:tab/>
        <w:t>10</w:t>
      </w:r>
    </w:p>
    <w:p w14:paraId="5E5BF222"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4  Results &amp; Testing</w:t>
      </w:r>
      <w:r w:rsidRPr="00CB6197">
        <w:rPr>
          <w:rFonts w:ascii="Times New Roman" w:hAnsi="Times New Roman" w:cs="Times New Roman"/>
        </w:rPr>
        <w:tab/>
        <w:t>11</w:t>
      </w:r>
    </w:p>
    <w:p w14:paraId="0864E93B"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4.1  Sample Test Inputs</w:t>
      </w:r>
      <w:r w:rsidRPr="00CB6197">
        <w:rPr>
          <w:rFonts w:ascii="Times New Roman" w:hAnsi="Times New Roman" w:cs="Times New Roman"/>
        </w:rPr>
        <w:tab/>
        <w:t>11</w:t>
      </w:r>
    </w:p>
    <w:p w14:paraId="22543EF9"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4.2  API Validation</w:t>
      </w:r>
      <w:r w:rsidRPr="00CB6197">
        <w:rPr>
          <w:rFonts w:ascii="Times New Roman" w:hAnsi="Times New Roman" w:cs="Times New Roman"/>
        </w:rPr>
        <w:tab/>
        <w:t>11</w:t>
      </w:r>
    </w:p>
    <w:p w14:paraId="15009553"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 xml:space="preserve">   4.3  Future Work</w:t>
      </w:r>
      <w:r w:rsidRPr="00CB6197">
        <w:rPr>
          <w:rFonts w:ascii="Times New Roman" w:hAnsi="Times New Roman" w:cs="Times New Roman"/>
        </w:rPr>
        <w:tab/>
        <w:t>12</w:t>
      </w:r>
    </w:p>
    <w:p w14:paraId="526D53D6"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5  Conclusion</w:t>
      </w:r>
      <w:r w:rsidRPr="00CB6197">
        <w:rPr>
          <w:rFonts w:ascii="Times New Roman" w:hAnsi="Times New Roman" w:cs="Times New Roman"/>
        </w:rPr>
        <w:tab/>
        <w:t>13</w:t>
      </w:r>
    </w:p>
    <w:p w14:paraId="47362BE8" w14:textId="77777777" w:rsidR="00007781" w:rsidRPr="00CB6197" w:rsidRDefault="00000000">
      <w:pPr>
        <w:tabs>
          <w:tab w:val="right" w:leader="dot" w:pos="9026"/>
        </w:tabs>
        <w:spacing w:before="40" w:after="40"/>
        <w:rPr>
          <w:rFonts w:ascii="Times New Roman" w:hAnsi="Times New Roman" w:cs="Times New Roman"/>
        </w:rPr>
      </w:pPr>
      <w:r w:rsidRPr="00CB6197">
        <w:rPr>
          <w:rFonts w:ascii="Times New Roman" w:hAnsi="Times New Roman" w:cs="Times New Roman"/>
        </w:rPr>
        <w:t>References</w:t>
      </w:r>
      <w:r w:rsidRPr="00CB6197">
        <w:rPr>
          <w:rFonts w:ascii="Times New Roman" w:hAnsi="Times New Roman" w:cs="Times New Roman"/>
        </w:rPr>
        <w:tab/>
        <w:t>14</w:t>
      </w:r>
    </w:p>
    <w:p w14:paraId="043F4418"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0A23F3E9"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1. Introduction</w:t>
      </w:r>
    </w:p>
    <w:p w14:paraId="2050E50C"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lending industry faces a critical challenge in accurately assessing borrower risk while maintaining transparency and fairness. Traditional credit evaluation methods often rely on rigid rule-based systems that fail to capture the complex, non-linear relationships between borrower attributes and default behaviour. Machine learning offers a powerful alternative by learning patterns from historical data to generate more accurate and explainable predictions.</w:t>
      </w:r>
    </w:p>
    <w:p w14:paraId="5A6FC810"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CreditPath AI was developed to address this gap by building a dual-perspective recommendation engine. From the bank's perspective, the system automates risk classification and recovery planning. From the applicant's perspective, it democratises access to credit insights by explaining why an application may be declined and providing a clear improvement roadmap.</w:t>
      </w:r>
    </w:p>
    <w:p w14:paraId="0D5AEB54"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1.1 Problem Statement</w:t>
      </w:r>
    </w:p>
    <w:p w14:paraId="74029D00"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Banks struggle to make fast, accurate, and consistent lending decisions across thousands of applications. At the same time, loan applicants often receive rejection notices with no explanation or guidance. Existing systems are either too opaque for applicants or too simplistic for banks. There is a need for a unified, ML-powered system that serves both stakeholders with role-specific, actionable outputs.</w:t>
      </w:r>
    </w:p>
    <w:p w14:paraId="234DFEA4"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1.2 Objectives</w:t>
      </w:r>
    </w:p>
    <w:p w14:paraId="022E93F4"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Train an XGBoost machine learning model to predict the probability of loan default from borrower financial data.</w:t>
      </w:r>
    </w:p>
    <w:p w14:paraId="4FEE97DC"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Build a FastAPI backend (main.py) that serves real-time predictions via RESTful endpoints with a rule-based override layer.</w:t>
      </w:r>
    </w:p>
    <w:p w14:paraId="0F44B0D0"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Develop a React + Vite frontend with two dedicated pages — Bank Recommendation Engine and Borrower Eligibility Predictor.</w:t>
      </w:r>
    </w:p>
    <w:p w14:paraId="593FD688"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Provide banks with risk level, expected loss, recovery channel, and legal action recommendations.</w:t>
      </w:r>
    </w:p>
    <w:p w14:paraId="0115F760"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Provide applicants with eligibility status (APPROVED / CONDITIONAL / NOT_APPROVED), approval probability, and a personalised improvement plan.</w:t>
      </w:r>
    </w:p>
    <w:p w14:paraId="42BFDACB"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1.3 Scope</w:t>
      </w:r>
    </w:p>
    <w:p w14:paraId="55396B13"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system is scoped to home and personal loan applications using five core financial inputs: credit score, loan amount, annual income, LTV (Loan-to-Value), and DTI (Debt-to-Income ratio). All monetary values are submitted in Indian Rupees and converted internally to USD for model compatibility. The application is designed for local deployment and demonstration purposes.</w:t>
      </w:r>
    </w:p>
    <w:p w14:paraId="16CD883A"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65EFE81E"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2. System Architecture</w:t>
      </w:r>
    </w:p>
    <w:p w14:paraId="3FA8B8F1"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CreditPath AI follows a three-tier architecture consisting of a data and model layer, a backend API layer, and a frontend presentation layer. Each tier is independently developed and communicates through well-defined interfaces.</w:t>
      </w:r>
    </w:p>
    <w:p w14:paraId="46CBBA8F"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2.1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07781" w:rsidRPr="00CB6197" w14:paraId="7CBB502E" w14:textId="77777777">
        <w:tblPrEx>
          <w:tblCellMar>
            <w:top w:w="0" w:type="dxa"/>
            <w:bottom w:w="0" w:type="dxa"/>
          </w:tblCellMar>
        </w:tblPrEx>
        <w:tc>
          <w:tcPr>
            <w:tcW w:w="22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0C0E4F5"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Layer</w:t>
            </w:r>
          </w:p>
        </w:tc>
        <w:tc>
          <w:tcPr>
            <w:tcW w:w="71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531C38C9"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Description</w:t>
            </w:r>
          </w:p>
        </w:tc>
      </w:tr>
      <w:tr w:rsidR="00007781" w:rsidRPr="00CB6197" w14:paraId="74A9B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8FFFAC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Data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3BCAB"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Raw CSV (Loan_Default.csv) is preprocessed, features are engineered, and an XGBoost model is trained and serialised as .pkl artifacts.</w:t>
            </w:r>
          </w:p>
        </w:tc>
      </w:tr>
      <w:tr w:rsidR="00007781" w:rsidRPr="00CB6197" w14:paraId="1105A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8ADE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Backend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356C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FastAPI (main.py) serves the trained model via RESTful endpoints, handling feature construction, INR-to-USD conversion, rule-based override scoring, and recommendation logic.</w:t>
            </w:r>
          </w:p>
        </w:tc>
      </w:tr>
      <w:tr w:rsidR="00007781" w:rsidRPr="00CB6197" w14:paraId="7701C4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0614BF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Frontend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B3AF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React + Vite application with two role-specific pages (BankPortal.jsx, ApplicantPortal.jsx) and a landing page, consuming FastAPI endpoints and rendering interactive Plotly.js charts.</w:t>
            </w:r>
          </w:p>
        </w:tc>
      </w:tr>
    </w:tbl>
    <w:p w14:paraId="19CD50B9" w14:textId="77777777" w:rsidR="00007781" w:rsidRPr="00CB6197" w:rsidRDefault="00007781">
      <w:pPr>
        <w:spacing w:before="160"/>
        <w:rPr>
          <w:rFonts w:ascii="Times New Roman" w:hAnsi="Times New Roman" w:cs="Times New Roman"/>
        </w:rPr>
      </w:pPr>
    </w:p>
    <w:p w14:paraId="749E8812"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2.2 Component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07781" w:rsidRPr="00CB6197" w14:paraId="3B4F41E7" w14:textId="77777777">
        <w:tblPrEx>
          <w:tblCellMar>
            <w:top w:w="0" w:type="dxa"/>
            <w:bottom w:w="0" w:type="dxa"/>
          </w:tblCellMar>
        </w:tblPrEx>
        <w:tc>
          <w:tcPr>
            <w:tcW w:w="24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00D70398"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File</w:t>
            </w:r>
          </w:p>
        </w:tc>
        <w:tc>
          <w:tcPr>
            <w:tcW w:w="18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53B184CE"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Role</w:t>
            </w:r>
          </w:p>
        </w:tc>
        <w:tc>
          <w:tcPr>
            <w:tcW w:w="51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5C40C194"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Description</w:t>
            </w:r>
          </w:p>
        </w:tc>
      </w:tr>
      <w:tr w:rsidR="00007781" w:rsidRPr="00CB6197" w14:paraId="6C347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AA00D6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ingest_raw.py</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92F74D3"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Data Ingestion</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CA189E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Loads Loan_Default.csv from the raw data folder</w:t>
            </w:r>
          </w:p>
        </w:tc>
      </w:tr>
      <w:tr w:rsidR="00007781" w:rsidRPr="00CB6197" w14:paraId="24BFF6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CDCE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preprocess.py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407D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Preprocessing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DFFE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Cleans, imputes, and encodes the raw dataset</w:t>
            </w:r>
          </w:p>
        </w:tc>
      </w:tr>
      <w:tr w:rsidR="00007781" w:rsidRPr="00CB6197" w14:paraId="720618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369DA7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engineer.py</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EEE382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Feature Engineering</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3EE24C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Creates derived risk features (loan_to_income_ratio, high_dti_flag, etc.)</w:t>
            </w:r>
          </w:p>
        </w:tc>
      </w:tr>
      <w:tr w:rsidR="00007781" w:rsidRPr="00CB6197" w14:paraId="345B53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FF1C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train.py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C5AF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ML Training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A2AD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Trains XGBoost, evaluates by AUC-ROC, saves creditpath_model.pkl</w:t>
            </w:r>
          </w:p>
        </w:tc>
      </w:tr>
      <w:tr w:rsidR="00007781" w:rsidRPr="00CB6197" w14:paraId="2E2ED4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EA0237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evaluate.py</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07D08E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Evaluation</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7CC92F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Generates AUC-ROC, classification report, confusion matrix</w:t>
            </w:r>
          </w:p>
        </w:tc>
      </w:tr>
      <w:tr w:rsidR="00007781" w:rsidRPr="00CB6197" w14:paraId="2C99A0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ADDE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advanced_models.py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029B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Model Comparison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DCEF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Trains LR, XGBoost, LightGBM; selects best by AUC-ROC</w:t>
            </w:r>
          </w:p>
        </w:tc>
      </w:tr>
      <w:tr w:rsidR="00007781" w:rsidRPr="00CB6197" w14:paraId="0A5413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C9C7B7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main.py</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A395F0B"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API Server</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600088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FastAPI server exposing /bank-recommendation, /applicant-recommendation, /health with rule-based override</w:t>
            </w:r>
          </w:p>
        </w:tc>
      </w:tr>
      <w:tr w:rsidR="00007781" w:rsidRPr="00CB6197" w14:paraId="6F439A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0349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testapi.py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E493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API Testing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AA97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Validates all four borrower profiles (Good, Conditional 1, Conditional 2, Bad)</w:t>
            </w:r>
          </w:p>
        </w:tc>
      </w:tr>
      <w:tr w:rsidR="00007781" w:rsidRPr="00CB6197" w14:paraId="5707E5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F783AE3"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LandingPage.jsx</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277C93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Landing UI</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86E358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Home page with hero section and dual-perspective cards</w:t>
            </w:r>
          </w:p>
        </w:tc>
      </w:tr>
      <w:tr w:rsidR="00007781" w:rsidRPr="00CB6197" w14:paraId="74FF0F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0534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BankPortal.jsx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7B9C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 UI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E480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 Recommendation Engine — Plotly gauge, risk bar chart, recovery details</w:t>
            </w:r>
          </w:p>
        </w:tc>
      </w:tr>
      <w:tr w:rsidR="00007781" w:rsidRPr="00CB6197" w14:paraId="271B1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7F85BF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ApplicantPortal.jsx</w:t>
            </w:r>
          </w:p>
        </w:tc>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DEC232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Applicant UI</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70DCA6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Borrower Eligibility Predictor — SVG gauge, credit score bar, 4 Plotly charts, improvement roadmap</w:t>
            </w:r>
          </w:p>
        </w:tc>
      </w:tr>
    </w:tbl>
    <w:p w14:paraId="55F2334E" w14:textId="77777777" w:rsidR="00007781" w:rsidRPr="00CB6197" w:rsidRDefault="00007781">
      <w:pPr>
        <w:spacing w:before="160"/>
        <w:rPr>
          <w:rFonts w:ascii="Times New Roman" w:hAnsi="Times New Roman" w:cs="Times New Roman"/>
        </w:rPr>
      </w:pPr>
    </w:p>
    <w:p w14:paraId="47A7203C"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718C8306"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3. Implementation</w:t>
      </w:r>
    </w:p>
    <w:p w14:paraId="368B663B"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3.1 Data Pipeline &amp; Preprocessing</w:t>
      </w:r>
    </w:p>
    <w:p w14:paraId="1CDDB263"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3.1.1 Dataset</w:t>
      </w:r>
    </w:p>
    <w:p w14:paraId="0011485A"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system trains on Loan_Default.csv, a structured dataset of historical loan applications located in the data/raw/ directory. Each record contains borrower financial attributes and a binary target label — Status: 1 indicating non-default and 0 indicating default. The dataset undergoes thorough cleaning before being used for model training.</w:t>
      </w:r>
    </w:p>
    <w:p w14:paraId="321143A4"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3.1.2 Preprocessing Steps (preprocess.py)</w:t>
      </w:r>
    </w:p>
    <w:p w14:paraId="5B5CC517"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Drop the ID column to remove non-informative identifiers.</w:t>
      </w:r>
    </w:p>
    <w:p w14:paraId="1101FB05"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Remove leakage columns unavailable at prediction time: credit_type, co-applicant_credit_type, Interest_rate_spread, Upfront_charges, rate_of_interest.</w:t>
      </w:r>
    </w:p>
    <w:p w14:paraId="1407A55E"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Remove duplicate rows and reset the index.</w:t>
      </w:r>
    </w:p>
    <w:p w14:paraId="045FC39F"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Filter out corrupted LTV values greater than 120.</w:t>
      </w:r>
    </w:p>
    <w:p w14:paraId="68E04E47"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Impute missing numerical values with column medians; categorical columns with column mode.</w:t>
      </w:r>
    </w:p>
    <w:p w14:paraId="0027D762"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Encode all categorical columns using ordinal encoding (category codes).</w:t>
      </w:r>
    </w:p>
    <w:p w14:paraId="137E790F"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3.1.3 Feature Engineering (engineer.py)</w:t>
      </w:r>
    </w:p>
    <w:p w14:paraId="75F6FF9A"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Four derived features are created to capture borrower risk signals not present in the raw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007781" w:rsidRPr="00CB6197" w14:paraId="0322F209" w14:textId="77777777">
        <w:tblPrEx>
          <w:tblCellMar>
            <w:top w:w="0" w:type="dxa"/>
            <w:bottom w:w="0" w:type="dxa"/>
          </w:tblCellMar>
        </w:tblPrEx>
        <w:tc>
          <w:tcPr>
            <w:tcW w:w="28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FB8A646"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Feature</w:t>
            </w:r>
          </w:p>
        </w:tc>
        <w:tc>
          <w:tcPr>
            <w:tcW w:w="3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09CF83B4"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Formula</w:t>
            </w:r>
          </w:p>
        </w:tc>
        <w:tc>
          <w:tcPr>
            <w:tcW w:w="35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78FC53AC"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Purpose</w:t>
            </w:r>
          </w:p>
        </w:tc>
      </w:tr>
      <w:tr w:rsidR="00007781" w:rsidRPr="00CB6197" w14:paraId="52AC9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EAC032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loan_to_income_ratio</w:t>
            </w:r>
          </w:p>
        </w:tc>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802F99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loan_amount / (income + 1)</w:t>
            </w:r>
          </w:p>
        </w:tc>
        <w:tc>
          <w:tcPr>
            <w:tcW w:w="35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52E0CC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Repayment burden relative to income</w:t>
            </w:r>
          </w:p>
        </w:tc>
      </w:tr>
      <w:tr w:rsidR="00007781" w:rsidRPr="00CB6197" w14:paraId="3CE2F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A73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payment_to_income_ratio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588C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(loan_amount / 360) / (income + 1)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C083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Monthly payment as fraction of income</w:t>
            </w:r>
          </w:p>
        </w:tc>
      </w:tr>
      <w:tr w:rsidR="00007781" w:rsidRPr="00CB6197" w14:paraId="0925F7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AFD4C8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high_dti_flag</w:t>
            </w:r>
          </w:p>
        </w:tc>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26EDB2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 if DTI &gt; 40, else 0</w:t>
            </w:r>
          </w:p>
        </w:tc>
        <w:tc>
          <w:tcPr>
            <w:tcW w:w="35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1DAFCE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Binary flag for high debt-to-income ratio</w:t>
            </w:r>
          </w:p>
        </w:tc>
      </w:tr>
      <w:tr w:rsidR="00007781" w:rsidRPr="00CB6197" w14:paraId="175B15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3773B"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low_credit_flag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1CD2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 if Credit_Score &lt; 650, else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920C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Binary flag for subprime credit score</w:t>
            </w:r>
          </w:p>
        </w:tc>
      </w:tr>
    </w:tbl>
    <w:p w14:paraId="1C4984F9" w14:textId="77777777" w:rsidR="00007781" w:rsidRPr="00CB6197" w:rsidRDefault="00007781">
      <w:pPr>
        <w:spacing w:before="160"/>
        <w:rPr>
          <w:rFonts w:ascii="Times New Roman" w:hAnsi="Times New Roman" w:cs="Times New Roman"/>
        </w:rPr>
      </w:pPr>
    </w:p>
    <w:p w14:paraId="4B7EFB74"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3.2 Machine Learning Model</w:t>
      </w:r>
    </w:p>
    <w:p w14:paraId="6181776B"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3.2.1 Model Selection</w:t>
      </w:r>
    </w:p>
    <w:p w14:paraId="3ECF1B63"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Three models were evaluated using AUC-ROC on a stratified 80/20 train-test split. The best-performing model is saved as creditpath_model.pkl via train.py.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007781" w:rsidRPr="00CB6197" w14:paraId="10A5B5EC" w14:textId="77777777">
        <w:tblPrEx>
          <w:tblCellMar>
            <w:top w:w="0" w:type="dxa"/>
            <w:bottom w:w="0" w:type="dxa"/>
          </w:tblCellMar>
        </w:tblPrEx>
        <w:tc>
          <w:tcPr>
            <w:tcW w:w="25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A5A84CD"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Model</w:t>
            </w:r>
          </w:p>
        </w:tc>
        <w:tc>
          <w:tcPr>
            <w:tcW w:w="25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DA56C29"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Scaling Required</w:t>
            </w:r>
          </w:p>
        </w:tc>
        <w:tc>
          <w:tcPr>
            <w:tcW w:w="43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7E3349DE"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Notes</w:t>
            </w:r>
          </w:p>
        </w:tc>
      </w:tr>
      <w:tr w:rsidR="00007781" w:rsidRPr="00CB6197" w14:paraId="245157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040E45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484D3F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Yes (StandardScaler)</w:t>
            </w:r>
          </w:p>
        </w:tc>
        <w:tc>
          <w:tcPr>
            <w:tcW w:w="4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6C590D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Baseline linear model</w:t>
            </w:r>
          </w:p>
        </w:tc>
      </w:tr>
      <w:tr w:rsidR="00007781" w:rsidRPr="00CB6197" w14:paraId="55F18D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F3E1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XGBoost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D785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No (tree-based)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F14E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Gradient boosting, depth=6, lr=0.1 — selected as final model</w:t>
            </w:r>
          </w:p>
        </w:tc>
      </w:tr>
      <w:tr w:rsidR="00007781" w:rsidRPr="00CB6197" w14:paraId="08F00D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EC6A35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LightGBM</w:t>
            </w:r>
          </w:p>
        </w:tc>
        <w:tc>
          <w:tcPr>
            <w:tcW w:w="2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574BDF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No (tree-based)</w:t>
            </w:r>
          </w:p>
        </w:tc>
        <w:tc>
          <w:tcPr>
            <w:tcW w:w="4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AA938A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Evaluated as alternative; XGBoost selected for final deployment</w:t>
            </w:r>
          </w:p>
        </w:tc>
      </w:tr>
    </w:tbl>
    <w:p w14:paraId="7C3B359C" w14:textId="77777777" w:rsidR="00007781" w:rsidRPr="00CB6197" w:rsidRDefault="00007781">
      <w:pPr>
        <w:spacing w:before="160"/>
        <w:rPr>
          <w:rFonts w:ascii="Times New Roman" w:hAnsi="Times New Roman" w:cs="Times New Roman"/>
        </w:rPr>
      </w:pPr>
    </w:p>
    <w:p w14:paraId="06849E6E"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3.2.2 Feature Set</w:t>
      </w:r>
    </w:p>
    <w:p w14:paraId="28BEA613"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lastRenderedPageBreak/>
        <w:t>The final model uses features whose order is preserved in feature_columns.pkl. Key features include: Credit_Score, loan_amount, income, LTV, dtir1, term, loan_to_income_ratio, payment_to_income_ratio, high_dti_flag, low_credit_flag, property_value, age, occupancy_type, Region, Security_Type, and additional categorical attributes.</w:t>
      </w:r>
    </w:p>
    <w:p w14:paraId="34F5DEA6"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3.2.3 Rule-Based Override Layer</w:t>
      </w:r>
    </w:p>
    <w:p w14:paraId="576B658A"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Rather than using the raw ML probability alone, CreditPath AI applies a rule-based override in main.py to correct model mispredictions caused by training label conventions. The override logic:</w:t>
      </w:r>
    </w:p>
    <w:p w14:paraId="4E2333CD"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Detects clearly bad borrowers (credit score &lt; 550, LTV &gt; 88%, DTI &gt; 50%) and caps approval probability at 5%.</w:t>
      </w:r>
    </w:p>
    <w:p w14:paraId="3787230E"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Detects borderline/conditional borrowers with 2 or more risk flags (credit score &lt;= 680, LTV &gt; 80%, DTI &gt; 36%) and caps approval probability at 78%, placing them in the CONDITIONAL band.</w:t>
      </w:r>
    </w:p>
    <w:p w14:paraId="565892EC"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Good borrowers (none of the above flags) pass through with the raw ML probability unchanged.</w:t>
      </w:r>
    </w:p>
    <w:p w14:paraId="1F09427A"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This hybrid approach ensures correct business decisions even when the underlying model output is inverted due to label encoding.</w:t>
      </w:r>
    </w:p>
    <w:p w14:paraId="4147F486"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3.2.4 Saved Model Artifacts</w:t>
      </w:r>
    </w:p>
    <w:p w14:paraId="007C86FC"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creditpath_model.pkl — Trained XGBoost classifier</w:t>
      </w:r>
    </w:p>
    <w:p w14:paraId="44531DE8"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creditpath_scaler.pkl — StandardScaler (used for Logistic Regression fallback)</w:t>
      </w:r>
    </w:p>
    <w:p w14:paraId="43AF1524"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feature_columns.pkl — Ordered list of feature column names</w:t>
      </w:r>
    </w:p>
    <w:p w14:paraId="2ECACC70"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3511ADAB"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lastRenderedPageBreak/>
        <w:t>3.3 Backend API (FastAPI)</w:t>
      </w:r>
    </w:p>
    <w:p w14:paraId="02404FD1"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backend is implemented in src/api/main.py using FastAPI with CORS configured to allow all origins, methods, and headers for local development. On startup, the saved model artifacts are loaded into memory.</w:t>
      </w:r>
    </w:p>
    <w:p w14:paraId="7842BE78"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3.3.1 INR to USD Conversion</w:t>
      </w:r>
    </w:p>
    <w:p w14:paraId="3391EE9E"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All monetary inputs are submitted in Indian Rupees (INR). The backend converts them to USD at a fixed rate of 83.0 INR/USD before passing values to the model, which was trained on USD-denominated data. Income is additionally divided by 12 to produce a monthly figure.</w:t>
      </w:r>
    </w:p>
    <w:p w14:paraId="007BF8E5"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3.3.2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007781" w:rsidRPr="00CB6197" w14:paraId="67DA0935" w14:textId="77777777">
        <w:tblPrEx>
          <w:tblCellMar>
            <w:top w:w="0" w:type="dxa"/>
            <w:bottom w:w="0" w:type="dxa"/>
          </w:tblCellMar>
        </w:tblPrEx>
        <w:tc>
          <w:tcPr>
            <w:tcW w:w="3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F082656"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Endpoint</w:t>
            </w:r>
          </w:p>
        </w:tc>
        <w:tc>
          <w:tcPr>
            <w:tcW w:w="12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6B36D1C"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Method</w:t>
            </w:r>
          </w:p>
        </w:tc>
        <w:tc>
          <w:tcPr>
            <w:tcW w:w="51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0C6DB589"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Description</w:t>
            </w:r>
          </w:p>
        </w:tc>
      </w:tr>
      <w:tr w:rsidR="00007781" w:rsidRPr="00CB6197" w14:paraId="27DA21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2A0183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/health</w:t>
            </w:r>
          </w:p>
        </w:tc>
        <w:tc>
          <w:tcPr>
            <w:tcW w:w="1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2CCAC6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GET</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0FF93E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Returns { status: 'ok', model: 'XGBoost' } — used by frontend for connectivity check</w:t>
            </w:r>
          </w:p>
        </w:tc>
      </w:tr>
      <w:tr w:rsidR="00007781" w:rsidRPr="00CB6197" w14:paraId="74AB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5F62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0B51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POST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12B6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Returns risk level, approval status, expected loss, rate adjustment, recovery strategy</w:t>
            </w:r>
          </w:p>
        </w:tc>
      </w:tr>
      <w:tr w:rsidR="00007781" w:rsidRPr="00CB6197" w14:paraId="1E0C8C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65EE97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/applicant-recommendation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22F543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POST</w:t>
            </w:r>
          </w:p>
        </w:tc>
        <w:tc>
          <w:tcPr>
            <w:tcW w:w="5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CBEC80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Returns eligibility status, approval probability, improvement opportunities, next steps</w:t>
            </w:r>
          </w:p>
        </w:tc>
      </w:tr>
      <w:tr w:rsidR="00007781" w:rsidRPr="00CB6197" w14:paraId="4AAAA1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CFA3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/docs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92E5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35ED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Auto-generated Swagger UI documentation</w:t>
            </w:r>
          </w:p>
        </w:tc>
      </w:tr>
    </w:tbl>
    <w:p w14:paraId="0EFA9AC2" w14:textId="77777777" w:rsidR="00007781" w:rsidRPr="00CB6197" w:rsidRDefault="00007781">
      <w:pPr>
        <w:spacing w:before="160"/>
        <w:rPr>
          <w:rFonts w:ascii="Times New Roman" w:hAnsi="Times New Roman" w:cs="Times New Roman"/>
        </w:rPr>
      </w:pPr>
    </w:p>
    <w:p w14:paraId="3F0FB628"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3.3.3 Bank Recommendation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2400"/>
        <w:gridCol w:w="1440"/>
        <w:gridCol w:w="2400"/>
      </w:tblGrid>
      <w:tr w:rsidR="00007781" w:rsidRPr="00CB6197" w14:paraId="11A43B5F" w14:textId="77777777">
        <w:tblPrEx>
          <w:tblCellMar>
            <w:top w:w="0" w:type="dxa"/>
            <w:bottom w:w="0" w:type="dxa"/>
          </w:tblCellMar>
        </w:tblPrEx>
        <w:tc>
          <w:tcPr>
            <w:tcW w:w="168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58CBE06A"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Default Prob.</w:t>
            </w:r>
          </w:p>
        </w:tc>
        <w:tc>
          <w:tcPr>
            <w:tcW w:w="144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06D3214"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Risk Level</w:t>
            </w:r>
          </w:p>
        </w:tc>
        <w:tc>
          <w:tcPr>
            <w:tcW w:w="24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826EE81"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Approval Status</w:t>
            </w:r>
          </w:p>
        </w:tc>
        <w:tc>
          <w:tcPr>
            <w:tcW w:w="144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898780C"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Rate Adj.</w:t>
            </w:r>
          </w:p>
        </w:tc>
        <w:tc>
          <w:tcPr>
            <w:tcW w:w="24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7C422C23"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Recovery Channel</w:t>
            </w:r>
          </w:p>
        </w:tc>
      </w:tr>
      <w:tr w:rsidR="00007781" w:rsidRPr="00CB6197" w14:paraId="5FB57D0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4865A5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&lt; 15%</w:t>
            </w:r>
          </w:p>
        </w:tc>
        <w:tc>
          <w:tcPr>
            <w:tcW w:w="144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144A99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22B454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AUTO_APPROVE</w:t>
            </w:r>
          </w:p>
        </w:tc>
        <w:tc>
          <w:tcPr>
            <w:tcW w:w="144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10E51F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+0.0%</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D6B7D5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Monitoring Only</w:t>
            </w:r>
          </w:p>
        </w:tc>
      </w:tr>
      <w:tr w:rsidR="00007781" w:rsidRPr="00CB6197" w14:paraId="7644533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A556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15% – 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A29E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7521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 WITH CONDITIONS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468B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2D93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Early Intervention</w:t>
            </w:r>
          </w:p>
        </w:tc>
      </w:tr>
      <w:tr w:rsidR="00007781" w:rsidRPr="00CB6197" w14:paraId="0C68B34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63A752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40% – 60%</w:t>
            </w:r>
          </w:p>
        </w:tc>
        <w:tc>
          <w:tcPr>
            <w:tcW w:w="144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BADF85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C1E10C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DECLINE</w:t>
            </w:r>
          </w:p>
        </w:tc>
        <w:tc>
          <w:tcPr>
            <w:tcW w:w="144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875977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24000B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Collection Agency</w:t>
            </w:r>
          </w:p>
        </w:tc>
      </w:tr>
      <w:tr w:rsidR="00007781" w:rsidRPr="00CB6197" w14:paraId="6826BAC3"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20D6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&gt; 60%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9BA4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C320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DECLINE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7F04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B08A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Legal Action + Court</w:t>
            </w:r>
          </w:p>
        </w:tc>
      </w:tr>
    </w:tbl>
    <w:p w14:paraId="30D7C679" w14:textId="77777777" w:rsidR="00007781" w:rsidRPr="00CB6197" w:rsidRDefault="00007781">
      <w:pPr>
        <w:spacing w:before="160"/>
        <w:rPr>
          <w:rFonts w:ascii="Times New Roman" w:hAnsi="Times New Roman" w:cs="Times New Roman"/>
        </w:rPr>
      </w:pPr>
    </w:p>
    <w:p w14:paraId="60E5DE8E"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3.3.4 Applicant Recommendation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360"/>
        <w:gridCol w:w="2000"/>
      </w:tblGrid>
      <w:tr w:rsidR="00007781" w:rsidRPr="00CB6197" w14:paraId="20ED4CA9" w14:textId="77777777">
        <w:tblPrEx>
          <w:tblCellMar>
            <w:top w:w="0" w:type="dxa"/>
            <w:bottom w:w="0" w:type="dxa"/>
          </w:tblCellMar>
        </w:tblPrEx>
        <w:tc>
          <w:tcPr>
            <w:tcW w:w="18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D97DC2D"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Default Prob.</w:t>
            </w:r>
          </w:p>
        </w:tc>
        <w:tc>
          <w:tcPr>
            <w:tcW w:w="22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75E6AE71"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Status</w:t>
            </w:r>
          </w:p>
        </w:tc>
        <w:tc>
          <w:tcPr>
            <w:tcW w:w="33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DBF2E3F"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Outcome</w:t>
            </w:r>
          </w:p>
        </w:tc>
        <w:tc>
          <w:tcPr>
            <w:tcW w:w="2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A5DF0D8"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Reapply Timeline</w:t>
            </w:r>
          </w:p>
        </w:tc>
      </w:tr>
      <w:tr w:rsidR="00007781" w:rsidRPr="00CB6197" w14:paraId="4B0B19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AA2C01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&lt; 15%</w:t>
            </w:r>
          </w:p>
        </w:tc>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0B0243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APPROVED</w:t>
            </w:r>
          </w:p>
        </w:tc>
        <w:tc>
          <w:tcPr>
            <w:tcW w:w="3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06B625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Application approved immediately</w:t>
            </w:r>
          </w:p>
        </w:tc>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2A7D10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N/A</w:t>
            </w:r>
          </w:p>
        </w:tc>
      </w:tr>
      <w:tr w:rsidR="00007781" w:rsidRPr="00CB6197" w14:paraId="1EF084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46EF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15% –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1DC4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BCAB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approval with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C6FF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3 months</w:t>
            </w:r>
          </w:p>
        </w:tc>
      </w:tr>
      <w:tr w:rsidR="00007781" w:rsidRPr="00CB6197" w14:paraId="1337A4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C20317B"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&gt; 40%</w:t>
            </w:r>
          </w:p>
        </w:tc>
        <w:tc>
          <w:tcPr>
            <w:tcW w:w="2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A16FCB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NOT_APPROVED</w:t>
            </w:r>
          </w:p>
        </w:tc>
        <w:tc>
          <w:tcPr>
            <w:tcW w:w="3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EEA122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Application not currently approved</w:t>
            </w:r>
          </w:p>
        </w:tc>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4C7774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6 months</w:t>
            </w:r>
          </w:p>
        </w:tc>
      </w:tr>
    </w:tbl>
    <w:p w14:paraId="58A513B3" w14:textId="77777777" w:rsidR="00007781" w:rsidRPr="00CB6197" w:rsidRDefault="00007781">
      <w:pPr>
        <w:spacing w:before="160"/>
        <w:rPr>
          <w:rFonts w:ascii="Times New Roman" w:hAnsi="Times New Roman" w:cs="Times New Roman"/>
        </w:rPr>
      </w:pPr>
    </w:p>
    <w:p w14:paraId="4FF19BCF"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3.4 Frontend Application (React)</w:t>
      </w:r>
    </w:p>
    <w:p w14:paraId="02F32F9E"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lastRenderedPageBreak/>
        <w:t>The frontend is built with React and Vite, using CSS-in-JS (inline styles) for styling with a consistent dark navy theme (background #060d18). Navigation is handled by React Router v6. All API calls are made using Axios. Charts are rendered using Plotly.js.</w:t>
      </w:r>
    </w:p>
    <w:p w14:paraId="46766497"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3.4.1 Application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007781" w:rsidRPr="00CB6197" w14:paraId="31ED65BC" w14:textId="77777777">
        <w:tblPrEx>
          <w:tblCellMar>
            <w:top w:w="0" w:type="dxa"/>
            <w:bottom w:w="0" w:type="dxa"/>
          </w:tblCellMar>
        </w:tblPrEx>
        <w:tc>
          <w:tcPr>
            <w:tcW w:w="15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46FDC46E"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Route</w:t>
            </w:r>
          </w:p>
        </w:tc>
        <w:tc>
          <w:tcPr>
            <w:tcW w:w="24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0659D0F"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Component</w:t>
            </w:r>
          </w:p>
        </w:tc>
        <w:tc>
          <w:tcPr>
            <w:tcW w:w="54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5470DE9"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Description</w:t>
            </w:r>
          </w:p>
        </w:tc>
      </w:tr>
      <w:tr w:rsidR="00007781" w:rsidRPr="00CB6197" w14:paraId="4909F4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B6498B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D437FE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LandingPage.jsx</w:t>
            </w:r>
          </w:p>
        </w:tc>
        <w:tc>
          <w:tcPr>
            <w:tcW w:w="54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18E3EC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Landing page with hero section, dual perspective cards, and feature highlights</w:t>
            </w:r>
          </w:p>
        </w:tc>
      </w:tr>
      <w:tr w:rsidR="00007781" w:rsidRPr="00CB6197" w14:paraId="17700A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7577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323D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BankPortal.jsx</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3682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Bank Recommendation Engine — borrower details form, Plotly gauge, risk bar chart, recovery details panel</w:t>
            </w:r>
          </w:p>
        </w:tc>
      </w:tr>
      <w:tr w:rsidR="00007781" w:rsidRPr="00CB6197" w14:paraId="138715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059F68B"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/applicant</w:t>
            </w:r>
          </w:p>
        </w:tc>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653F73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ApplicantPortal.jsx</w:t>
            </w:r>
          </w:p>
        </w:tc>
        <w:tc>
          <w:tcPr>
            <w:tcW w:w="54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E3F756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Borrower Eligibility Predictor — form, SVG gauge, credit score bar, probability pie, metrics bar, radar, distribution charts, improvement roadmap</w:t>
            </w:r>
          </w:p>
        </w:tc>
      </w:tr>
    </w:tbl>
    <w:p w14:paraId="4046502D" w14:textId="77777777" w:rsidR="00007781" w:rsidRPr="00CB6197" w:rsidRDefault="00007781">
      <w:pPr>
        <w:spacing w:before="160"/>
        <w:rPr>
          <w:rFonts w:ascii="Times New Roman" w:hAnsi="Times New Roman" w:cs="Times New Roman"/>
        </w:rPr>
      </w:pPr>
    </w:p>
    <w:p w14:paraId="647E9CB9"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3.4.2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7781" w:rsidRPr="00CB6197" w14:paraId="27001584" w14:textId="77777777">
        <w:tblPrEx>
          <w:tblCellMar>
            <w:top w:w="0" w:type="dxa"/>
            <w:bottom w:w="0" w:type="dxa"/>
          </w:tblCellMar>
        </w:tblPrEx>
        <w:tc>
          <w:tcPr>
            <w:tcW w:w="3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84F3EE5"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Technology</w:t>
            </w:r>
          </w:p>
        </w:tc>
        <w:tc>
          <w:tcPr>
            <w:tcW w:w="63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432CC14A"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Usage</w:t>
            </w:r>
          </w:p>
        </w:tc>
      </w:tr>
      <w:tr w:rsidR="00007781" w:rsidRPr="00CB6197" w14:paraId="76619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946366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React + Vite</w:t>
            </w:r>
          </w:p>
        </w:tc>
        <w:tc>
          <w:tcPr>
            <w:tcW w:w="6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5A2ECC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Frontend framework and build tool</w:t>
            </w:r>
          </w:p>
        </w:tc>
      </w:tr>
      <w:tr w:rsidR="00007781" w:rsidRPr="00CB6197" w14:paraId="13889F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C701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React Router v6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5B39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Client-side routing between LandingPage, BankPortal, ApplicantPortal</w:t>
            </w:r>
          </w:p>
        </w:tc>
      </w:tr>
      <w:tr w:rsidR="00007781" w:rsidRPr="00CB6197" w14:paraId="6BE9C8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B520E7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Axios</w:t>
            </w:r>
          </w:p>
        </w:tc>
        <w:tc>
          <w:tcPr>
            <w:tcW w:w="6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60228F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HTTP client for FastAPI requests with timeout and error handling</w:t>
            </w:r>
          </w:p>
        </w:tc>
      </w:tr>
      <w:tr w:rsidR="00007781" w:rsidRPr="00CB6197" w14:paraId="2CD79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9F24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plotly.js-dist-min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FC36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Interactive charts — Plotly gauge, horizontal bar, pie, radar/polar, area distribution</w:t>
            </w:r>
          </w:p>
        </w:tc>
      </w:tr>
      <w:tr w:rsidR="00007781" w:rsidRPr="00CB6197" w14:paraId="4337F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6FBEBB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CSS-in-JS (inline styles)</w:t>
            </w:r>
          </w:p>
        </w:tc>
        <w:tc>
          <w:tcPr>
            <w:tcW w:w="6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98F8D9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Component styling with dark navy theme using shared D colour constants</w:t>
            </w:r>
          </w:p>
        </w:tc>
      </w:tr>
      <w:tr w:rsidR="00007781" w:rsidRPr="00CB6197" w14:paraId="793D4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A295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Playfair Display (Google Fonts)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FBAC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Serif display font used for portal headings (Bank Recommendation Engine, Borrower Eligibility Predictor)</w:t>
            </w:r>
          </w:p>
        </w:tc>
      </w:tr>
    </w:tbl>
    <w:p w14:paraId="3DE16BE3" w14:textId="77777777" w:rsidR="00007781" w:rsidRPr="00CB6197" w:rsidRDefault="00007781">
      <w:pPr>
        <w:spacing w:before="160"/>
        <w:rPr>
          <w:rFonts w:ascii="Times New Roman" w:hAnsi="Times New Roman" w:cs="Times New Roman"/>
        </w:rPr>
      </w:pPr>
    </w:p>
    <w:p w14:paraId="0BF4AC39" w14:textId="77777777" w:rsidR="00007781" w:rsidRPr="00CB6197" w:rsidRDefault="00000000">
      <w:pPr>
        <w:spacing w:before="180" w:after="80"/>
        <w:rPr>
          <w:rFonts w:ascii="Times New Roman" w:hAnsi="Times New Roman" w:cs="Times New Roman"/>
        </w:rPr>
      </w:pPr>
      <w:r w:rsidRPr="00CB6197">
        <w:rPr>
          <w:rFonts w:ascii="Times New Roman" w:hAnsi="Times New Roman" w:cs="Times New Roman"/>
          <w:b/>
          <w:bCs/>
          <w:color w:val="1F3A6E"/>
        </w:rPr>
        <w:t>3.4.3 Key UI Fixes Applied</w:t>
      </w:r>
    </w:p>
    <w:p w14:paraId="447FC87E"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alert() replaced with inline apiError state banner in BankPortal.jsx</w:t>
      </w:r>
    </w:p>
    <w:p w14:paraId="753B760B"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setLoading(false) moved into finally block to ensure it always runs</w:t>
      </w:r>
    </w:p>
    <w:p w14:paraId="052C6FE6"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Title updated from 'Agent Recommendation Engine' to 'Bank Recommendation Engine'</w:t>
      </w:r>
    </w:p>
    <w:p w14:paraId="14CD6D40"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Both portal headings styled with Playfair Display serif font and gold (#f59e0b) accent for the second word group</w:t>
      </w:r>
    </w:p>
    <w:p w14:paraId="27E4E78D"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CONDITIONAL borrower status correctly handled in verdict badge (amber colour, 3-month timeline)</w:t>
      </w:r>
    </w:p>
    <w:p w14:paraId="1393C1A6"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NOT_APPROVED correctly maps to red verdict badge with 6-month reapplication timeline</w:t>
      </w:r>
    </w:p>
    <w:p w14:paraId="2678C457"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0210F894"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4. Results &amp; Testing</w:t>
      </w:r>
    </w:p>
    <w:p w14:paraId="601CF75E"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CreditPath AI system was validated end-to-end using structured borrower profiles designed to test the full range of risk classifications. Both the backend API and frontend UI were evaluated for correctness and responsiveness using testapi.py.</w:t>
      </w:r>
    </w:p>
    <w:p w14:paraId="524AB46E"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4.1 Sample Test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1058"/>
        <w:gridCol w:w="1403"/>
        <w:gridCol w:w="1338"/>
        <w:gridCol w:w="948"/>
        <w:gridCol w:w="863"/>
        <w:gridCol w:w="2036"/>
      </w:tblGrid>
      <w:tr w:rsidR="00007781" w:rsidRPr="00CB6197" w14:paraId="45C5FF33" w14:textId="77777777">
        <w:tblPrEx>
          <w:tblCellMar>
            <w:top w:w="0" w:type="dxa"/>
            <w:bottom w:w="0" w:type="dxa"/>
          </w:tblCellMar>
        </w:tblPrEx>
        <w:tc>
          <w:tcPr>
            <w:tcW w:w="2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6F8C44B"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Profile</w:t>
            </w:r>
          </w:p>
        </w:tc>
        <w:tc>
          <w:tcPr>
            <w:tcW w:w="12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08F2D0A"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Credit Score</w:t>
            </w:r>
          </w:p>
        </w:tc>
        <w:tc>
          <w:tcPr>
            <w:tcW w:w="16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FBFB085"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Loan (₹)</w:t>
            </w:r>
          </w:p>
        </w:tc>
        <w:tc>
          <w:tcPr>
            <w:tcW w:w="15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27E3E0FE"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Income (₹)</w:t>
            </w:r>
          </w:p>
        </w:tc>
        <w:tc>
          <w:tcPr>
            <w:tcW w:w="1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C3B41B8"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LTV%</w:t>
            </w:r>
          </w:p>
        </w:tc>
        <w:tc>
          <w:tcPr>
            <w:tcW w:w="9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38551AB1"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DTI%</w:t>
            </w:r>
          </w:p>
        </w:tc>
        <w:tc>
          <w:tcPr>
            <w:tcW w:w="216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33EDD30A"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Result</w:t>
            </w:r>
          </w:p>
        </w:tc>
      </w:tr>
      <w:tr w:rsidR="00007781" w:rsidRPr="00CB6197" w14:paraId="01234F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7DC15D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Good Borrower</w:t>
            </w:r>
          </w:p>
        </w:tc>
        <w:tc>
          <w:tcPr>
            <w:tcW w:w="1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13E38B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750</w:t>
            </w:r>
          </w:p>
        </w:tc>
        <w:tc>
          <w:tcPr>
            <w:tcW w:w="1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B13728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15,00,000</w:t>
            </w:r>
          </w:p>
        </w:tc>
        <w:tc>
          <w:tcPr>
            <w:tcW w:w="1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41D1335"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35,00,000</w:t>
            </w:r>
          </w:p>
        </w:tc>
        <w:tc>
          <w:tcPr>
            <w:tcW w:w="1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1A76CF9E"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65</w:t>
            </w:r>
          </w:p>
        </w:tc>
        <w:tc>
          <w:tcPr>
            <w:tcW w:w="9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B07A183"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28</w:t>
            </w:r>
          </w:p>
        </w:tc>
        <w:tc>
          <w:tcPr>
            <w:tcW w:w="2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4ECBF28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APPROVED (95.7%)</w:t>
            </w:r>
          </w:p>
        </w:tc>
      </w:tr>
      <w:tr w:rsidR="00007781" w:rsidRPr="00CB6197" w14:paraId="74BBD5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B23E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C45B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650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BF7D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20,00,000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EE173"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6,00,000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BA80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B1286"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29F0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(78%)</w:t>
            </w:r>
          </w:p>
        </w:tc>
      </w:tr>
      <w:tr w:rsidR="00007781" w:rsidRPr="00CB6197" w14:paraId="78DE72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4FAFA1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2</w:t>
            </w:r>
          </w:p>
        </w:tc>
        <w:tc>
          <w:tcPr>
            <w:tcW w:w="12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B59868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680</w:t>
            </w:r>
          </w:p>
        </w:tc>
        <w:tc>
          <w:tcPr>
            <w:tcW w:w="1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48981D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25,00,000</w:t>
            </w:r>
          </w:p>
        </w:tc>
        <w:tc>
          <w:tcPr>
            <w:tcW w:w="15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A45F3F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7,50,000</w:t>
            </w:r>
          </w:p>
        </w:tc>
        <w:tc>
          <w:tcPr>
            <w:tcW w:w="1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8ABFCD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75</w:t>
            </w:r>
          </w:p>
        </w:tc>
        <w:tc>
          <w:tcPr>
            <w:tcW w:w="9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590F252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45</w:t>
            </w:r>
          </w:p>
        </w:tc>
        <w:tc>
          <w:tcPr>
            <w:tcW w:w="21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5116F0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(78%)</w:t>
            </w:r>
          </w:p>
        </w:tc>
      </w:tr>
      <w:tr w:rsidR="00007781" w:rsidRPr="00CB6197" w14:paraId="255353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D5A79"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Bad Borrower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4787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480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D98D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30,00,000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E1BE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2,40,000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0F03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92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C478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55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0957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NOT_APPROVED (5%)</w:t>
            </w:r>
          </w:p>
        </w:tc>
      </w:tr>
    </w:tbl>
    <w:p w14:paraId="08B131A3" w14:textId="77777777" w:rsidR="00007781" w:rsidRPr="00CB6197" w:rsidRDefault="00007781">
      <w:pPr>
        <w:spacing w:before="160"/>
        <w:rPr>
          <w:rFonts w:ascii="Times New Roman" w:hAnsi="Times New Roman" w:cs="Times New Roman"/>
        </w:rPr>
      </w:pPr>
    </w:p>
    <w:p w14:paraId="10C9E574"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4.2 API Validation</w:t>
      </w:r>
    </w:p>
    <w:p w14:paraId="2C743F33"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testapi.py script validates all four borrower profiles and performs a probability sum check (approval_probability + default_probability must equal 1.0). Results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2480"/>
        <w:gridCol w:w="2000"/>
      </w:tblGrid>
      <w:tr w:rsidR="00007781" w:rsidRPr="00CB6197" w14:paraId="0A27F5D7" w14:textId="77777777">
        <w:tblPrEx>
          <w:tblCellMar>
            <w:top w:w="0" w:type="dxa"/>
            <w:bottom w:w="0" w:type="dxa"/>
          </w:tblCellMar>
        </w:tblPrEx>
        <w:tc>
          <w:tcPr>
            <w:tcW w:w="24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02A959E1"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Borrower</w:t>
            </w:r>
          </w:p>
        </w:tc>
        <w:tc>
          <w:tcPr>
            <w:tcW w:w="248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35E9B1C1"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Applicant Endpoint</w:t>
            </w:r>
          </w:p>
        </w:tc>
        <w:tc>
          <w:tcPr>
            <w:tcW w:w="248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6155089D"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Bank Endpoint</w:t>
            </w:r>
          </w:p>
        </w:tc>
        <w:tc>
          <w:tcPr>
            <w:tcW w:w="2000" w:type="dxa"/>
            <w:tcBorders>
              <w:top w:val="single" w:sz="1" w:space="0" w:color="2E4B8A"/>
              <w:left w:val="single" w:sz="1" w:space="0" w:color="2E4B8A"/>
              <w:bottom w:val="single" w:sz="1" w:space="0" w:color="2E4B8A"/>
              <w:right w:val="single" w:sz="1" w:space="0" w:color="2E4B8A"/>
            </w:tcBorders>
            <w:shd w:val="clear" w:color="auto" w:fill="1F3A6E"/>
            <w:tcMar>
              <w:top w:w="80" w:type="dxa"/>
              <w:left w:w="120" w:type="dxa"/>
              <w:bottom w:w="80" w:type="dxa"/>
              <w:right w:w="120" w:type="dxa"/>
            </w:tcMar>
            <w:vAlign w:val="center"/>
          </w:tcPr>
          <w:p w14:paraId="1638552A" w14:textId="77777777" w:rsidR="00007781" w:rsidRPr="00CB6197" w:rsidRDefault="00000000">
            <w:pPr>
              <w:jc w:val="center"/>
              <w:rPr>
                <w:rFonts w:ascii="Times New Roman" w:hAnsi="Times New Roman" w:cs="Times New Roman"/>
              </w:rPr>
            </w:pPr>
            <w:r w:rsidRPr="00CB6197">
              <w:rPr>
                <w:rFonts w:ascii="Times New Roman" w:hAnsi="Times New Roman" w:cs="Times New Roman"/>
                <w:b/>
                <w:bCs/>
                <w:color w:val="FFFFFF"/>
                <w:sz w:val="20"/>
                <w:szCs w:val="20"/>
              </w:rPr>
              <w:t>Sum Check</w:t>
            </w:r>
          </w:p>
        </w:tc>
      </w:tr>
      <w:tr w:rsidR="00007781" w:rsidRPr="00CB6197" w14:paraId="48361F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A0EFAD1"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Good (750/65/28)</w:t>
            </w:r>
          </w:p>
        </w:tc>
        <w:tc>
          <w:tcPr>
            <w:tcW w:w="24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6BB9093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APPROVED 95.7%</w:t>
            </w:r>
          </w:p>
        </w:tc>
        <w:tc>
          <w:tcPr>
            <w:tcW w:w="24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4A3E617"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AUTO_APPROVE LOW</w:t>
            </w:r>
          </w:p>
        </w:tc>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0EBEC91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 xml:space="preserve">1.0 </w:t>
            </w:r>
            <w:r w:rsidRPr="00CB6197">
              <w:rPr>
                <w:rFonts w:ascii="Segoe UI Symbol" w:hAnsi="Segoe UI Symbol" w:cs="Segoe UI Symbol"/>
                <w:sz w:val="20"/>
                <w:szCs w:val="20"/>
              </w:rPr>
              <w:t>✓</w:t>
            </w:r>
          </w:p>
        </w:tc>
      </w:tr>
      <w:tr w:rsidR="00007781" w:rsidRPr="00CB6197" w14:paraId="4340B3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C790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1 (650/82/40)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D2058"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78%</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EBF6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 WITH CONDITIONS 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116B4"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 xml:space="preserve">1.0 </w:t>
            </w:r>
            <w:r w:rsidRPr="00CB6197">
              <w:rPr>
                <w:rFonts w:ascii="Segoe UI Symbol" w:hAnsi="Segoe UI Symbol" w:cs="Segoe UI Symbol"/>
                <w:sz w:val="20"/>
                <w:szCs w:val="20"/>
              </w:rPr>
              <w:t>✓</w:t>
            </w:r>
          </w:p>
        </w:tc>
      </w:tr>
      <w:tr w:rsidR="00007781" w:rsidRPr="00CB6197" w14:paraId="462526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243DE8EF"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2 (680/75/45)</w:t>
            </w:r>
          </w:p>
        </w:tc>
        <w:tc>
          <w:tcPr>
            <w:tcW w:w="24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61DD42A"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CONDITIONAL 78%</w:t>
            </w:r>
          </w:p>
        </w:tc>
        <w:tc>
          <w:tcPr>
            <w:tcW w:w="248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71614A1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APPROVE WITH CONDITIONS MEDIUM</w:t>
            </w:r>
          </w:p>
        </w:tc>
        <w:tc>
          <w:tcPr>
            <w:tcW w:w="20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vAlign w:val="center"/>
          </w:tcPr>
          <w:p w14:paraId="3C633CE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 xml:space="preserve">1.0 </w:t>
            </w:r>
            <w:r w:rsidRPr="00CB6197">
              <w:rPr>
                <w:rFonts w:ascii="Segoe UI Symbol" w:hAnsi="Segoe UI Symbol" w:cs="Segoe UI Symbol"/>
                <w:sz w:val="20"/>
                <w:szCs w:val="20"/>
              </w:rPr>
              <w:t>✓</w:t>
            </w:r>
          </w:p>
        </w:tc>
      </w:tr>
      <w:tr w:rsidR="00007781" w:rsidRPr="00CB6197" w14:paraId="76837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CB412"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Bad (480/92/55)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4CF90"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NOT_APPROVED 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B838D"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DECLINE 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2B9EC" w14:textId="77777777" w:rsidR="00007781" w:rsidRPr="00CB6197" w:rsidRDefault="00000000">
            <w:pPr>
              <w:rPr>
                <w:rFonts w:ascii="Times New Roman" w:hAnsi="Times New Roman" w:cs="Times New Roman"/>
              </w:rPr>
            </w:pPr>
            <w:r w:rsidRPr="00CB6197">
              <w:rPr>
                <w:rFonts w:ascii="Times New Roman" w:hAnsi="Times New Roman" w:cs="Times New Roman"/>
                <w:sz w:val="20"/>
                <w:szCs w:val="20"/>
              </w:rPr>
              <w:t xml:space="preserve">~1.0 </w:t>
            </w:r>
            <w:r w:rsidRPr="00CB6197">
              <w:rPr>
                <w:rFonts w:ascii="Segoe UI Symbol" w:hAnsi="Segoe UI Symbol" w:cs="Segoe UI Symbol"/>
                <w:sz w:val="20"/>
                <w:szCs w:val="20"/>
              </w:rPr>
              <w:t>✓</w:t>
            </w:r>
          </w:p>
        </w:tc>
      </w:tr>
    </w:tbl>
    <w:p w14:paraId="2D55F924" w14:textId="77777777" w:rsidR="00007781" w:rsidRPr="00CB6197" w:rsidRDefault="00007781">
      <w:pPr>
        <w:spacing w:before="160"/>
        <w:rPr>
          <w:rFonts w:ascii="Times New Roman" w:hAnsi="Times New Roman" w:cs="Times New Roman"/>
        </w:rPr>
      </w:pPr>
    </w:p>
    <w:p w14:paraId="5643ABD3" w14:textId="77777777" w:rsidR="00007781" w:rsidRPr="00CB6197" w:rsidRDefault="00000000">
      <w:pPr>
        <w:pStyle w:val="Heading2"/>
        <w:rPr>
          <w:rFonts w:ascii="Times New Roman" w:hAnsi="Times New Roman" w:cs="Times New Roman"/>
        </w:rPr>
      </w:pPr>
      <w:r w:rsidRPr="00CB6197">
        <w:rPr>
          <w:rFonts w:ascii="Times New Roman" w:hAnsi="Times New Roman" w:cs="Times New Roman"/>
        </w:rPr>
        <w:t>4.3 Future Work</w:t>
      </w:r>
    </w:p>
    <w:p w14:paraId="7D239E02"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Production deployment with Docker, authentication middleware, and rate limiting.</w:t>
      </w:r>
    </w:p>
    <w:p w14:paraId="5A71A331"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Database integration (SQLite already present as creditpath.db) for storing and auditing all predictions for regulatory compliance.</w:t>
      </w:r>
    </w:p>
    <w:p w14:paraId="548E815D"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Live INR/USD exchange rate via an external API instead of a fixed 83.0 rate.</w:t>
      </w:r>
    </w:p>
    <w:p w14:paraId="7A05C292"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SHAP explainability integration to visualise feature contributions per prediction.</w:t>
      </w:r>
    </w:p>
    <w:p w14:paraId="4A06498F"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Mobile-responsive frontend design for broader accessibility.</w:t>
      </w:r>
    </w:p>
    <w:p w14:paraId="6E40C9CA" w14:textId="77777777" w:rsidR="00007781" w:rsidRPr="00CB6197" w:rsidRDefault="00000000">
      <w:pPr>
        <w:pStyle w:val="ListParagraph"/>
        <w:numPr>
          <w:ilvl w:val="0"/>
          <w:numId w:val="2"/>
        </w:numPr>
        <w:spacing w:before="40" w:after="40"/>
        <w:rPr>
          <w:rFonts w:ascii="Times New Roman" w:hAnsi="Times New Roman" w:cs="Times New Roman"/>
        </w:rPr>
      </w:pPr>
      <w:r w:rsidRPr="00CB6197">
        <w:rPr>
          <w:rFonts w:ascii="Times New Roman" w:hAnsi="Times New Roman" w:cs="Times New Roman"/>
        </w:rPr>
        <w:t>Model retraining pipeline with updated data to correct property_value feature mismatch.</w:t>
      </w:r>
    </w:p>
    <w:p w14:paraId="468A383A"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3F9BEE00"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5. Conclusion</w:t>
      </w:r>
    </w:p>
    <w:p w14:paraId="5C06432D"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CreditPath AI successfully demonstrates the application of machine learning to the loan risk assessment domain through a complete, full-stack implementation. By training an XGBoost classifier on historical loan data and wrapping it in a FastAPI backend with a React + Vite frontend, the system delivers real-time, role-specific recommendations to both banks and loan applicants.</w:t>
      </w:r>
    </w:p>
    <w:p w14:paraId="774BF2A1"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dual-perspective design is a key differentiator — rather than simply outputting a binary approve/decline decision, the system provides banks with structured recovery strategies and provides applicants with transparent, actionable feedback to improve their financial profile. This approach aligns with modern principles of responsible and explainable AI in financial services.</w:t>
      </w:r>
    </w:p>
    <w:p w14:paraId="37A81029"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rule-based override layer, which corrects ML model output for clearly bad and borderline borrowers, ensures robust and correct classification across all test profiles — Good (APPROVED 95.7%), Conditional (CONDITIONAL 78%), and Bad (NOT_APPROVED 5%). Both the applicant and bank endpoints return consistent probabilities that sum to 1.0, confirming end-to-end pipeline correctness.</w:t>
      </w:r>
    </w:p>
    <w:p w14:paraId="4580D088"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The frontend was refined to replace native alert() calls with inline error banners, adopt Playfair Display typography for portal headings, and correctly display all three eligibility states (APPROVED, CONDITIONAL, NOT_APPROVED) with appropriate colour coding and timelines.</w:t>
      </w:r>
    </w:p>
    <w:p w14:paraId="79CCD0DD" w14:textId="77777777" w:rsidR="00007781" w:rsidRPr="00CB6197" w:rsidRDefault="00000000">
      <w:pPr>
        <w:spacing w:before="60" w:after="60"/>
        <w:jc w:val="both"/>
        <w:rPr>
          <w:rFonts w:ascii="Times New Roman" w:hAnsi="Times New Roman" w:cs="Times New Roman"/>
        </w:rPr>
      </w:pPr>
      <w:r w:rsidRPr="00CB6197">
        <w:rPr>
          <w:rFonts w:ascii="Times New Roman" w:hAnsi="Times New Roman" w:cs="Times New Roman"/>
        </w:rPr>
        <w:t>Overall, CreditPath AI serves as a strong foundation for a production-grade credit risk platform. With planned enhancements such as live exchange rates, SHAP explainability, Docker-based deployment, and database-backed audit logging, the system has clear pathways to becoming a fully production-ready financial intelligence tool.</w:t>
      </w:r>
    </w:p>
    <w:p w14:paraId="417597DC" w14:textId="77777777" w:rsidR="00007781" w:rsidRPr="00CB6197" w:rsidRDefault="00000000">
      <w:pPr>
        <w:spacing w:before="160" w:after="160"/>
        <w:jc w:val="both"/>
        <w:rPr>
          <w:rFonts w:ascii="Times New Roman" w:hAnsi="Times New Roman" w:cs="Times New Roman"/>
        </w:rPr>
      </w:pPr>
      <w:r w:rsidRPr="00CB6197">
        <w:rPr>
          <w:rFonts w:ascii="Times New Roman" w:hAnsi="Times New Roman" w:cs="Times New Roman"/>
          <w:i/>
          <w:iCs/>
          <w:color w:val="5A6F94"/>
        </w:rPr>
        <w:t>This project demonstrates proficiency in machine learning, full-stack web development, and applied AI system design — integrating data science with software engineering to solve a real-world financial problem.</w:t>
      </w:r>
    </w:p>
    <w:p w14:paraId="574FAA36" w14:textId="77777777" w:rsidR="00007781" w:rsidRPr="00CB6197" w:rsidRDefault="00000000">
      <w:pPr>
        <w:rPr>
          <w:rFonts w:ascii="Times New Roman" w:hAnsi="Times New Roman" w:cs="Times New Roman"/>
        </w:rPr>
      </w:pPr>
      <w:r w:rsidRPr="00CB6197">
        <w:rPr>
          <w:rFonts w:ascii="Times New Roman" w:hAnsi="Times New Roman" w:cs="Times New Roman"/>
        </w:rPr>
        <w:br w:type="page"/>
      </w:r>
    </w:p>
    <w:p w14:paraId="2641CAE9" w14:textId="77777777" w:rsidR="00007781" w:rsidRPr="00CB6197" w:rsidRDefault="00000000">
      <w:pPr>
        <w:pStyle w:val="Heading1"/>
        <w:pBdr>
          <w:bottom w:val="single" w:sz="6" w:space="1" w:color="2E4B8A"/>
        </w:pBdr>
        <w:rPr>
          <w:rFonts w:ascii="Times New Roman" w:hAnsi="Times New Roman" w:cs="Times New Roman"/>
        </w:rPr>
      </w:pPr>
      <w:r w:rsidRPr="00CB6197">
        <w:rPr>
          <w:rFonts w:ascii="Times New Roman" w:hAnsi="Times New Roman" w:cs="Times New Roman"/>
        </w:rPr>
        <w:lastRenderedPageBreak/>
        <w:t>References</w:t>
      </w:r>
    </w:p>
    <w:p w14:paraId="451218B2"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[1]  Chen, T., &amp; Guestrin, C. (2016). XGBoost: A Scalable Tree Boosting System. Proceedings of the 22nd ACM SIGKDD International Conference on Knowledge Discovery and Data Mining.</w:t>
      </w:r>
    </w:p>
    <w:p w14:paraId="624A4C83"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[2]  FastAPI Documentation. (2024). FastAPI — Modern, fast (high-performance) web framework for building APIs with Python. https://fastapi.tiangolo.com</w:t>
      </w:r>
    </w:p>
    <w:p w14:paraId="5766345A"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[3]  React Documentation. (2024). React — A JavaScript library for building user interfaces. https://react.dev</w:t>
      </w:r>
    </w:p>
    <w:p w14:paraId="06F336B8"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[4]  Plotly Technologies Inc. (2024). Plotly JavaScript Open Source Graphing Library. https://plotly.com/javascript/</w:t>
      </w:r>
    </w:p>
    <w:p w14:paraId="3B86D20A"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[5]  Vite Documentation. (2024). Vite — Next Generation Frontend Tooling. https://vitejs.dev</w:t>
      </w:r>
    </w:p>
    <w:p w14:paraId="3E348F04"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[6]  Loan_Default.csv — Historical loan application dataset used for model training and evaluation.</w:t>
      </w:r>
    </w:p>
    <w:p w14:paraId="015F6DF0" w14:textId="77777777" w:rsidR="00007781" w:rsidRPr="00CB6197" w:rsidRDefault="00000000">
      <w:pPr>
        <w:spacing w:before="80" w:after="80"/>
        <w:ind w:left="360" w:hanging="360"/>
        <w:rPr>
          <w:rFonts w:ascii="Times New Roman" w:hAnsi="Times New Roman" w:cs="Times New Roman"/>
        </w:rPr>
      </w:pPr>
      <w:r w:rsidRPr="00CB6197">
        <w:rPr>
          <w:rFonts w:ascii="Times New Roman" w:hAnsi="Times New Roman" w:cs="Times New Roman"/>
          <w:sz w:val="20"/>
          <w:szCs w:val="20"/>
        </w:rPr>
        <w:t>[7]  Infosys Springboard. (2024). Project Guidelines and Submission Requirements.</w:t>
      </w:r>
    </w:p>
    <w:sectPr w:rsidR="00007781" w:rsidRPr="00CB619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DAB9" w14:textId="77777777" w:rsidR="009040EA" w:rsidRDefault="009040EA">
      <w:r>
        <w:separator/>
      </w:r>
    </w:p>
  </w:endnote>
  <w:endnote w:type="continuationSeparator" w:id="0">
    <w:p w14:paraId="079FE01F" w14:textId="77777777" w:rsidR="009040EA" w:rsidRDefault="0090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D225" w14:textId="77777777" w:rsidR="00007781" w:rsidRDefault="00000000">
    <w:pPr>
      <w:pBdr>
        <w:top w:val="single" w:sz="4" w:space="1" w:color="CCCCCC"/>
      </w:pBdr>
      <w:jc w:val="center"/>
    </w:pPr>
    <w:r>
      <w:rPr>
        <w:color w:val="5A6F94"/>
        <w:sz w:val="18"/>
        <w:szCs w:val="18"/>
      </w:rPr>
      <w:t xml:space="preserve">Submitted to Infosys Springboard  |  Sanjeeva Reddy Gari YAMINI  |  Page </w:t>
    </w:r>
    <w:r>
      <w:rPr>
        <w:color w:val="5A6F94"/>
        <w:sz w:val="18"/>
        <w:szCs w:val="18"/>
      </w:rPr>
      <w:fldChar w:fldCharType="begin"/>
    </w:r>
    <w:r>
      <w:rPr>
        <w:color w:val="5A6F94"/>
        <w:sz w:val="18"/>
        <w:szCs w:val="18"/>
      </w:rPr>
      <w:instrText>PAGE</w:instrText>
    </w:r>
    <w:r>
      <w:rPr>
        <w:color w:val="5A6F94"/>
        <w:sz w:val="18"/>
        <w:szCs w:val="18"/>
      </w:rPr>
      <w:fldChar w:fldCharType="separate"/>
    </w:r>
    <w:r w:rsidR="00CB6197">
      <w:rPr>
        <w:noProof/>
        <w:color w:val="5A6F94"/>
        <w:sz w:val="18"/>
        <w:szCs w:val="18"/>
      </w:rPr>
      <w:t>1</w:t>
    </w:r>
    <w:r>
      <w:rPr>
        <w:color w:val="5A6F9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D60F" w14:textId="77777777" w:rsidR="009040EA" w:rsidRDefault="009040EA">
      <w:r>
        <w:separator/>
      </w:r>
    </w:p>
  </w:footnote>
  <w:footnote w:type="continuationSeparator" w:id="0">
    <w:p w14:paraId="62710591" w14:textId="77777777" w:rsidR="009040EA" w:rsidRDefault="00904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0033" w14:textId="77777777" w:rsidR="00007781" w:rsidRDefault="00000000">
    <w:pPr>
      <w:pBdr>
        <w:bottom w:val="single" w:sz="4" w:space="1" w:color="CCCCCC"/>
      </w:pBdr>
      <w:jc w:val="right"/>
    </w:pPr>
    <w:r>
      <w:rPr>
        <w:i/>
        <w:iCs/>
        <w:color w:val="5A6F94"/>
        <w:sz w:val="18"/>
        <w:szCs w:val="18"/>
      </w:rPr>
      <w:t>CreditPath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14257"/>
    <w:multiLevelType w:val="hybridMultilevel"/>
    <w:tmpl w:val="9FDA1594"/>
    <w:lvl w:ilvl="0" w:tplc="1E9CC7B0">
      <w:start w:val="1"/>
      <w:numFmt w:val="bullet"/>
      <w:lvlText w:val="•"/>
      <w:lvlJc w:val="left"/>
      <w:pPr>
        <w:ind w:left="720" w:hanging="360"/>
      </w:pPr>
    </w:lvl>
    <w:lvl w:ilvl="1" w:tplc="690EA2E8">
      <w:numFmt w:val="decimal"/>
      <w:lvlText w:val=""/>
      <w:lvlJc w:val="left"/>
    </w:lvl>
    <w:lvl w:ilvl="2" w:tplc="0CA68720">
      <w:numFmt w:val="decimal"/>
      <w:lvlText w:val=""/>
      <w:lvlJc w:val="left"/>
    </w:lvl>
    <w:lvl w:ilvl="3" w:tplc="5BA06F0C">
      <w:numFmt w:val="decimal"/>
      <w:lvlText w:val=""/>
      <w:lvlJc w:val="left"/>
    </w:lvl>
    <w:lvl w:ilvl="4" w:tplc="9F225F2E">
      <w:numFmt w:val="decimal"/>
      <w:lvlText w:val=""/>
      <w:lvlJc w:val="left"/>
    </w:lvl>
    <w:lvl w:ilvl="5" w:tplc="D5B29490">
      <w:numFmt w:val="decimal"/>
      <w:lvlText w:val=""/>
      <w:lvlJc w:val="left"/>
    </w:lvl>
    <w:lvl w:ilvl="6" w:tplc="018C99CC">
      <w:numFmt w:val="decimal"/>
      <w:lvlText w:val=""/>
      <w:lvlJc w:val="left"/>
    </w:lvl>
    <w:lvl w:ilvl="7" w:tplc="9EB0660E">
      <w:numFmt w:val="decimal"/>
      <w:lvlText w:val=""/>
      <w:lvlJc w:val="left"/>
    </w:lvl>
    <w:lvl w:ilvl="8" w:tplc="A686E22A">
      <w:numFmt w:val="decimal"/>
      <w:lvlText w:val=""/>
      <w:lvlJc w:val="left"/>
    </w:lvl>
  </w:abstractNum>
  <w:abstractNum w:abstractNumId="1" w15:restartNumberingAfterBreak="0">
    <w:nsid w:val="7E63791B"/>
    <w:multiLevelType w:val="hybridMultilevel"/>
    <w:tmpl w:val="CA8ABEB2"/>
    <w:lvl w:ilvl="0" w:tplc="2418EED0">
      <w:start w:val="1"/>
      <w:numFmt w:val="bullet"/>
      <w:lvlText w:val="●"/>
      <w:lvlJc w:val="left"/>
      <w:pPr>
        <w:ind w:left="720" w:hanging="360"/>
      </w:pPr>
    </w:lvl>
    <w:lvl w:ilvl="1" w:tplc="5EA68340">
      <w:start w:val="1"/>
      <w:numFmt w:val="bullet"/>
      <w:lvlText w:val="○"/>
      <w:lvlJc w:val="left"/>
      <w:pPr>
        <w:ind w:left="1440" w:hanging="360"/>
      </w:pPr>
    </w:lvl>
    <w:lvl w:ilvl="2" w:tplc="95FE9AD2">
      <w:start w:val="1"/>
      <w:numFmt w:val="bullet"/>
      <w:lvlText w:val="■"/>
      <w:lvlJc w:val="left"/>
      <w:pPr>
        <w:ind w:left="2160" w:hanging="360"/>
      </w:pPr>
    </w:lvl>
    <w:lvl w:ilvl="3" w:tplc="CEE6DAE8">
      <w:start w:val="1"/>
      <w:numFmt w:val="bullet"/>
      <w:lvlText w:val="●"/>
      <w:lvlJc w:val="left"/>
      <w:pPr>
        <w:ind w:left="2880" w:hanging="360"/>
      </w:pPr>
    </w:lvl>
    <w:lvl w:ilvl="4" w:tplc="ACE0815A">
      <w:start w:val="1"/>
      <w:numFmt w:val="bullet"/>
      <w:lvlText w:val="○"/>
      <w:lvlJc w:val="left"/>
      <w:pPr>
        <w:ind w:left="3600" w:hanging="360"/>
      </w:pPr>
    </w:lvl>
    <w:lvl w:ilvl="5" w:tplc="FB4EA066">
      <w:start w:val="1"/>
      <w:numFmt w:val="bullet"/>
      <w:lvlText w:val="■"/>
      <w:lvlJc w:val="left"/>
      <w:pPr>
        <w:ind w:left="4320" w:hanging="360"/>
      </w:pPr>
    </w:lvl>
    <w:lvl w:ilvl="6" w:tplc="FA762C60">
      <w:start w:val="1"/>
      <w:numFmt w:val="bullet"/>
      <w:lvlText w:val="●"/>
      <w:lvlJc w:val="left"/>
      <w:pPr>
        <w:ind w:left="5040" w:hanging="360"/>
      </w:pPr>
    </w:lvl>
    <w:lvl w:ilvl="7" w:tplc="E2CC2D5C">
      <w:start w:val="1"/>
      <w:numFmt w:val="bullet"/>
      <w:lvlText w:val="●"/>
      <w:lvlJc w:val="left"/>
      <w:pPr>
        <w:ind w:left="5760" w:hanging="360"/>
      </w:pPr>
    </w:lvl>
    <w:lvl w:ilvl="8" w:tplc="9496C43E">
      <w:start w:val="1"/>
      <w:numFmt w:val="bullet"/>
      <w:lvlText w:val="●"/>
      <w:lvlJc w:val="left"/>
      <w:pPr>
        <w:ind w:left="6480" w:hanging="360"/>
      </w:pPr>
    </w:lvl>
  </w:abstractNum>
  <w:num w:numId="1" w16cid:durableId="938026475">
    <w:abstractNumId w:val="1"/>
    <w:lvlOverride w:ilvl="0">
      <w:startOverride w:val="1"/>
    </w:lvlOverride>
  </w:num>
  <w:num w:numId="2" w16cid:durableId="204566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781"/>
    <w:rsid w:val="00007781"/>
    <w:rsid w:val="009040EA"/>
    <w:rsid w:val="00CB6197"/>
    <w:rsid w:val="00CF7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E802"/>
  <w15:docId w15:val="{45D836EF-C39D-4BF4-AFA4-16F44C82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6E"/>
      <w:sz w:val="32"/>
      <w:szCs w:val="32"/>
    </w:rPr>
  </w:style>
  <w:style w:type="paragraph" w:styleId="Heading2">
    <w:name w:val="heading 2"/>
    <w:uiPriority w:val="9"/>
    <w:unhideWhenUsed/>
    <w:qFormat/>
    <w:pPr>
      <w:spacing w:before="240" w:after="120"/>
      <w:outlineLvl w:val="1"/>
    </w:pPr>
    <w:rPr>
      <w:b/>
      <w:bCs/>
      <w:color w:val="2E4B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2551</Words>
  <Characters>14542</Characters>
  <Application>Microsoft Office Word</Application>
  <DocSecurity>0</DocSecurity>
  <Lines>121</Lines>
  <Paragraphs>34</Paragraphs>
  <ScaleCrop>false</ScaleCrop>
  <Company/>
  <LinksUpToDate>false</LinksUpToDate>
  <CharactersWithSpaces>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yamini s</cp:lastModifiedBy>
  <cp:revision>2</cp:revision>
  <dcterms:created xsi:type="dcterms:W3CDTF">2026-04-02T05:27:00Z</dcterms:created>
  <dcterms:modified xsi:type="dcterms:W3CDTF">2026-04-02T05:32:00Z</dcterms:modified>
</cp:coreProperties>
</file>