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MODULE 7 – QA CHECKLIST</w:t>
      </w:r>
    </w:p>
    <w:p>
      <w:pPr>
        <w:jc w:val="center"/>
      </w:pPr>
      <w:r>
        <w:rPr>
          <w:b/>
          <w:sz w:val="21"/>
        </w:rPr>
        <w:t>MedTrack_DV – Hospital Operations &amp; Patient Analytics Dashboard</w:t>
      </w:r>
    </w:p>
    <w:p>
      <w:r>
        <w:rPr>
          <w:b/>
        </w:rPr>
        <w:t>7.1 Objective</w:t>
      </w:r>
    </w:p>
    <w:p>
      <w:r>
        <w:t>The QA Checklist verifies that the MedTrack_DV dashboard meets the Module 7 testing objectives: validate KPI calculations, verify healthcare metrics, test dashboard interactions, and validate patient-flow analytics. The project specification requires no major dashboard issues and KPI accuracy above 95%.</w:t>
      </w:r>
    </w:p>
    <w:p>
      <w:r>
        <w:rPr>
          <w:b/>
        </w:rPr>
        <w:t>7.2 QA Scope</w:t>
      </w:r>
    </w:p>
    <w:p>
      <w:r>
        <w:t>Testing covers the four dashboard areas: Hospital Overview, Patient Flow, Department Analytics, and Resource Utilization. The checklist also covers filters, KPI cards, charts, department comparisons, patient-flow views, and resource-utilization visuals.</w:t>
      </w:r>
    </w:p>
    <w:p>
      <w:r>
        <w:rPr>
          <w:b/>
        </w:rPr>
        <w:t>7.3 KPI Validation Checklist</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9EAF7"/>
          </w:tcPr>
          <w:p>
            <w:r>
              <w:rPr>
                <w:b/>
                <w:sz w:val="17"/>
              </w:rPr>
              <w:t>Test ID</w:t>
            </w:r>
          </w:p>
        </w:tc>
        <w:tc>
          <w:tcPr>
            <w:tcW w:type="dxa" w:w="2074"/>
            <w:shd w:fill="D9EAF7"/>
          </w:tcPr>
          <w:p>
            <w:r>
              <w:rPr>
                <w:b/>
                <w:sz w:val="17"/>
              </w:rPr>
              <w:t>Test Area</w:t>
            </w:r>
          </w:p>
        </w:tc>
        <w:tc>
          <w:tcPr>
            <w:tcW w:type="dxa" w:w="2074"/>
            <w:shd w:fill="D9EAF7"/>
          </w:tcPr>
          <w:p>
            <w:r>
              <w:rPr>
                <w:b/>
                <w:sz w:val="17"/>
              </w:rPr>
              <w:t>Validation Check</w:t>
            </w:r>
          </w:p>
        </w:tc>
        <w:tc>
          <w:tcPr>
            <w:tcW w:type="dxa" w:w="2074"/>
            <w:shd w:fill="D9EAF7"/>
          </w:tcPr>
          <w:p>
            <w:r>
              <w:rPr>
                <w:b/>
                <w:sz w:val="17"/>
              </w:rPr>
              <w:t>Expected / Observed</w:t>
            </w:r>
          </w:p>
        </w:tc>
        <w:tc>
          <w:tcPr>
            <w:tcW w:type="dxa" w:w="2074"/>
            <w:shd w:fill="D9EAF7"/>
          </w:tcPr>
          <w:p>
            <w:r>
              <w:rPr>
                <w:b/>
                <w:sz w:val="17"/>
              </w:rPr>
              <w:t>Status</w:t>
            </w:r>
          </w:p>
        </w:tc>
      </w:tr>
      <w:tr>
        <w:tc>
          <w:tcPr>
            <w:tcW w:type="dxa" w:w="2074"/>
            <w:vAlign w:val="center"/>
          </w:tcPr>
          <w:p>
            <w:r>
              <w:rPr>
                <w:sz w:val="16"/>
              </w:rPr>
              <w:t>QA-01</w:t>
            </w:r>
          </w:p>
        </w:tc>
        <w:tc>
          <w:tcPr>
            <w:tcW w:type="dxa" w:w="2074"/>
            <w:vAlign w:val="center"/>
          </w:tcPr>
          <w:p>
            <w:r>
              <w:rPr>
                <w:sz w:val="16"/>
              </w:rPr>
              <w:t>Total Admissions</w:t>
            </w:r>
          </w:p>
        </w:tc>
        <w:tc>
          <w:tcPr>
            <w:tcW w:type="dxa" w:w="2074"/>
            <w:vAlign w:val="center"/>
          </w:tcPr>
          <w:p>
            <w:r>
              <w:rPr>
                <w:sz w:val="16"/>
              </w:rPr>
              <w:t>Verify admissions KPI</w:t>
            </w:r>
          </w:p>
        </w:tc>
        <w:tc>
          <w:tcPr>
            <w:tcW w:type="dxa" w:w="2074"/>
            <w:vAlign w:val="center"/>
          </w:tcPr>
          <w:p>
            <w:r>
              <w:rPr>
                <w:sz w:val="16"/>
              </w:rPr>
              <w:t>1000</w:t>
            </w:r>
          </w:p>
        </w:tc>
        <w:tc>
          <w:tcPr>
            <w:tcW w:type="dxa" w:w="2074"/>
            <w:vAlign w:val="center"/>
          </w:tcPr>
          <w:p>
            <w:r>
              <w:rPr>
                <w:sz w:val="16"/>
              </w:rPr>
              <w:t>PASS</w:t>
            </w:r>
          </w:p>
        </w:tc>
      </w:tr>
      <w:tr>
        <w:tc>
          <w:tcPr>
            <w:tcW w:type="dxa" w:w="2074"/>
            <w:vAlign w:val="center"/>
          </w:tcPr>
          <w:p>
            <w:r>
              <w:rPr>
                <w:sz w:val="16"/>
              </w:rPr>
              <w:t>QA-02</w:t>
            </w:r>
          </w:p>
        </w:tc>
        <w:tc>
          <w:tcPr>
            <w:tcW w:type="dxa" w:w="2074"/>
            <w:vAlign w:val="center"/>
          </w:tcPr>
          <w:p>
            <w:r>
              <w:rPr>
                <w:sz w:val="16"/>
              </w:rPr>
              <w:t>Average LOS</w:t>
            </w:r>
          </w:p>
        </w:tc>
        <w:tc>
          <w:tcPr>
            <w:tcW w:type="dxa" w:w="2074"/>
            <w:vAlign w:val="center"/>
          </w:tcPr>
          <w:p>
            <w:r>
              <w:rPr>
                <w:sz w:val="16"/>
              </w:rPr>
              <w:t>Verify average stay</w:t>
            </w:r>
          </w:p>
        </w:tc>
        <w:tc>
          <w:tcPr>
            <w:tcW w:type="dxa" w:w="2074"/>
            <w:vAlign w:val="center"/>
          </w:tcPr>
          <w:p>
            <w:r>
              <w:rPr>
                <w:sz w:val="16"/>
              </w:rPr>
              <w:t>4.00 days</w:t>
            </w:r>
          </w:p>
        </w:tc>
        <w:tc>
          <w:tcPr>
            <w:tcW w:type="dxa" w:w="2074"/>
            <w:vAlign w:val="center"/>
          </w:tcPr>
          <w:p>
            <w:r>
              <w:rPr>
                <w:sz w:val="16"/>
              </w:rPr>
              <w:t>PASS</w:t>
            </w:r>
          </w:p>
        </w:tc>
      </w:tr>
      <w:tr>
        <w:tc>
          <w:tcPr>
            <w:tcW w:type="dxa" w:w="2074"/>
            <w:vAlign w:val="center"/>
          </w:tcPr>
          <w:p>
            <w:r>
              <w:rPr>
                <w:sz w:val="16"/>
              </w:rPr>
              <w:t>QA-03</w:t>
            </w:r>
          </w:p>
        </w:tc>
        <w:tc>
          <w:tcPr>
            <w:tcW w:type="dxa" w:w="2074"/>
            <w:vAlign w:val="center"/>
          </w:tcPr>
          <w:p>
            <w:r>
              <w:rPr>
                <w:sz w:val="16"/>
              </w:rPr>
              <w:t>Readmission Rate</w:t>
            </w:r>
          </w:p>
        </w:tc>
        <w:tc>
          <w:tcPr>
            <w:tcW w:type="dxa" w:w="2074"/>
            <w:vAlign w:val="center"/>
          </w:tcPr>
          <w:p>
            <w:r>
              <w:rPr>
                <w:sz w:val="16"/>
              </w:rPr>
              <w:t>Verify readmission KPI</w:t>
            </w:r>
          </w:p>
        </w:tc>
        <w:tc>
          <w:tcPr>
            <w:tcW w:type="dxa" w:w="2074"/>
            <w:vAlign w:val="center"/>
          </w:tcPr>
          <w:p>
            <w:r>
              <w:rPr>
                <w:sz w:val="16"/>
              </w:rPr>
              <w:t>0.00%</w:t>
            </w:r>
          </w:p>
        </w:tc>
        <w:tc>
          <w:tcPr>
            <w:tcW w:type="dxa" w:w="2074"/>
            <w:vAlign w:val="center"/>
          </w:tcPr>
          <w:p>
            <w:r>
              <w:rPr>
                <w:sz w:val="16"/>
              </w:rPr>
              <w:t>PASS</w:t>
            </w:r>
          </w:p>
        </w:tc>
      </w:tr>
      <w:tr>
        <w:tc>
          <w:tcPr>
            <w:tcW w:type="dxa" w:w="2074"/>
            <w:vAlign w:val="center"/>
          </w:tcPr>
          <w:p>
            <w:r>
              <w:rPr>
                <w:sz w:val="16"/>
              </w:rPr>
              <w:t>QA-04</w:t>
            </w:r>
          </w:p>
        </w:tc>
        <w:tc>
          <w:tcPr>
            <w:tcW w:type="dxa" w:w="2074"/>
            <w:vAlign w:val="center"/>
          </w:tcPr>
          <w:p>
            <w:r>
              <w:rPr>
                <w:sz w:val="16"/>
              </w:rPr>
              <w:t>Occupancy Rate</w:t>
            </w:r>
          </w:p>
        </w:tc>
        <w:tc>
          <w:tcPr>
            <w:tcW w:type="dxa" w:w="2074"/>
            <w:vAlign w:val="center"/>
          </w:tcPr>
          <w:p>
            <w:r>
              <w:rPr>
                <w:sz w:val="16"/>
              </w:rPr>
              <w:t>Verify occupancy KPI</w:t>
            </w:r>
          </w:p>
        </w:tc>
        <w:tc>
          <w:tcPr>
            <w:tcW w:type="dxa" w:w="2074"/>
            <w:vAlign w:val="center"/>
          </w:tcPr>
          <w:p>
            <w:r>
              <w:rPr>
                <w:sz w:val="16"/>
              </w:rPr>
              <w:t>15.99%</w:t>
            </w:r>
          </w:p>
        </w:tc>
        <w:tc>
          <w:tcPr>
            <w:tcW w:type="dxa" w:w="2074"/>
            <w:vAlign w:val="center"/>
          </w:tcPr>
          <w:p>
            <w:r>
              <w:rPr>
                <w:sz w:val="16"/>
              </w:rPr>
              <w:t>PASS</w:t>
            </w:r>
          </w:p>
        </w:tc>
      </w:tr>
      <w:tr>
        <w:tc>
          <w:tcPr>
            <w:tcW w:type="dxa" w:w="2074"/>
            <w:vAlign w:val="center"/>
          </w:tcPr>
          <w:p>
            <w:r>
              <w:rPr>
                <w:sz w:val="16"/>
              </w:rPr>
              <w:t>QA-05</w:t>
            </w:r>
          </w:p>
        </w:tc>
        <w:tc>
          <w:tcPr>
            <w:tcW w:type="dxa" w:w="2074"/>
            <w:vAlign w:val="center"/>
          </w:tcPr>
          <w:p>
            <w:r>
              <w:rPr>
                <w:sz w:val="16"/>
              </w:rPr>
              <w:t>Bed Utilization</w:t>
            </w:r>
          </w:p>
        </w:tc>
        <w:tc>
          <w:tcPr>
            <w:tcW w:type="dxa" w:w="2074"/>
            <w:vAlign w:val="center"/>
          </w:tcPr>
          <w:p>
            <w:r>
              <w:rPr>
                <w:sz w:val="16"/>
              </w:rPr>
              <w:t>Verify utilization KPI</w:t>
            </w:r>
          </w:p>
        </w:tc>
        <w:tc>
          <w:tcPr>
            <w:tcW w:type="dxa" w:w="2074"/>
            <w:vAlign w:val="center"/>
          </w:tcPr>
          <w:p>
            <w:r>
              <w:rPr>
                <w:sz w:val="16"/>
              </w:rPr>
              <w:t>79.94%</w:t>
            </w:r>
          </w:p>
        </w:tc>
        <w:tc>
          <w:tcPr>
            <w:tcW w:type="dxa" w:w="2074"/>
            <w:vAlign w:val="center"/>
          </w:tcPr>
          <w:p>
            <w:r>
              <w:rPr>
                <w:sz w:val="16"/>
              </w:rPr>
              <w:t>PASS</w:t>
            </w:r>
          </w:p>
        </w:tc>
      </w:tr>
      <w:tr>
        <w:tc>
          <w:tcPr>
            <w:tcW w:type="dxa" w:w="2074"/>
            <w:vAlign w:val="center"/>
          </w:tcPr>
          <w:p>
            <w:r>
              <w:rPr>
                <w:sz w:val="16"/>
              </w:rPr>
              <w:t>QA-06</w:t>
            </w:r>
          </w:p>
        </w:tc>
        <w:tc>
          <w:tcPr>
            <w:tcW w:type="dxa" w:w="2074"/>
            <w:vAlign w:val="center"/>
          </w:tcPr>
          <w:p>
            <w:r>
              <w:rPr>
                <w:sz w:val="16"/>
              </w:rPr>
              <w:t>Department Efficiency</w:t>
            </w:r>
          </w:p>
        </w:tc>
        <w:tc>
          <w:tcPr>
            <w:tcW w:type="dxa" w:w="2074"/>
            <w:vAlign w:val="center"/>
          </w:tcPr>
          <w:p>
            <w:r>
              <w:rPr>
                <w:sz w:val="16"/>
              </w:rPr>
              <w:t>Verify efficiency KPI</w:t>
            </w:r>
          </w:p>
        </w:tc>
        <w:tc>
          <w:tcPr>
            <w:tcW w:type="dxa" w:w="2074"/>
            <w:vAlign w:val="center"/>
          </w:tcPr>
          <w:p>
            <w:r>
              <w:rPr>
                <w:sz w:val="16"/>
              </w:rPr>
              <w:t>96.53%</w:t>
            </w:r>
          </w:p>
        </w:tc>
        <w:tc>
          <w:tcPr>
            <w:tcW w:type="dxa" w:w="2074"/>
            <w:vAlign w:val="center"/>
          </w:tcPr>
          <w:p>
            <w:r>
              <w:rPr>
                <w:sz w:val="16"/>
              </w:rPr>
              <w:t>PASS</w:t>
            </w:r>
          </w:p>
        </w:tc>
      </w:tr>
      <w:tr>
        <w:tc>
          <w:tcPr>
            <w:tcW w:type="dxa" w:w="2074"/>
            <w:vAlign w:val="center"/>
          </w:tcPr>
          <w:p>
            <w:r>
              <w:rPr>
                <w:sz w:val="16"/>
              </w:rPr>
              <w:t>QA-07</w:t>
            </w:r>
          </w:p>
        </w:tc>
        <w:tc>
          <w:tcPr>
            <w:tcW w:type="dxa" w:w="2074"/>
            <w:vAlign w:val="center"/>
          </w:tcPr>
          <w:p>
            <w:r>
              <w:rPr>
                <w:sz w:val="16"/>
              </w:rPr>
              <w:t>Department Count</w:t>
            </w:r>
          </w:p>
        </w:tc>
        <w:tc>
          <w:tcPr>
            <w:tcW w:type="dxa" w:w="2074"/>
            <w:vAlign w:val="center"/>
          </w:tcPr>
          <w:p>
            <w:r>
              <w:rPr>
                <w:sz w:val="16"/>
              </w:rPr>
              <w:t>Verify departments shown</w:t>
            </w:r>
          </w:p>
        </w:tc>
        <w:tc>
          <w:tcPr>
            <w:tcW w:type="dxa" w:w="2074"/>
            <w:vAlign w:val="center"/>
          </w:tcPr>
          <w:p>
            <w:r>
              <w:rPr>
                <w:sz w:val="16"/>
              </w:rPr>
              <w:t>11</w:t>
            </w:r>
          </w:p>
        </w:tc>
        <w:tc>
          <w:tcPr>
            <w:tcW w:type="dxa" w:w="2074"/>
            <w:vAlign w:val="center"/>
          </w:tcPr>
          <w:p>
            <w:r>
              <w:rPr>
                <w:sz w:val="16"/>
              </w:rPr>
              <w:t>PASS</w:t>
            </w:r>
          </w:p>
        </w:tc>
      </w:tr>
      <w:tr>
        <w:tc>
          <w:tcPr>
            <w:tcW w:type="dxa" w:w="2074"/>
            <w:vAlign w:val="center"/>
          </w:tcPr>
          <w:p>
            <w:r>
              <w:rPr>
                <w:sz w:val="16"/>
              </w:rPr>
              <w:t>QA-08</w:t>
            </w:r>
          </w:p>
        </w:tc>
        <w:tc>
          <w:tcPr>
            <w:tcW w:type="dxa" w:w="2074"/>
            <w:vAlign w:val="center"/>
          </w:tcPr>
          <w:p>
            <w:r>
              <w:rPr>
                <w:sz w:val="16"/>
              </w:rPr>
              <w:t>Top Department</w:t>
            </w:r>
          </w:p>
        </w:tc>
        <w:tc>
          <w:tcPr>
            <w:tcW w:type="dxa" w:w="2074"/>
            <w:vAlign w:val="center"/>
          </w:tcPr>
          <w:p>
            <w:r>
              <w:rPr>
                <w:sz w:val="16"/>
              </w:rPr>
              <w:t>Verify top-performing department</w:t>
            </w:r>
          </w:p>
        </w:tc>
        <w:tc>
          <w:tcPr>
            <w:tcW w:type="dxa" w:w="2074"/>
            <w:vAlign w:val="center"/>
          </w:tcPr>
          <w:p>
            <w:r>
              <w:rPr>
                <w:sz w:val="16"/>
              </w:rPr>
              <w:t>Endocrinology</w:t>
            </w:r>
          </w:p>
        </w:tc>
        <w:tc>
          <w:tcPr>
            <w:tcW w:type="dxa" w:w="2074"/>
            <w:vAlign w:val="center"/>
          </w:tcPr>
          <w:p>
            <w:r>
              <w:rPr>
                <w:sz w:val="16"/>
              </w:rPr>
              <w:t>PASS</w:t>
            </w:r>
          </w:p>
        </w:tc>
      </w:tr>
    </w:tbl>
    <w:p>
      <w:r>
        <w:t>The dashboard source shows Total Admissions = 1000, Average Length of Stay = 4.00, Readmission Rate = 0.00, Occupancy Rate = 15.99, Bed Utilization = 79.94, and Department Efficiency = 96.53%. These values are used as the baseline for QA validation.</w:t>
      </w:r>
    </w:p>
    <w:p>
      <w:r>
        <w:br w:type="page"/>
      </w:r>
    </w:p>
    <w:p>
      <w:r>
        <w:rPr>
          <w:b/>
        </w:rPr>
        <w:t>7.4 Data &amp; Dashboard Validation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9EAF7"/>
          </w:tcPr>
          <w:p>
            <w:r>
              <w:rPr>
                <w:b/>
                <w:sz w:val="17"/>
              </w:rPr>
              <w:t>Test ID</w:t>
            </w:r>
          </w:p>
        </w:tc>
        <w:tc>
          <w:tcPr>
            <w:tcW w:type="dxa" w:w="2074"/>
            <w:shd w:fill="D9EAF7"/>
          </w:tcPr>
          <w:p>
            <w:r>
              <w:rPr>
                <w:b/>
                <w:sz w:val="17"/>
              </w:rPr>
              <w:t>Dashboard</w:t>
            </w:r>
          </w:p>
        </w:tc>
        <w:tc>
          <w:tcPr>
            <w:tcW w:type="dxa" w:w="2074"/>
            <w:shd w:fill="D9EAF7"/>
          </w:tcPr>
          <w:p>
            <w:r>
              <w:rPr>
                <w:b/>
                <w:sz w:val="17"/>
              </w:rPr>
              <w:t>Test Item</w:t>
            </w:r>
          </w:p>
        </w:tc>
        <w:tc>
          <w:tcPr>
            <w:tcW w:type="dxa" w:w="2074"/>
            <w:shd w:fill="D9EAF7"/>
          </w:tcPr>
          <w:p>
            <w:r>
              <w:rPr>
                <w:b/>
                <w:sz w:val="17"/>
              </w:rPr>
              <w:t>Expected Result</w:t>
            </w:r>
          </w:p>
        </w:tc>
        <w:tc>
          <w:tcPr>
            <w:tcW w:type="dxa" w:w="2074"/>
            <w:shd w:fill="D9EAF7"/>
          </w:tcPr>
          <w:p>
            <w:r>
              <w:rPr>
                <w:b/>
                <w:sz w:val="17"/>
              </w:rPr>
              <w:t>Status</w:t>
            </w:r>
          </w:p>
        </w:tc>
      </w:tr>
      <w:tr>
        <w:tc>
          <w:tcPr>
            <w:tcW w:type="dxa" w:w="2074"/>
            <w:vAlign w:val="center"/>
          </w:tcPr>
          <w:p>
            <w:r>
              <w:rPr>
                <w:sz w:val="16"/>
              </w:rPr>
              <w:t>QA-09</w:t>
            </w:r>
          </w:p>
        </w:tc>
        <w:tc>
          <w:tcPr>
            <w:tcW w:type="dxa" w:w="2074"/>
            <w:vAlign w:val="center"/>
          </w:tcPr>
          <w:p>
            <w:r>
              <w:rPr>
                <w:sz w:val="16"/>
              </w:rPr>
              <w:t>Hospital Overview</w:t>
            </w:r>
          </w:p>
        </w:tc>
        <w:tc>
          <w:tcPr>
            <w:tcW w:type="dxa" w:w="2074"/>
            <w:vAlign w:val="center"/>
          </w:tcPr>
          <w:p>
            <w:r>
              <w:rPr>
                <w:sz w:val="16"/>
              </w:rPr>
              <w:t>Admission-date filter</w:t>
            </w:r>
          </w:p>
        </w:tc>
        <w:tc>
          <w:tcPr>
            <w:tcW w:type="dxa" w:w="2074"/>
            <w:vAlign w:val="center"/>
          </w:tcPr>
          <w:p>
            <w:r>
              <w:rPr>
                <w:sz w:val="16"/>
              </w:rPr>
              <w:t>Filters respond correctly</w:t>
            </w:r>
          </w:p>
        </w:tc>
        <w:tc>
          <w:tcPr>
            <w:tcW w:type="dxa" w:w="2074"/>
            <w:vAlign w:val="center"/>
          </w:tcPr>
          <w:p>
            <w:r>
              <w:rPr>
                <w:sz w:val="16"/>
              </w:rPr>
              <w:t>PASS</w:t>
            </w:r>
          </w:p>
        </w:tc>
      </w:tr>
      <w:tr>
        <w:tc>
          <w:tcPr>
            <w:tcW w:type="dxa" w:w="2074"/>
            <w:vAlign w:val="center"/>
          </w:tcPr>
          <w:p>
            <w:r>
              <w:rPr>
                <w:sz w:val="16"/>
              </w:rPr>
              <w:t>QA-10</w:t>
            </w:r>
          </w:p>
        </w:tc>
        <w:tc>
          <w:tcPr>
            <w:tcW w:type="dxa" w:w="2074"/>
            <w:vAlign w:val="center"/>
          </w:tcPr>
          <w:p>
            <w:r>
              <w:rPr>
                <w:sz w:val="16"/>
              </w:rPr>
              <w:t>Hospital Overview</w:t>
            </w:r>
          </w:p>
        </w:tc>
        <w:tc>
          <w:tcPr>
            <w:tcW w:type="dxa" w:w="2074"/>
            <w:vAlign w:val="center"/>
          </w:tcPr>
          <w:p>
            <w:r>
              <w:rPr>
                <w:sz w:val="16"/>
              </w:rPr>
              <w:t>Department filter</w:t>
            </w:r>
          </w:p>
        </w:tc>
        <w:tc>
          <w:tcPr>
            <w:tcW w:type="dxa" w:w="2074"/>
            <w:vAlign w:val="center"/>
          </w:tcPr>
          <w:p>
            <w:r>
              <w:rPr>
                <w:sz w:val="16"/>
              </w:rPr>
              <w:t>Department views update</w:t>
            </w:r>
          </w:p>
        </w:tc>
        <w:tc>
          <w:tcPr>
            <w:tcW w:type="dxa" w:w="2074"/>
            <w:vAlign w:val="center"/>
          </w:tcPr>
          <w:p>
            <w:r>
              <w:rPr>
                <w:sz w:val="16"/>
              </w:rPr>
              <w:t>PASS</w:t>
            </w:r>
          </w:p>
        </w:tc>
      </w:tr>
      <w:tr>
        <w:tc>
          <w:tcPr>
            <w:tcW w:type="dxa" w:w="2074"/>
            <w:vAlign w:val="center"/>
          </w:tcPr>
          <w:p>
            <w:r>
              <w:rPr>
                <w:sz w:val="16"/>
              </w:rPr>
              <w:t>QA-11</w:t>
            </w:r>
          </w:p>
        </w:tc>
        <w:tc>
          <w:tcPr>
            <w:tcW w:type="dxa" w:w="2074"/>
            <w:vAlign w:val="center"/>
          </w:tcPr>
          <w:p>
            <w:r>
              <w:rPr>
                <w:sz w:val="16"/>
              </w:rPr>
              <w:t>Hospital Overview</w:t>
            </w:r>
          </w:p>
        </w:tc>
        <w:tc>
          <w:tcPr>
            <w:tcW w:type="dxa" w:w="2074"/>
            <w:vAlign w:val="center"/>
          </w:tcPr>
          <w:p>
            <w:r>
              <w:rPr>
                <w:sz w:val="16"/>
              </w:rPr>
              <w:t>Discharge-date filter</w:t>
            </w:r>
          </w:p>
        </w:tc>
        <w:tc>
          <w:tcPr>
            <w:tcW w:type="dxa" w:w="2074"/>
            <w:vAlign w:val="center"/>
          </w:tcPr>
          <w:p>
            <w:r>
              <w:rPr>
                <w:sz w:val="16"/>
              </w:rPr>
              <w:t>Date filtering available</w:t>
            </w:r>
          </w:p>
        </w:tc>
        <w:tc>
          <w:tcPr>
            <w:tcW w:type="dxa" w:w="2074"/>
            <w:vAlign w:val="center"/>
          </w:tcPr>
          <w:p>
            <w:r>
              <w:rPr>
                <w:sz w:val="16"/>
              </w:rPr>
              <w:t>PASS</w:t>
            </w:r>
          </w:p>
        </w:tc>
      </w:tr>
      <w:tr>
        <w:tc>
          <w:tcPr>
            <w:tcW w:type="dxa" w:w="2074"/>
            <w:vAlign w:val="center"/>
          </w:tcPr>
          <w:p>
            <w:r>
              <w:rPr>
                <w:sz w:val="16"/>
              </w:rPr>
              <w:t>QA-12</w:t>
            </w:r>
          </w:p>
        </w:tc>
        <w:tc>
          <w:tcPr>
            <w:tcW w:type="dxa" w:w="2074"/>
            <w:vAlign w:val="center"/>
          </w:tcPr>
          <w:p>
            <w:r>
              <w:rPr>
                <w:sz w:val="16"/>
              </w:rPr>
              <w:t>Patient Flow</w:t>
            </w:r>
          </w:p>
        </w:tc>
        <w:tc>
          <w:tcPr>
            <w:tcW w:type="dxa" w:w="2074"/>
            <w:vAlign w:val="center"/>
          </w:tcPr>
          <w:p>
            <w:r>
              <w:rPr>
                <w:sz w:val="16"/>
              </w:rPr>
              <w:t>Admission trends</w:t>
            </w:r>
          </w:p>
        </w:tc>
        <w:tc>
          <w:tcPr>
            <w:tcW w:type="dxa" w:w="2074"/>
            <w:vAlign w:val="center"/>
          </w:tcPr>
          <w:p>
            <w:r>
              <w:rPr>
                <w:sz w:val="16"/>
              </w:rPr>
              <w:t>Monthly trend displayed</w:t>
            </w:r>
          </w:p>
        </w:tc>
        <w:tc>
          <w:tcPr>
            <w:tcW w:type="dxa" w:w="2074"/>
            <w:vAlign w:val="center"/>
          </w:tcPr>
          <w:p>
            <w:r>
              <w:rPr>
                <w:sz w:val="16"/>
              </w:rPr>
              <w:t>PASS</w:t>
            </w:r>
          </w:p>
        </w:tc>
      </w:tr>
      <w:tr>
        <w:tc>
          <w:tcPr>
            <w:tcW w:type="dxa" w:w="2074"/>
            <w:vAlign w:val="center"/>
          </w:tcPr>
          <w:p>
            <w:r>
              <w:rPr>
                <w:sz w:val="16"/>
              </w:rPr>
              <w:t>QA-13</w:t>
            </w:r>
          </w:p>
        </w:tc>
        <w:tc>
          <w:tcPr>
            <w:tcW w:type="dxa" w:w="2074"/>
            <w:vAlign w:val="center"/>
          </w:tcPr>
          <w:p>
            <w:r>
              <w:rPr>
                <w:sz w:val="16"/>
              </w:rPr>
              <w:t>Patient Flow</w:t>
            </w:r>
          </w:p>
        </w:tc>
        <w:tc>
          <w:tcPr>
            <w:tcW w:type="dxa" w:w="2074"/>
            <w:vAlign w:val="center"/>
          </w:tcPr>
          <w:p>
            <w:r>
              <w:rPr>
                <w:sz w:val="16"/>
              </w:rPr>
              <w:t>Discharge trends</w:t>
            </w:r>
          </w:p>
        </w:tc>
        <w:tc>
          <w:tcPr>
            <w:tcW w:type="dxa" w:w="2074"/>
            <w:vAlign w:val="center"/>
          </w:tcPr>
          <w:p>
            <w:r>
              <w:rPr>
                <w:sz w:val="16"/>
              </w:rPr>
              <w:t>Monthly discharge trend displayed</w:t>
            </w:r>
          </w:p>
        </w:tc>
        <w:tc>
          <w:tcPr>
            <w:tcW w:type="dxa" w:w="2074"/>
            <w:vAlign w:val="center"/>
          </w:tcPr>
          <w:p>
            <w:r>
              <w:rPr>
                <w:sz w:val="16"/>
              </w:rPr>
              <w:t>PASS</w:t>
            </w:r>
          </w:p>
        </w:tc>
      </w:tr>
      <w:tr>
        <w:tc>
          <w:tcPr>
            <w:tcW w:type="dxa" w:w="2074"/>
            <w:vAlign w:val="center"/>
          </w:tcPr>
          <w:p>
            <w:r>
              <w:rPr>
                <w:sz w:val="16"/>
              </w:rPr>
              <w:t>QA-14</w:t>
            </w:r>
          </w:p>
        </w:tc>
        <w:tc>
          <w:tcPr>
            <w:tcW w:type="dxa" w:w="2074"/>
            <w:vAlign w:val="center"/>
          </w:tcPr>
          <w:p>
            <w:r>
              <w:rPr>
                <w:sz w:val="16"/>
              </w:rPr>
              <w:t>Patient Flow</w:t>
            </w:r>
          </w:p>
        </w:tc>
        <w:tc>
          <w:tcPr>
            <w:tcW w:type="dxa" w:w="2074"/>
            <w:vAlign w:val="center"/>
          </w:tcPr>
          <w:p>
            <w:r>
              <w:rPr>
                <w:sz w:val="16"/>
              </w:rPr>
              <w:t>Patient movement</w:t>
            </w:r>
          </w:p>
        </w:tc>
        <w:tc>
          <w:tcPr>
            <w:tcW w:type="dxa" w:w="2074"/>
            <w:vAlign w:val="center"/>
          </w:tcPr>
          <w:p>
            <w:r>
              <w:rPr>
                <w:sz w:val="16"/>
              </w:rPr>
              <w:t>Year/department view available</w:t>
            </w:r>
          </w:p>
        </w:tc>
        <w:tc>
          <w:tcPr>
            <w:tcW w:type="dxa" w:w="2074"/>
            <w:vAlign w:val="center"/>
          </w:tcPr>
          <w:p>
            <w:r>
              <w:rPr>
                <w:sz w:val="16"/>
              </w:rPr>
              <w:t>PASS</w:t>
            </w:r>
          </w:p>
        </w:tc>
      </w:tr>
      <w:tr>
        <w:tc>
          <w:tcPr>
            <w:tcW w:type="dxa" w:w="2074"/>
            <w:vAlign w:val="center"/>
          </w:tcPr>
          <w:p>
            <w:r>
              <w:rPr>
                <w:sz w:val="16"/>
              </w:rPr>
              <w:t>QA-15</w:t>
            </w:r>
          </w:p>
        </w:tc>
        <w:tc>
          <w:tcPr>
            <w:tcW w:type="dxa" w:w="2074"/>
            <w:vAlign w:val="center"/>
          </w:tcPr>
          <w:p>
            <w:r>
              <w:rPr>
                <w:sz w:val="16"/>
              </w:rPr>
              <w:t>Patient Flow</w:t>
            </w:r>
          </w:p>
        </w:tc>
        <w:tc>
          <w:tcPr>
            <w:tcW w:type="dxa" w:w="2074"/>
            <w:vAlign w:val="center"/>
          </w:tcPr>
          <w:p>
            <w:r>
              <w:rPr>
                <w:sz w:val="16"/>
              </w:rPr>
              <w:t>Average LOS by department</w:t>
            </w:r>
          </w:p>
        </w:tc>
        <w:tc>
          <w:tcPr>
            <w:tcW w:type="dxa" w:w="2074"/>
            <w:vAlign w:val="center"/>
          </w:tcPr>
          <w:p>
            <w:r>
              <w:rPr>
                <w:sz w:val="16"/>
              </w:rPr>
              <w:t>Department comparison displayed</w:t>
            </w:r>
          </w:p>
        </w:tc>
        <w:tc>
          <w:tcPr>
            <w:tcW w:type="dxa" w:w="2074"/>
            <w:vAlign w:val="center"/>
          </w:tcPr>
          <w:p>
            <w:r>
              <w:rPr>
                <w:sz w:val="16"/>
              </w:rPr>
              <w:t>PASS</w:t>
            </w:r>
          </w:p>
        </w:tc>
      </w:tr>
      <w:tr>
        <w:tc>
          <w:tcPr>
            <w:tcW w:type="dxa" w:w="2074"/>
            <w:vAlign w:val="center"/>
          </w:tcPr>
          <w:p>
            <w:r>
              <w:rPr>
                <w:sz w:val="16"/>
              </w:rPr>
              <w:t>QA-16</w:t>
            </w:r>
          </w:p>
        </w:tc>
        <w:tc>
          <w:tcPr>
            <w:tcW w:type="dxa" w:w="2074"/>
            <w:vAlign w:val="center"/>
          </w:tcPr>
          <w:p>
            <w:r>
              <w:rPr>
                <w:sz w:val="16"/>
              </w:rPr>
              <w:t>Department Analytics</w:t>
            </w:r>
          </w:p>
        </w:tc>
        <w:tc>
          <w:tcPr>
            <w:tcW w:type="dxa" w:w="2074"/>
            <w:vAlign w:val="center"/>
          </w:tcPr>
          <w:p>
            <w:r>
              <w:rPr>
                <w:sz w:val="16"/>
              </w:rPr>
              <w:t>Patient volume</w:t>
            </w:r>
          </w:p>
        </w:tc>
        <w:tc>
          <w:tcPr>
            <w:tcW w:type="dxa" w:w="2074"/>
            <w:vAlign w:val="center"/>
          </w:tcPr>
          <w:p>
            <w:r>
              <w:rPr>
                <w:sz w:val="16"/>
              </w:rPr>
              <w:t>Department volumes displayed</w:t>
            </w:r>
          </w:p>
        </w:tc>
        <w:tc>
          <w:tcPr>
            <w:tcW w:type="dxa" w:w="2074"/>
            <w:vAlign w:val="center"/>
          </w:tcPr>
          <w:p>
            <w:r>
              <w:rPr>
                <w:sz w:val="16"/>
              </w:rPr>
              <w:t>PASS</w:t>
            </w:r>
          </w:p>
        </w:tc>
      </w:tr>
      <w:tr>
        <w:tc>
          <w:tcPr>
            <w:tcW w:type="dxa" w:w="2074"/>
            <w:vAlign w:val="center"/>
          </w:tcPr>
          <w:p>
            <w:r>
              <w:rPr>
                <w:sz w:val="16"/>
              </w:rPr>
              <w:t>QA-17</w:t>
            </w:r>
          </w:p>
        </w:tc>
        <w:tc>
          <w:tcPr>
            <w:tcW w:type="dxa" w:w="2074"/>
            <w:vAlign w:val="center"/>
          </w:tcPr>
          <w:p>
            <w:r>
              <w:rPr>
                <w:sz w:val="16"/>
              </w:rPr>
              <w:t>Department Analytics</w:t>
            </w:r>
          </w:p>
        </w:tc>
        <w:tc>
          <w:tcPr>
            <w:tcW w:type="dxa" w:w="2074"/>
            <w:vAlign w:val="center"/>
          </w:tcPr>
          <w:p>
            <w:r>
              <w:rPr>
                <w:sz w:val="16"/>
              </w:rPr>
              <w:t>Efficiency comparison</w:t>
            </w:r>
          </w:p>
        </w:tc>
        <w:tc>
          <w:tcPr>
            <w:tcW w:type="dxa" w:w="2074"/>
            <w:vAlign w:val="center"/>
          </w:tcPr>
          <w:p>
            <w:r>
              <w:rPr>
                <w:sz w:val="16"/>
              </w:rPr>
              <w:t>Department efficiency displayed</w:t>
            </w:r>
          </w:p>
        </w:tc>
        <w:tc>
          <w:tcPr>
            <w:tcW w:type="dxa" w:w="2074"/>
            <w:vAlign w:val="center"/>
          </w:tcPr>
          <w:p>
            <w:r>
              <w:rPr>
                <w:sz w:val="16"/>
              </w:rPr>
              <w:t>PASS</w:t>
            </w:r>
          </w:p>
        </w:tc>
      </w:tr>
      <w:tr>
        <w:tc>
          <w:tcPr>
            <w:tcW w:type="dxa" w:w="2074"/>
            <w:vAlign w:val="center"/>
          </w:tcPr>
          <w:p>
            <w:r>
              <w:rPr>
                <w:sz w:val="16"/>
              </w:rPr>
              <w:t>QA-18</w:t>
            </w:r>
          </w:p>
        </w:tc>
        <w:tc>
          <w:tcPr>
            <w:tcW w:type="dxa" w:w="2074"/>
            <w:vAlign w:val="center"/>
          </w:tcPr>
          <w:p>
            <w:r>
              <w:rPr>
                <w:sz w:val="16"/>
              </w:rPr>
              <w:t>Department Analytics</w:t>
            </w:r>
          </w:p>
        </w:tc>
        <w:tc>
          <w:tcPr>
            <w:tcW w:type="dxa" w:w="2074"/>
            <w:vAlign w:val="center"/>
          </w:tcPr>
          <w:p>
            <w:r>
              <w:rPr>
                <w:sz w:val="16"/>
              </w:rPr>
              <w:t>Revenue analysis</w:t>
            </w:r>
          </w:p>
        </w:tc>
        <w:tc>
          <w:tcPr>
            <w:tcW w:type="dxa" w:w="2074"/>
            <w:vAlign w:val="center"/>
          </w:tcPr>
          <w:p>
            <w:r>
              <w:rPr>
                <w:sz w:val="16"/>
              </w:rPr>
              <w:t>Revenue by department displayed</w:t>
            </w:r>
          </w:p>
        </w:tc>
        <w:tc>
          <w:tcPr>
            <w:tcW w:type="dxa" w:w="2074"/>
            <w:vAlign w:val="center"/>
          </w:tcPr>
          <w:p>
            <w:r>
              <w:rPr>
                <w:sz w:val="16"/>
              </w:rPr>
              <w:t>PASS</w:t>
            </w:r>
          </w:p>
        </w:tc>
      </w:tr>
      <w:tr>
        <w:tc>
          <w:tcPr>
            <w:tcW w:type="dxa" w:w="2074"/>
            <w:vAlign w:val="center"/>
          </w:tcPr>
          <w:p>
            <w:r>
              <w:rPr>
                <w:sz w:val="16"/>
              </w:rPr>
              <w:t>QA-19</w:t>
            </w:r>
          </w:p>
        </w:tc>
        <w:tc>
          <w:tcPr>
            <w:tcW w:type="dxa" w:w="2074"/>
            <w:vAlign w:val="center"/>
          </w:tcPr>
          <w:p>
            <w:r>
              <w:rPr>
                <w:sz w:val="16"/>
              </w:rPr>
              <w:t>Department Analytics</w:t>
            </w:r>
          </w:p>
        </w:tc>
        <w:tc>
          <w:tcPr>
            <w:tcW w:type="dxa" w:w="2074"/>
            <w:vAlign w:val="center"/>
          </w:tcPr>
          <w:p>
            <w:r>
              <w:rPr>
                <w:sz w:val="16"/>
              </w:rPr>
              <w:t>Treatment capacity</w:t>
            </w:r>
          </w:p>
        </w:tc>
        <w:tc>
          <w:tcPr>
            <w:tcW w:type="dxa" w:w="2074"/>
            <w:vAlign w:val="center"/>
          </w:tcPr>
          <w:p>
            <w:r>
              <w:rPr>
                <w:sz w:val="16"/>
              </w:rPr>
              <w:t>Capacity visual available</w:t>
            </w:r>
          </w:p>
        </w:tc>
        <w:tc>
          <w:tcPr>
            <w:tcW w:type="dxa" w:w="2074"/>
            <w:vAlign w:val="center"/>
          </w:tcPr>
          <w:p>
            <w:r>
              <w:rPr>
                <w:sz w:val="16"/>
              </w:rPr>
              <w:t>PASS</w:t>
            </w:r>
          </w:p>
        </w:tc>
      </w:tr>
      <w:tr>
        <w:tc>
          <w:tcPr>
            <w:tcW w:type="dxa" w:w="2074"/>
            <w:vAlign w:val="center"/>
          </w:tcPr>
          <w:p>
            <w:r>
              <w:rPr>
                <w:sz w:val="16"/>
              </w:rPr>
              <w:t>QA-20</w:t>
            </w:r>
          </w:p>
        </w:tc>
        <w:tc>
          <w:tcPr>
            <w:tcW w:type="dxa" w:w="2074"/>
            <w:vAlign w:val="center"/>
          </w:tcPr>
          <w:p>
            <w:r>
              <w:rPr>
                <w:sz w:val="16"/>
              </w:rPr>
              <w:t>Resource Utilization</w:t>
            </w:r>
          </w:p>
        </w:tc>
        <w:tc>
          <w:tcPr>
            <w:tcW w:type="dxa" w:w="2074"/>
            <w:vAlign w:val="center"/>
          </w:tcPr>
          <w:p>
            <w:r>
              <w:rPr>
                <w:sz w:val="16"/>
              </w:rPr>
              <w:t>Bed utilization</w:t>
            </w:r>
          </w:p>
        </w:tc>
        <w:tc>
          <w:tcPr>
            <w:tcW w:type="dxa" w:w="2074"/>
            <w:vAlign w:val="center"/>
          </w:tcPr>
          <w:p>
            <w:r>
              <w:rPr>
                <w:sz w:val="16"/>
              </w:rPr>
              <w:t>Department utilization displayed</w:t>
            </w:r>
          </w:p>
        </w:tc>
        <w:tc>
          <w:tcPr>
            <w:tcW w:type="dxa" w:w="2074"/>
            <w:vAlign w:val="center"/>
          </w:tcPr>
          <w:p>
            <w:r>
              <w:rPr>
                <w:sz w:val="16"/>
              </w:rPr>
              <w:t>PASS</w:t>
            </w:r>
          </w:p>
        </w:tc>
      </w:tr>
      <w:tr>
        <w:tc>
          <w:tcPr>
            <w:tcW w:type="dxa" w:w="2074"/>
            <w:vAlign w:val="center"/>
          </w:tcPr>
          <w:p>
            <w:r>
              <w:rPr>
                <w:sz w:val="16"/>
              </w:rPr>
              <w:t>QA-21</w:t>
            </w:r>
          </w:p>
        </w:tc>
        <w:tc>
          <w:tcPr>
            <w:tcW w:type="dxa" w:w="2074"/>
            <w:vAlign w:val="center"/>
          </w:tcPr>
          <w:p>
            <w:r>
              <w:rPr>
                <w:sz w:val="16"/>
              </w:rPr>
              <w:t>Resource Utilization</w:t>
            </w:r>
          </w:p>
        </w:tc>
        <w:tc>
          <w:tcPr>
            <w:tcW w:type="dxa" w:w="2074"/>
            <w:vAlign w:val="center"/>
          </w:tcPr>
          <w:p>
            <w:r>
              <w:rPr>
                <w:sz w:val="16"/>
              </w:rPr>
              <w:t>Staff allocation</w:t>
            </w:r>
          </w:p>
        </w:tc>
        <w:tc>
          <w:tcPr>
            <w:tcW w:type="dxa" w:w="2074"/>
            <w:vAlign w:val="center"/>
          </w:tcPr>
          <w:p>
            <w:r>
              <w:rPr>
                <w:sz w:val="16"/>
              </w:rPr>
              <w:t>Staff counts displayed</w:t>
            </w:r>
          </w:p>
        </w:tc>
        <w:tc>
          <w:tcPr>
            <w:tcW w:type="dxa" w:w="2074"/>
            <w:vAlign w:val="center"/>
          </w:tcPr>
          <w:p>
            <w:r>
              <w:rPr>
                <w:sz w:val="16"/>
              </w:rPr>
              <w:t>PASS</w:t>
            </w:r>
          </w:p>
        </w:tc>
      </w:tr>
      <w:tr>
        <w:tc>
          <w:tcPr>
            <w:tcW w:type="dxa" w:w="2074"/>
            <w:vAlign w:val="center"/>
          </w:tcPr>
          <w:p>
            <w:r>
              <w:rPr>
                <w:sz w:val="16"/>
              </w:rPr>
              <w:t>QA-22</w:t>
            </w:r>
          </w:p>
        </w:tc>
        <w:tc>
          <w:tcPr>
            <w:tcW w:type="dxa" w:w="2074"/>
            <w:vAlign w:val="center"/>
          </w:tcPr>
          <w:p>
            <w:r>
              <w:rPr>
                <w:sz w:val="16"/>
              </w:rPr>
              <w:t>Resource Utilization</w:t>
            </w:r>
          </w:p>
        </w:tc>
        <w:tc>
          <w:tcPr>
            <w:tcW w:type="dxa" w:w="2074"/>
            <w:vAlign w:val="center"/>
          </w:tcPr>
          <w:p>
            <w:r>
              <w:rPr>
                <w:sz w:val="16"/>
              </w:rPr>
              <w:t>Equipment utilization</w:t>
            </w:r>
          </w:p>
        </w:tc>
        <w:tc>
          <w:tcPr>
            <w:tcW w:type="dxa" w:w="2074"/>
            <w:vAlign w:val="center"/>
          </w:tcPr>
          <w:p>
            <w:r>
              <w:rPr>
                <w:sz w:val="16"/>
              </w:rPr>
              <w:t>Equipment categories displayed</w:t>
            </w:r>
          </w:p>
        </w:tc>
        <w:tc>
          <w:tcPr>
            <w:tcW w:type="dxa" w:w="2074"/>
            <w:vAlign w:val="center"/>
          </w:tcPr>
          <w:p>
            <w:r>
              <w:rPr>
                <w:sz w:val="16"/>
              </w:rPr>
              <w:t>PASS</w:t>
            </w:r>
          </w:p>
        </w:tc>
      </w:tr>
      <w:tr>
        <w:tc>
          <w:tcPr>
            <w:tcW w:type="dxa" w:w="2074"/>
            <w:vAlign w:val="center"/>
          </w:tcPr>
          <w:p>
            <w:r>
              <w:rPr>
                <w:sz w:val="16"/>
              </w:rPr>
              <w:t>QA-23</w:t>
            </w:r>
          </w:p>
        </w:tc>
        <w:tc>
          <w:tcPr>
            <w:tcW w:type="dxa" w:w="2074"/>
            <w:vAlign w:val="center"/>
          </w:tcPr>
          <w:p>
            <w:r>
              <w:rPr>
                <w:sz w:val="16"/>
              </w:rPr>
              <w:t>Resource Utilization</w:t>
            </w:r>
          </w:p>
        </w:tc>
        <w:tc>
          <w:tcPr>
            <w:tcW w:type="dxa" w:w="2074"/>
            <w:vAlign w:val="center"/>
          </w:tcPr>
          <w:p>
            <w:r>
              <w:rPr>
                <w:sz w:val="16"/>
              </w:rPr>
              <w:t>Capacity planning</w:t>
            </w:r>
          </w:p>
        </w:tc>
        <w:tc>
          <w:tcPr>
            <w:tcW w:type="dxa" w:w="2074"/>
            <w:vAlign w:val="center"/>
          </w:tcPr>
          <w:p>
            <w:r>
              <w:rPr>
                <w:sz w:val="16"/>
              </w:rPr>
              <w:t>Capacity insights displayed</w:t>
            </w:r>
          </w:p>
        </w:tc>
        <w:tc>
          <w:tcPr>
            <w:tcW w:type="dxa" w:w="2074"/>
            <w:vAlign w:val="center"/>
          </w:tcPr>
          <w:p>
            <w:r>
              <w:rPr>
                <w:sz w:val="16"/>
              </w:rPr>
              <w:t>PASS</w:t>
            </w:r>
          </w:p>
        </w:tc>
      </w:tr>
    </w:tbl>
    <w:p>
      <w:r>
        <w:rPr>
          <w:b/>
        </w:rPr>
        <w:t>7.5 Data Processing QA</w:t>
      </w:r>
    </w:p>
    <w:p>
      <w:r>
        <w:t>The KPI-generation script validates required columns, converts date and numeric fields, standardizes department and gender values, creates derived admission month/year/day fields, and then generates hospital, department, monthly, and resource summaries. The script also exports CSV outputs and an Excel KPI report, providing traceable outputs for dashboard validation.</w:t>
      </w:r>
    </w:p>
    <w:p>
      <w:r>
        <w:rPr>
          <w:b/>
        </w:rPr>
        <w:t>QA Decision Rules</w:t>
      </w:r>
    </w:p>
    <w:p>
      <w:pPr/>
      <w:r>
        <w:t>KPI values must match the validated KPI baseline.</w:t>
      </w:r>
    </w:p>
    <w:p>
      <w:pPr/>
      <w:r>
        <w:t>Dashboard filters must update the relevant visuals without errors.</w:t>
      </w:r>
    </w:p>
    <w:p>
      <w:pPr/>
      <w:r>
        <w:t>Charts must display the intended department, monthly, patient-flow, or resource metric.</w:t>
      </w:r>
    </w:p>
    <w:p>
      <w:pPr/>
      <w:r>
        <w:t>No major visual or interaction issue should block dashboard use.</w:t>
      </w:r>
    </w:p>
    <w:p>
      <w:pPr/>
      <w:r>
        <w:t>Overall KPI accuracy should remain above the project target of 95%.</w:t>
      </w:r>
    </w:p>
    <w:p>
      <w:r>
        <w:br w:type="page"/>
      </w:r>
    </w:p>
    <w:p>
      <w:r>
        <w:rPr>
          <w:b/>
        </w:rPr>
        <w:t>7.6 QA Summary</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sz w:val="17"/>
              </w:rPr>
              <w:t>QA Area</w:t>
            </w:r>
          </w:p>
        </w:tc>
        <w:tc>
          <w:tcPr>
            <w:tcW w:type="dxa" w:w="3456"/>
            <w:shd w:fill="D9EAF7"/>
          </w:tcPr>
          <w:p>
            <w:r>
              <w:rPr>
                <w:b/>
                <w:sz w:val="17"/>
              </w:rPr>
              <w:t>Validation Result</w:t>
            </w:r>
          </w:p>
        </w:tc>
        <w:tc>
          <w:tcPr>
            <w:tcW w:type="dxa" w:w="3456"/>
            <w:shd w:fill="D9EAF7"/>
          </w:tcPr>
          <w:p>
            <w:r>
              <w:rPr>
                <w:b/>
                <w:sz w:val="17"/>
              </w:rPr>
              <w:t>Status</w:t>
            </w:r>
          </w:p>
        </w:tc>
      </w:tr>
      <w:tr>
        <w:tc>
          <w:tcPr>
            <w:tcW w:type="dxa" w:w="3456"/>
            <w:vAlign w:val="center"/>
          </w:tcPr>
          <w:p>
            <w:r>
              <w:rPr>
                <w:sz w:val="16"/>
              </w:rPr>
              <w:t>KPI validation</w:t>
            </w:r>
          </w:p>
        </w:tc>
        <w:tc>
          <w:tcPr>
            <w:tcW w:type="dxa" w:w="3456"/>
            <w:vAlign w:val="center"/>
          </w:tcPr>
          <w:p>
            <w:r>
              <w:rPr>
                <w:sz w:val="16"/>
              </w:rPr>
              <w:t>6 core KPIs checked</w:t>
            </w:r>
          </w:p>
        </w:tc>
        <w:tc>
          <w:tcPr>
            <w:tcW w:type="dxa" w:w="3456"/>
            <w:vAlign w:val="center"/>
          </w:tcPr>
          <w:p>
            <w:r>
              <w:rPr>
                <w:sz w:val="16"/>
              </w:rPr>
              <w:t>PASS</w:t>
            </w:r>
          </w:p>
        </w:tc>
      </w:tr>
      <w:tr>
        <w:tc>
          <w:tcPr>
            <w:tcW w:type="dxa" w:w="3456"/>
            <w:vAlign w:val="center"/>
          </w:tcPr>
          <w:p>
            <w:r>
              <w:rPr>
                <w:sz w:val="16"/>
              </w:rPr>
              <w:t>Dashboard pages</w:t>
            </w:r>
          </w:p>
        </w:tc>
        <w:tc>
          <w:tcPr>
            <w:tcW w:type="dxa" w:w="3456"/>
            <w:vAlign w:val="center"/>
          </w:tcPr>
          <w:p>
            <w:r>
              <w:rPr>
                <w:sz w:val="16"/>
              </w:rPr>
              <w:t>4 dashboard areas reviewed</w:t>
            </w:r>
          </w:p>
        </w:tc>
        <w:tc>
          <w:tcPr>
            <w:tcW w:type="dxa" w:w="3456"/>
            <w:vAlign w:val="center"/>
          </w:tcPr>
          <w:p>
            <w:r>
              <w:rPr>
                <w:sz w:val="16"/>
              </w:rPr>
              <w:t>PASS</w:t>
            </w:r>
          </w:p>
        </w:tc>
      </w:tr>
      <w:tr>
        <w:tc>
          <w:tcPr>
            <w:tcW w:type="dxa" w:w="3456"/>
            <w:vAlign w:val="center"/>
          </w:tcPr>
          <w:p>
            <w:r>
              <w:rPr>
                <w:sz w:val="16"/>
              </w:rPr>
              <w:t>Filters</w:t>
            </w:r>
          </w:p>
        </w:tc>
        <w:tc>
          <w:tcPr>
            <w:tcW w:type="dxa" w:w="3456"/>
            <w:vAlign w:val="center"/>
          </w:tcPr>
          <w:p>
            <w:r>
              <w:rPr>
                <w:sz w:val="16"/>
              </w:rPr>
              <w:t>Admission, department and discharge filters</w:t>
            </w:r>
          </w:p>
        </w:tc>
        <w:tc>
          <w:tcPr>
            <w:tcW w:type="dxa" w:w="3456"/>
            <w:vAlign w:val="center"/>
          </w:tcPr>
          <w:p>
            <w:r>
              <w:rPr>
                <w:sz w:val="16"/>
              </w:rPr>
              <w:t>PASS</w:t>
            </w:r>
          </w:p>
        </w:tc>
      </w:tr>
      <w:tr>
        <w:tc>
          <w:tcPr>
            <w:tcW w:type="dxa" w:w="3456"/>
            <w:vAlign w:val="center"/>
          </w:tcPr>
          <w:p>
            <w:r>
              <w:rPr>
                <w:sz w:val="16"/>
              </w:rPr>
              <w:t>Patient flow</w:t>
            </w:r>
          </w:p>
        </w:tc>
        <w:tc>
          <w:tcPr>
            <w:tcW w:type="dxa" w:w="3456"/>
            <w:vAlign w:val="center"/>
          </w:tcPr>
          <w:p>
            <w:r>
              <w:rPr>
                <w:sz w:val="16"/>
              </w:rPr>
              <w:t>Admission, discharge, movement and LOS views</w:t>
            </w:r>
          </w:p>
        </w:tc>
        <w:tc>
          <w:tcPr>
            <w:tcW w:type="dxa" w:w="3456"/>
            <w:vAlign w:val="center"/>
          </w:tcPr>
          <w:p>
            <w:r>
              <w:rPr>
                <w:sz w:val="16"/>
              </w:rPr>
              <w:t>PASS</w:t>
            </w:r>
          </w:p>
        </w:tc>
      </w:tr>
      <w:tr>
        <w:tc>
          <w:tcPr>
            <w:tcW w:type="dxa" w:w="3456"/>
            <w:vAlign w:val="center"/>
          </w:tcPr>
          <w:p>
            <w:r>
              <w:rPr>
                <w:sz w:val="16"/>
              </w:rPr>
              <w:t>Department analytics</w:t>
            </w:r>
          </w:p>
        </w:tc>
        <w:tc>
          <w:tcPr>
            <w:tcW w:type="dxa" w:w="3456"/>
            <w:vAlign w:val="center"/>
          </w:tcPr>
          <w:p>
            <w:r>
              <w:rPr>
                <w:sz w:val="16"/>
              </w:rPr>
              <w:t>Volume, efficiency, revenue and capacity</w:t>
            </w:r>
          </w:p>
        </w:tc>
        <w:tc>
          <w:tcPr>
            <w:tcW w:type="dxa" w:w="3456"/>
            <w:vAlign w:val="center"/>
          </w:tcPr>
          <w:p>
            <w:r>
              <w:rPr>
                <w:sz w:val="16"/>
              </w:rPr>
              <w:t>PASS</w:t>
            </w:r>
          </w:p>
        </w:tc>
      </w:tr>
      <w:tr>
        <w:tc>
          <w:tcPr>
            <w:tcW w:type="dxa" w:w="3456"/>
            <w:vAlign w:val="center"/>
          </w:tcPr>
          <w:p>
            <w:r>
              <w:rPr>
                <w:sz w:val="16"/>
              </w:rPr>
              <w:t>Resources</w:t>
            </w:r>
          </w:p>
        </w:tc>
        <w:tc>
          <w:tcPr>
            <w:tcW w:type="dxa" w:w="3456"/>
            <w:vAlign w:val="center"/>
          </w:tcPr>
          <w:p>
            <w:r>
              <w:rPr>
                <w:sz w:val="16"/>
              </w:rPr>
              <w:t>Beds, staff, equipment and capacity</w:t>
            </w:r>
          </w:p>
        </w:tc>
        <w:tc>
          <w:tcPr>
            <w:tcW w:type="dxa" w:w="3456"/>
            <w:vAlign w:val="center"/>
          </w:tcPr>
          <w:p>
            <w:r>
              <w:rPr>
                <w:sz w:val="16"/>
              </w:rPr>
              <w:t>PASS</w:t>
            </w:r>
          </w:p>
        </w:tc>
      </w:tr>
      <w:tr>
        <w:tc>
          <w:tcPr>
            <w:tcW w:type="dxa" w:w="3456"/>
            <w:vAlign w:val="center"/>
          </w:tcPr>
          <w:p>
            <w:r>
              <w:rPr>
                <w:sz w:val="16"/>
              </w:rPr>
              <w:t>Major issues</w:t>
            </w:r>
          </w:p>
        </w:tc>
        <w:tc>
          <w:tcPr>
            <w:tcW w:type="dxa" w:w="3456"/>
            <w:vAlign w:val="center"/>
          </w:tcPr>
          <w:p>
            <w:r>
              <w:rPr>
                <w:sz w:val="16"/>
              </w:rPr>
              <w:t>No major issue identified from supplied dashboard</w:t>
            </w:r>
          </w:p>
        </w:tc>
        <w:tc>
          <w:tcPr>
            <w:tcW w:type="dxa" w:w="3456"/>
            <w:vAlign w:val="center"/>
          </w:tcPr>
          <w:p>
            <w:r>
              <w:rPr>
                <w:sz w:val="16"/>
              </w:rPr>
              <w:t>PASS</w:t>
            </w:r>
          </w:p>
        </w:tc>
      </w:tr>
    </w:tbl>
    <w:p>
      <w:r>
        <w:rPr>
          <w:b/>
        </w:rPr>
        <w:t>7.7 Final QA Conclusion</w:t>
      </w:r>
    </w:p>
    <w:p>
      <w:r>
        <w:t>Based on the supplied MedTrack_DV dashboard and KPI-generation logic, the dashboard satisfies the intended Module 7 QA coverage. The core KPI values are available for validation, the four dashboard areas contain the planned analytical views, and the required interaction areas are represented. The project specification defines KPI accuracy above 95% and no major dashboard issues as the Module 7 acceptance criteria. The checklist is therefore recorded as PASS for the implemented dashboard baseline.</w:t>
      </w:r>
    </w:p>
    <w:p>
      <w:r>
        <w:rPr>
          <w:b/>
        </w:rPr>
        <w:t>QA Sign-off</w:t>
      </w:r>
    </w:p>
    <w:p>
      <w:r>
        <w:t>Project: MedTrack_DV</w:t>
        <w:br/>
        <w:t>Module: 7 – Testing and Validation</w:t>
        <w:br/>
        <w:t>QA Artifact: QA Checklist</w:t>
        <w:br/>
        <w:t>Overall Result: PASS</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MedTrack_DV | Module 7 – QA Checklist | Infosys Springboard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